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Cash and Time-Off Award Justification</w:t>
      </w:r>
    </w:p>
    <w:p>
      <w:pPr>
        <w:spacing w:after="360"/>
        <w:jc w:val="center"/>
      </w:pPr>
      <w:r>
        <w:rPr>
          <w:rFonts w:ascii="Arial" w:cs="Arial" w:eastAsia="Arial" w:hAnsi="Arial"/>
          <w:i/>
          <w:iCs/>
          <w:sz w:val="24"/>
          <w:szCs w:val="24"/>
        </w:rPr>
        <w:t xml:space="preserve">Bishal Khanal — Innovative Solutions Division (ISD), OFOM/OFA</w:t>
      </w:r>
    </w:p>
    <w:p>
      <w:pPr>
        <w:spacing w:after="240" w:line="300"/>
        <w:jc w:val="both"/>
      </w:pPr>
      <w:r>
        <w:rPr>
          <w:rFonts w:ascii="Arial" w:cs="Arial" w:eastAsia="Arial" w:hAnsi="Arial"/>
          <w:sz w:val="24"/>
          <w:szCs w:val="24"/>
        </w:rPr>
        <w:t xml:space="preserve">This award recognizes the outstanding efforts of Bishal Khanal in advancing the Innovative Solutions Division’s adoption of artificial intelligence in direct support of EPA’s mission and the agency’s strategic priorities — efforts undertaken in addition to his sustained day-to-day responsibilities maintaining critical legacy applications, Oracle SOA Suite middleware, financial batch jobs, and ongoing security and CVE remediation. Over the past year, Bishal led the research and evaluation of AWS AI/ML services and developed end-to-end architecture diagrams identifying the tools, components, and integration points required to bring AI capabilities into ISD’s financial operations. He designed and built the Financial ChatBot — a dual-path solution combining Text-to-SQL queries against financial data with retrieval-augmented generation across agency documents — and partnered with the OMB team to deliver a working Risk Assessment Tool prototype in Python and FastAPI. He also authored a 34-course AWS Skill Builder learning path covering Python, AWS cloud foundations, generative AI/RAG, and AI agents, equipping the broader ISD team to participate in and sustain this work. These AI capabilities — already demonstrated to leadership and adopted across the team — are positioned to substantially reduce manual data lookup, document review, and reconciliation work that today consumes meaningful staff time across OFOM, freeing FTEs to focus on higher-value analytical and decision-support work. These contributions align directly with the EPA Administrator’s fourth pillar — making the United States the Artificial Intelligence capital of the world — and position OFOM and OFA to lead the agency in operationalizing AI for federal financial operations.</w:t>
      </w:r>
    </w:p>
    <w:p>
      <w:pPr>
        <w:spacing w:after="240" w:line="300"/>
        <w:jc w:val="both"/>
      </w:pPr>
      <w:r>
        <w:rPr>
          <w:rFonts w:ascii="Arial" w:cs="Arial" w:eastAsia="Arial" w:hAnsi="Arial"/>
          <w:sz w:val="24"/>
          <w:szCs w:val="24"/>
        </w:rPr>
        <w:t xml:space="preserve">This award also recognizes Bishal’s leadership in driving modernization and automation across ISD’s portfolio — efforts taken on alongside his ongoing support of multiple production applications and middleware systems. He proposed and shaped the modernization of the legacy Access Request Form (ARF) application, researching current technology stack options and delivering the target architecture diagram and end-to-end workflow design needed to replace an aging system that carries ongoing security and CVE exposure. In parallel, he partnered with OCO to eliminate their manual monthly DATA Act reconciliation by building a self-service automation that performs the full reconciliation end-to-end in seconds and removes a recurring source of human error in financial reporting. Together, these efforts will reduce manual workarounds and recurring patching on the legacy side, cut support ticket volume, shorten access-provisioning turnaround for EPA staff agency-wide, and redirect FTE hours from repetitive operational work toward higher-value analytical and mission-supporting tasks. This work directly supports EPA’s commitment to being a good steward of taxpayer dollars and advances the agency’s objectives of operational efficiency and modernization, and reinforces the agency’s third pillar of cross-agency partnership through direct collaboration with OCO and agency-wide stakeholders — ensuring that internal systems empower, rather than impede, EPA’s core mission to protect human health and the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2026-05-21T12:01:48.058Z</dcterms:created>
  <dcterms:modified xsi:type="dcterms:W3CDTF">2026-05-21T12:01:48.071Z</dcterms:modified>
</cp:coreProperties>
</file>

<file path=docProps/custom.xml><?xml version="1.0" encoding="utf-8"?>
<Properties xmlns="http://schemas.openxmlformats.org/officeDocument/2006/custom-properties" xmlns:vt="http://schemas.openxmlformats.org/officeDocument/2006/docPropsVTypes"/>
</file>