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/>
          <w:color w:val="1F3864"/>
          <w:sz w:val="48"/>
        </w:rPr>
        <w:t>Klebsiella pneumoniae Phylogenomics</w:t>
      </w:r>
    </w:p>
    <w:p>
      <w:pPr>
        <w:jc w:val="center"/>
      </w:pPr>
      <w:r>
        <w:rPr>
          <w:b/>
          <w:color w:val="2E75B6"/>
          <w:sz w:val="28"/>
        </w:rPr>
        <w:t>Case Study: Whole-Genome Sequencing &amp; Phylogenomic Analysis</w:t>
      </w:r>
    </w:p>
    <w:p/>
    <w:p>
      <w:pPr>
        <w:jc w:val="center"/>
      </w:pPr>
      <w:r>
        <w:rPr>
          <w:color w:val="646464"/>
          <w:sz w:val="22"/>
        </w:rPr>
        <w:t>50 Genomes  ·  10 Sequence Types  ·  Nextflow DSL2 Pipeline</w:t>
      </w:r>
    </w:p>
    <w:p>
      <w:r>
        <w:br w:type="page"/>
      </w:r>
    </w:p>
    <w:p>
      <w:pPr>
        <w:pStyle w:val="Heading1"/>
        <w:spacing w:before="280" w:after="120"/>
      </w:pPr>
      <w:r>
        <w:t>1. Background</w:t>
      </w:r>
    </w:p>
    <w:p>
      <w:pPr>
        <w:spacing w:before="40" w:after="80"/>
      </w:pPr>
      <w:r>
        <w:rPr>
          <w:sz w:val="22"/>
        </w:rPr>
        <w:t>Klebsiella pneumoniae is a Gram-negative opportunistic pathogen of global public health concern. It is the leading cause of healthcare-associated pneumonia, liver abscesses, urinary tract infections, and bloodstream infections, particularly among immunocompromised patients. The species is characterised by remarkable genomic plasticity, with the rapid acquisition of resistance determinants — including carbapenemases (KPC, NDM, OXA-48) — and virulence factors (Yersiniabactin, Aerobactin, Colibactin) driving the emergence of convergent high-risk lineages.</w:t>
      </w:r>
    </w:p>
    <w:p>
      <w:pPr>
        <w:spacing w:before="40" w:after="80"/>
      </w:pPr>
      <w:r>
        <w:rPr>
          <w:sz w:val="22"/>
        </w:rPr>
        <w:t>Whole-genome sequencing (WGS) combined with phylogenomic analysis has become the gold standard for outbreak investigation, transmission tracing, and AMR surveillance. Core-genome SNP phylogenies allow high-resolution reconstruction of clonal relationships that conventional MLST cannot resolve.</w:t>
      </w:r>
    </w:p>
    <w:p>
      <w:pPr>
        <w:pStyle w:val="Heading1"/>
        <w:spacing w:before="280" w:after="120"/>
      </w:pPr>
      <w:r>
        <w:t>2. Objective</w:t>
      </w:r>
    </w:p>
    <w:p>
      <w:pPr>
        <w:spacing w:before="40" w:after="80"/>
      </w:pPr>
      <w:r>
        <w:rPr>
          <w:sz w:val="22"/>
        </w:rPr>
        <w:t>To build and execute a reproducible, containerised Nextflow DSL2 pipeline for whole-genome phylogenomics of K. pneumoniae, integrating quality control, AMR profiling, molecular typing, recombination-masked phylogeny, and pairwise SNP distance analysis into a single automated workflow, with results visualised in an interactive web dashboard.</w:t>
      </w:r>
    </w:p>
    <w:p>
      <w:pPr>
        <w:pStyle w:val="Heading1"/>
        <w:spacing w:before="280" w:after="120"/>
      </w:pPr>
      <w:r>
        <w:t>3.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57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2F7FF"/>
          </w:tcPr>
          <w:p>
            <w:r>
              <w:rPr>
                <w:sz w:val="20"/>
              </w:rPr>
              <w:t>Total genomes sequenced</w:t>
            </w:r>
          </w:p>
        </w:tc>
        <w:tc>
          <w:tcPr>
            <w:tcW w:type="dxa" w:w="5760"/>
            <w:shd w:val="clear" w:color="auto" w:fill="F2F7FF"/>
          </w:tcPr>
          <w:p>
            <w:r>
              <w:rPr>
                <w:sz w:val="20"/>
              </w:rPr>
              <w:t>150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Genomes selected for phylogenomics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50</w:t>
            </w:r>
          </w:p>
        </w:tc>
      </w:tr>
      <w:tr>
        <w:tc>
          <w:tcPr>
            <w:tcW w:type="dxa" w:w="3600"/>
            <w:shd w:val="clear" w:color="auto" w:fill="F2F7FF"/>
          </w:tcPr>
          <w:p>
            <w:r>
              <w:rPr>
                <w:sz w:val="20"/>
              </w:rPr>
              <w:t>Selection criteria</w:t>
            </w:r>
          </w:p>
        </w:tc>
        <w:tc>
          <w:tcPr>
            <w:tcW w:type="dxa" w:w="5760"/>
            <w:shd w:val="clear" w:color="auto" w:fill="F2F7FF"/>
          </w:tcPr>
          <w:p>
            <w:r>
              <w:rPr>
                <w:sz w:val="20"/>
              </w:rPr>
              <w:t>Representative ST diversity; passed QC (contigs ≤ 10, N50 ≥ 200 kbp)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NCBI RefSeq / local sequencing (GCF accessions)</w:t>
            </w:r>
          </w:p>
        </w:tc>
      </w:tr>
      <w:tr>
        <w:tc>
          <w:tcPr>
            <w:tcW w:type="dxa" w:w="3600"/>
            <w:shd w:val="clear" w:color="auto" w:fill="F2F7FF"/>
          </w:tcPr>
          <w:p>
            <w:r>
              <w:rPr>
                <w:sz w:val="20"/>
              </w:rPr>
              <w:t>Reference genome</w:t>
            </w:r>
          </w:p>
        </w:tc>
        <w:tc>
          <w:tcPr>
            <w:tcW w:type="dxa" w:w="5760"/>
            <w:shd w:val="clear" w:color="auto" w:fill="F2F7FF"/>
          </w:tcPr>
          <w:p>
            <w:r>
              <w:rPr>
                <w:sz w:val="20"/>
              </w:rPr>
              <w:t>K. pneumoniae KPNIH1 (ST258)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Assembly format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Draft assemblies (contigs), .fna</w:t>
            </w:r>
          </w:p>
        </w:tc>
      </w:tr>
      <w:tr>
        <w:tc>
          <w:tcPr>
            <w:tcW w:type="dxa" w:w="3600"/>
            <w:shd w:val="clear" w:color="auto" w:fill="F2F7FF"/>
          </w:tcPr>
          <w:p>
            <w:r>
              <w:rPr>
                <w:sz w:val="20"/>
              </w:rPr>
              <w:t>Contig range</w:t>
            </w:r>
          </w:p>
        </w:tc>
        <w:tc>
          <w:tcPr>
            <w:tcW w:type="dxa" w:w="5760"/>
            <w:shd w:val="clear" w:color="auto" w:fill="F2F7FF"/>
          </w:tcPr>
          <w:p>
            <w:r>
              <w:rPr>
                <w:sz w:val="20"/>
              </w:rPr>
              <w:t>1–9 contigs per genome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Total length range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~5.2–6.1 Mbp</w:t>
            </w:r>
          </w:p>
        </w:tc>
      </w:tr>
      <w:tr>
        <w:tc>
          <w:tcPr>
            <w:tcW w:type="dxa" w:w="3600"/>
            <w:shd w:val="clear" w:color="auto" w:fill="F2F7FF"/>
          </w:tcPr>
          <w:p>
            <w:r>
              <w:rPr>
                <w:sz w:val="20"/>
              </w:rPr>
              <w:t>N50 range</w:t>
            </w:r>
          </w:p>
        </w:tc>
        <w:tc>
          <w:tcPr>
            <w:tcW w:type="dxa" w:w="5760"/>
            <w:shd w:val="clear" w:color="auto" w:fill="F2F7FF"/>
          </w:tcPr>
          <w:p>
            <w:r>
              <w:rPr>
                <w:sz w:val="20"/>
              </w:rPr>
              <w:t>~4.4–5.6 Mbp</w:t>
            </w:r>
          </w:p>
        </w:tc>
      </w:tr>
    </w:tbl>
    <w:p>
      <w:pPr>
        <w:pStyle w:val="Heading1"/>
        <w:spacing w:before="280" w:after="120"/>
      </w:pPr>
      <w:r>
        <w:t>4. Methods</w:t>
      </w:r>
    </w:p>
    <w:p>
      <w:pPr>
        <w:pStyle w:val="Heading2"/>
        <w:spacing w:before="160" w:after="120"/>
      </w:pPr>
      <w:r>
        <w:t>4.1 Pipeline Architecture</w:t>
      </w:r>
    </w:p>
    <w:p>
      <w:pPr>
        <w:spacing w:before="40" w:after="80"/>
      </w:pPr>
      <w:r>
        <w:rPr>
          <w:sz w:val="22"/>
        </w:rPr>
        <w:t>The pipeline was implemented in Nextflow DSL2 with all tools executed in Docker containers (Docker Desktop with WSL2 integration). Each tool is encapsulated as a separate module under pipeline/modules/, with resource allocation managed centrally in nextflow.config.</w:t>
      </w:r>
    </w:p>
    <w:p>
      <w:pPr>
        <w:pStyle w:val="Heading2"/>
        <w:spacing w:before="160" w:after="120"/>
      </w:pPr>
      <w:r>
        <w:t>4.2 Pipeline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01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016"/>
            <w:shd w:val="clear" w:color="auto" w:fill="F2F7FF"/>
          </w:tcPr>
          <w:p>
            <w:r>
              <w:rPr>
                <w:sz w:val="20"/>
              </w:rPr>
              <w:t>QC</w:t>
            </w:r>
          </w:p>
        </w:tc>
        <w:tc>
          <w:tcPr>
            <w:tcW w:type="dxa" w:w="2016"/>
            <w:shd w:val="clear" w:color="auto" w:fill="F2F7FF"/>
          </w:tcPr>
          <w:p>
            <w:r>
              <w:rPr>
                <w:sz w:val="20"/>
              </w:rPr>
              <w:t>QUAST</w:t>
            </w:r>
          </w:p>
        </w:tc>
        <w:tc>
          <w:tcPr>
            <w:tcW w:type="dxa" w:w="1296"/>
            <w:shd w:val="clear" w:color="auto" w:fill="F2F7FF"/>
          </w:tcPr>
          <w:p>
            <w:r>
              <w:rPr>
                <w:sz w:val="20"/>
              </w:rPr>
              <w:t>5.2.0</w:t>
            </w:r>
          </w:p>
        </w:tc>
        <w:tc>
          <w:tcPr>
            <w:tcW w:type="dxa" w:w="4320"/>
            <w:shd w:val="clear" w:color="auto" w:fill="F2F7FF"/>
          </w:tcPr>
          <w:p>
            <w:r>
              <w:rPr>
                <w:sz w:val="20"/>
              </w:rPr>
              <w:t>Assembly quality metrics (contigs, N50, total length)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AMR profiling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AMRFinderPlus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Detection of AMR genes, point mutations, and virulence factors</w:t>
            </w:r>
          </w:p>
        </w:tc>
      </w:tr>
      <w:tr>
        <w:tc>
          <w:tcPr>
            <w:tcW w:type="dxa" w:w="2016"/>
            <w:shd w:val="clear" w:color="auto" w:fill="F2F7FF"/>
          </w:tcPr>
          <w:p>
            <w:r>
              <w:rPr>
                <w:sz w:val="20"/>
              </w:rPr>
              <w:t>Molecular typing</w:t>
            </w:r>
          </w:p>
        </w:tc>
        <w:tc>
          <w:tcPr>
            <w:tcW w:type="dxa" w:w="2016"/>
            <w:shd w:val="clear" w:color="auto" w:fill="F2F7FF"/>
          </w:tcPr>
          <w:p>
            <w:r>
              <w:rPr>
                <w:sz w:val="20"/>
              </w:rPr>
              <w:t>Kleborate</w:t>
            </w:r>
          </w:p>
        </w:tc>
        <w:tc>
          <w:tcPr>
            <w:tcW w:type="dxa" w:w="1296"/>
            <w:shd w:val="clear" w:color="auto" w:fill="F2F7FF"/>
          </w:tcPr>
          <w:p>
            <w:r>
              <w:rPr>
                <w:sz w:val="20"/>
              </w:rPr>
              <w:t>3.x</w:t>
            </w:r>
          </w:p>
        </w:tc>
        <w:tc>
          <w:tcPr>
            <w:tcW w:type="dxa" w:w="4320"/>
            <w:shd w:val="clear" w:color="auto" w:fill="F2F7FF"/>
          </w:tcPr>
          <w:p>
            <w:r>
              <w:rPr>
                <w:sz w:val="20"/>
              </w:rPr>
              <w:t>MLST, resistance and virulence locus scoring (--preset kpsc)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Read mapping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Snippy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20"/>
              </w:rPr>
              <w:t>4.6.0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Per-sample WGS alignment against reference (contig mode)</w:t>
            </w:r>
          </w:p>
        </w:tc>
      </w:tr>
      <w:tr>
        <w:tc>
          <w:tcPr>
            <w:tcW w:type="dxa" w:w="2016"/>
            <w:shd w:val="clear" w:color="auto" w:fill="F2F7FF"/>
          </w:tcPr>
          <w:p>
            <w:r>
              <w:rPr>
                <w:sz w:val="20"/>
              </w:rPr>
              <w:t>Core alignment</w:t>
            </w:r>
          </w:p>
        </w:tc>
        <w:tc>
          <w:tcPr>
            <w:tcW w:type="dxa" w:w="2016"/>
            <w:shd w:val="clear" w:color="auto" w:fill="F2F7FF"/>
          </w:tcPr>
          <w:p>
            <w:r>
              <w:rPr>
                <w:sz w:val="20"/>
              </w:rPr>
              <w:t>snippy-core</w:t>
            </w:r>
          </w:p>
        </w:tc>
        <w:tc>
          <w:tcPr>
            <w:tcW w:type="dxa" w:w="1296"/>
            <w:shd w:val="clear" w:color="auto" w:fill="F2F7FF"/>
          </w:tcPr>
          <w:p>
            <w:r>
              <w:rPr>
                <w:sz w:val="20"/>
              </w:rPr>
              <w:t>4.6.0</w:t>
            </w:r>
          </w:p>
        </w:tc>
        <w:tc>
          <w:tcPr>
            <w:tcW w:type="dxa" w:w="4320"/>
            <w:shd w:val="clear" w:color="auto" w:fill="F2F7FF"/>
          </w:tcPr>
          <w:p>
            <w:r>
              <w:rPr>
                <w:sz w:val="20"/>
              </w:rPr>
              <w:t>Core-genome SNP alignment across all 50 samples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Recombination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Gubbins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20"/>
              </w:rPr>
              <w:t>3.3.5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Recombination masking via marginal ancestral reconstruction</w:t>
            </w:r>
          </w:p>
        </w:tc>
      </w:tr>
      <w:tr>
        <w:tc>
          <w:tcPr>
            <w:tcW w:type="dxa" w:w="2016"/>
            <w:shd w:val="clear" w:color="auto" w:fill="F2F7FF"/>
          </w:tcPr>
          <w:p>
            <w:r>
              <w:rPr>
                <w:sz w:val="20"/>
              </w:rPr>
              <w:t>Phylogeny</w:t>
            </w:r>
          </w:p>
        </w:tc>
        <w:tc>
          <w:tcPr>
            <w:tcW w:type="dxa" w:w="2016"/>
            <w:shd w:val="clear" w:color="auto" w:fill="F2F7FF"/>
          </w:tcPr>
          <w:p>
            <w:r>
              <w:rPr>
                <w:sz w:val="20"/>
              </w:rPr>
              <w:t>IQ-TREE 2</w:t>
            </w:r>
          </w:p>
        </w:tc>
        <w:tc>
          <w:tcPr>
            <w:tcW w:type="dxa" w:w="1296"/>
            <w:shd w:val="clear" w:color="auto" w:fill="F2F7FF"/>
          </w:tcPr>
          <w:p>
            <w:r>
              <w:rPr>
                <w:sz w:val="20"/>
              </w:rPr>
              <w:t>2.3.6</w:t>
            </w:r>
          </w:p>
        </w:tc>
        <w:tc>
          <w:tcPr>
            <w:tcW w:type="dxa" w:w="4320"/>
            <w:shd w:val="clear" w:color="auto" w:fill="F2F7FF"/>
          </w:tcPr>
          <w:p>
            <w:r>
              <w:rPr>
                <w:sz w:val="20"/>
              </w:rPr>
              <w:t>ML phylogeny (GTR+G, 1000 bootstraps, 1000 aLRT replicates)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SNP distances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snp-dists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20"/>
              </w:rPr>
              <w:t>0.8.2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Pairwise core-genome SNP distance matrix</w:t>
            </w:r>
          </w:p>
        </w:tc>
      </w:tr>
    </w:tbl>
    <w:p>
      <w:pPr>
        <w:pStyle w:val="Heading2"/>
        <w:spacing w:before="160" w:after="120"/>
      </w:pPr>
      <w:r>
        <w:t>4.3 Post-processing</w:t>
      </w:r>
    </w:p>
    <w:p>
      <w:pPr>
        <w:spacing w:before="40" w:after="80"/>
      </w:pPr>
      <w:r>
        <w:rPr>
          <w:sz w:val="22"/>
        </w:rPr>
        <w:t>Results from all modules were merged into a master summary table (results/summary/summary.tsv, 50 samples × 227 columns) using a custom Python script (scripts/merge_summary.py). An interactive Dash dashboard (dashboard/app.py) provides six analytical views: Phylogeny, AMR Heatmap, Sequence Types, Assembly QC, Virulence, and SNP Matrix.</w:t>
      </w:r>
    </w:p>
    <w:p>
      <w:pPr>
        <w:pStyle w:val="Heading1"/>
        <w:spacing w:before="280" w:after="120"/>
      </w:pPr>
      <w:r>
        <w:t>5. Results</w:t>
      </w:r>
    </w:p>
    <w:p>
      <w:pPr>
        <w:pStyle w:val="Heading2"/>
        <w:spacing w:before="160" w:after="120"/>
      </w:pPr>
      <w:r>
        <w:t>5.1 Assembly Quality (QUAST)</w:t>
      </w:r>
    </w:p>
    <w:p>
      <w:pPr>
        <w:spacing w:before="40" w:after="80"/>
      </w:pPr>
      <w:r>
        <w:rPr>
          <w:sz w:val="22"/>
        </w:rPr>
        <w:t>All 50 genomes passed quality thresholds:</w:t>
      </w:r>
    </w:p>
    <w:p>
      <w:pPr>
        <w:pStyle w:val="ListBullet"/>
        <w:spacing w:before="20" w:after="20"/>
      </w:pPr>
      <w:r>
        <w:rPr>
          <w:sz w:val="21"/>
        </w:rPr>
        <w:t>Median contig count: 4 contigs per genome (range 1–9)</w:t>
      </w:r>
    </w:p>
    <w:p>
      <w:pPr>
        <w:pStyle w:val="ListBullet"/>
        <w:spacing w:before="20" w:after="20"/>
      </w:pPr>
      <w:r>
        <w:rPr>
          <w:sz w:val="21"/>
        </w:rPr>
        <w:t>Total length: 5.2–6.1 Mbp (consistent with expected K. pneumoniae genome size ~5.5 Mbp)</w:t>
      </w:r>
    </w:p>
    <w:p>
      <w:pPr>
        <w:pStyle w:val="ListBullet"/>
        <w:spacing w:before="20" w:after="20"/>
      </w:pPr>
      <w:r>
        <w:rPr>
          <w:sz w:val="21"/>
        </w:rPr>
        <w:t>High N50 values (&gt; 4 Mbp for most genomes), indicating high-quality draft assemblies</w:t>
      </w:r>
    </w:p>
    <w:p>
      <w:pPr>
        <w:pStyle w:val="ListBullet"/>
        <w:spacing w:before="20" w:after="20"/>
      </w:pPr>
      <w:r>
        <w:rPr>
          <w:sz w:val="21"/>
        </w:rPr>
        <w:t>Minimal ambiguous bases (N content) throughout</w:t>
      </w:r>
    </w:p>
    <w:p>
      <w:pPr>
        <w:pStyle w:val="Heading2"/>
        <w:spacing w:before="160" w:after="120"/>
      </w:pPr>
      <w:r>
        <w:t>5.2 Sequence Type Distribution (Kleborate MLST)</w:t>
      </w:r>
    </w:p>
    <w:p>
      <w:pPr>
        <w:spacing w:before="40" w:after="80"/>
      </w:pPr>
      <w:r>
        <w:rPr>
          <w:sz w:val="22"/>
        </w:rPr>
        <w:t>Ten distinct sequence types were identified across the 50 genomes: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Sequence Type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619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val="clear" w:color="auto" w:fill="F2F7FF"/>
          </w:tcPr>
          <w:p>
            <w:r>
              <w:rPr>
                <w:sz w:val="20"/>
              </w:rPr>
              <w:t>ST11</w:t>
            </w:r>
          </w:p>
        </w:tc>
        <w:tc>
          <w:tcPr>
            <w:tcW w:type="dxa" w:w="1296"/>
            <w:shd w:val="clear" w:color="auto" w:fill="F2F7FF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6192"/>
            <w:shd w:val="clear" w:color="auto" w:fill="F2F7FF"/>
          </w:tcPr>
          <w:p>
            <w:r>
              <w:rPr>
                <w:sz w:val="20"/>
              </w:rPr>
              <w:t>Dominant lineage; high-risk CRKp clone (Asia/Europe)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ST23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20"/>
              </w:rPr>
              <w:t>Classical hypervirulent lineage</w:t>
            </w:r>
          </w:p>
        </w:tc>
      </w:tr>
      <w:tr>
        <w:tc>
          <w:tcPr>
            <w:tcW w:type="dxa" w:w="2160"/>
            <w:shd w:val="clear" w:color="auto" w:fill="F2F7FF"/>
          </w:tcPr>
          <w:p>
            <w:r>
              <w:rPr>
                <w:sz w:val="20"/>
              </w:rPr>
              <w:t>ST15</w:t>
            </w:r>
          </w:p>
        </w:tc>
        <w:tc>
          <w:tcPr>
            <w:tcW w:type="dxa" w:w="1296"/>
            <w:shd w:val="clear" w:color="auto" w:fill="F2F7FF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6192"/>
            <w:shd w:val="clear" w:color="auto" w:fill="F2F7FF"/>
          </w:tcPr>
          <w:p>
            <w:r>
              <w:rPr>
                <w:sz w:val="20"/>
              </w:rPr>
              <w:t>Emerging ESBL/carbapenem-resistant clone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ST307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20"/>
              </w:rPr>
              <w:t>Globally disseminated high-risk clone</w:t>
            </w:r>
          </w:p>
        </w:tc>
      </w:tr>
      <w:tr>
        <w:tc>
          <w:tcPr>
            <w:tcW w:type="dxa" w:w="2160"/>
            <w:shd w:val="clear" w:color="auto" w:fill="F2F7FF"/>
          </w:tcPr>
          <w:p>
            <w:r>
              <w:rPr>
                <w:sz w:val="20"/>
              </w:rPr>
              <w:t>ST147</w:t>
            </w:r>
          </w:p>
        </w:tc>
        <w:tc>
          <w:tcPr>
            <w:tcW w:type="dxa" w:w="1296"/>
            <w:shd w:val="clear" w:color="auto" w:fill="F2F7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6192"/>
            <w:shd w:val="clear" w:color="auto" w:fill="F2F7FF"/>
          </w:tcPr>
          <w:p>
            <w:r>
              <w:rPr>
                <w:sz w:val="20"/>
              </w:rPr>
              <w:t>KPC/NDM-producing international clone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ST65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20"/>
              </w:rPr>
              <w:t>Hypervirulent lineage</w:t>
            </w:r>
          </w:p>
        </w:tc>
      </w:tr>
      <w:tr>
        <w:tc>
          <w:tcPr>
            <w:tcW w:type="dxa" w:w="2160"/>
            <w:shd w:val="clear" w:color="auto" w:fill="F2F7FF"/>
          </w:tcPr>
          <w:p>
            <w:r>
              <w:rPr>
                <w:sz w:val="20"/>
              </w:rPr>
              <w:t>ST37</w:t>
            </w:r>
          </w:p>
        </w:tc>
        <w:tc>
          <w:tcPr>
            <w:tcW w:type="dxa" w:w="1296"/>
            <w:shd w:val="clear" w:color="auto" w:fill="F2F7FF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6192"/>
            <w:shd w:val="clear" w:color="auto" w:fill="F2F7FF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ST16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color="auto" w:fill="F2F7FF"/>
          </w:tcPr>
          <w:p>
            <w:r>
              <w:rPr>
                <w:sz w:val="20"/>
              </w:rPr>
              <w:t>ST512</w:t>
            </w:r>
          </w:p>
        </w:tc>
        <w:tc>
          <w:tcPr>
            <w:tcW w:type="dxa" w:w="1296"/>
            <w:shd w:val="clear" w:color="auto" w:fill="F2F7FF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6192"/>
            <w:shd w:val="clear" w:color="auto" w:fill="F2F7FF"/>
          </w:tcPr>
          <w:p>
            <w:r>
              <w:rPr>
                <w:sz w:val="20"/>
              </w:rPr>
              <w:t>KPC-producing ST258 variant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ST258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20"/>
              </w:rPr>
              <w:t>Pandemic carbapenem-resistant clone</w:t>
            </w:r>
          </w:p>
        </w:tc>
      </w:tr>
    </w:tbl>
    <w:p>
      <w:pPr>
        <w:spacing w:before="40" w:after="80"/>
      </w:pPr>
      <w:r>
        <w:rPr>
          <w:sz w:val="22"/>
        </w:rPr>
        <w:t>All 50 isolates were confirmed as Klebsiella pneumoniae sensu stricto.</w:t>
      </w:r>
    </w:p>
    <w:p>
      <w:pPr>
        <w:pStyle w:val="Heading2"/>
        <w:spacing w:before="160" w:after="120"/>
      </w:pPr>
      <w:r>
        <w:t>5.3 Phylogenetic Structure (IQ-TREE 2)</w:t>
      </w:r>
    </w:p>
    <w:p>
      <w:pPr>
        <w:spacing w:before="40" w:after="80"/>
      </w:pPr>
      <w:r>
        <w:rPr>
          <w:sz w:val="22"/>
        </w:rPr>
        <w:t>The maximum-likelihood phylogeny revealed clear clonal structure:</w:t>
      </w:r>
    </w:p>
    <w:p>
      <w:pPr>
        <w:pStyle w:val="ListBullet"/>
        <w:spacing w:before="20" w:after="20"/>
      </w:pPr>
      <w:r>
        <w:rPr>
          <w:b/>
          <w:sz w:val="21"/>
        </w:rPr>
        <w:t>Top clade, tightly clustered — consistent with clonal expansion of this high-risk carbapenem-resistant lineage.</w:t>
      </w:r>
      <w:r>
        <w:rPr>
          <w:sz w:val="21"/>
        </w:rPr>
        <w:t xml:space="preserve">ST11 (n=15): </w:t>
      </w:r>
    </w:p>
    <w:p>
      <w:pPr>
        <w:pStyle w:val="ListBullet"/>
        <w:spacing w:before="20" w:after="20"/>
      </w:pPr>
      <w:r>
        <w:rPr>
          <w:b/>
          <w:sz w:val="21"/>
        </w:rPr>
        <w:t>Middle cluster with intermediate branch lengths, reflecting shared evolutionary origin and convergent KPC/NDM acquisition.</w:t>
      </w:r>
      <w:r>
        <w:rPr>
          <w:sz w:val="21"/>
        </w:rPr>
        <w:t xml:space="preserve">ST258/ST307/ST147: </w:t>
      </w:r>
    </w:p>
    <w:p>
      <w:pPr>
        <w:pStyle w:val="ListBullet"/>
        <w:spacing w:before="20" w:after="20"/>
      </w:pPr>
      <w:r>
        <w:rPr>
          <w:b/>
          <w:sz w:val="21"/>
        </w:rPr>
        <w:t>Three isolates (bottom right) form a tight cluster with short branches, suggesting recent common ancestry.</w:t>
      </w:r>
      <w:r>
        <w:rPr>
          <w:sz w:val="21"/>
        </w:rPr>
        <w:t xml:space="preserve">ST16 clade: </w:t>
      </w:r>
    </w:p>
    <w:p>
      <w:pPr>
        <w:pStyle w:val="ListBullet"/>
        <w:spacing w:before="20" w:after="20"/>
      </w:pPr>
      <w:r>
        <w:rPr>
          <w:b/>
          <w:sz w:val="21"/>
        </w:rPr>
        <w:t>Deeply branching outgroup with long branches (0.3–0.5), indicating substantial genomic divergence.</w:t>
      </w:r>
      <w:r>
        <w:rPr>
          <w:sz w:val="21"/>
        </w:rPr>
        <w:t xml:space="preserve">ST307 divergent clade (n=4): </w:t>
      </w:r>
    </w:p>
    <w:p>
      <w:pPr>
        <w:pStyle w:val="ListBullet"/>
        <w:spacing w:before="20" w:after="20"/>
      </w:pPr>
      <w:r>
        <w:rPr>
          <w:b/>
          <w:sz w:val="21"/>
        </w:rPr>
        <w:t>Identifiable by distinct virulence locus profiles; phylogenetically distinct from carbapenem-resistant lineages.</w:t>
      </w:r>
      <w:r>
        <w:rPr>
          <w:sz w:val="21"/>
        </w:rPr>
        <w:t xml:space="preserve">ST23/ST65 (hypervirulent): </w:t>
      </w:r>
    </w:p>
    <w:p>
      <w:pPr>
        <w:pStyle w:val="Heading2"/>
        <w:spacing w:before="160" w:after="120"/>
      </w:pPr>
      <w:r>
        <w:t>5.4 AMR Gene Burden (AMRFinderPlus)</w:t>
      </w:r>
    </w:p>
    <w:p>
      <w:pPr>
        <w:spacing w:before="40" w:after="80"/>
      </w:pPr>
      <w:r>
        <w:rPr>
          <w:sz w:val="22"/>
        </w:rPr>
        <w:t>128 resistance genes detected across 50 genomes (present in ≥ 2 isolates):</w:t>
      </w:r>
    </w:p>
    <w:p>
      <w:pPr>
        <w:pStyle w:val="ListBullet"/>
        <w:spacing w:before="20" w:after="20"/>
      </w:pPr>
      <w:r>
        <w:rPr>
          <w:b/>
          <w:sz w:val="21"/>
        </w:rPr>
        <w:t>blaKPC-2, blaKPC-3, blaKPC-31, blaKPC-91, blaNDM-1/4/5/7, blaOXA-48, blaOXA-181</w:t>
      </w:r>
      <w:r>
        <w:rPr>
          <w:sz w:val="21"/>
        </w:rPr>
        <w:t xml:space="preserve">Carbapenemases: </w:t>
      </w:r>
    </w:p>
    <w:p>
      <w:pPr>
        <w:pStyle w:val="ListBullet"/>
        <w:spacing w:before="20" w:after="20"/>
      </w:pPr>
      <w:r>
        <w:rPr>
          <w:b/>
          <w:sz w:val="21"/>
        </w:rPr>
        <w:t>blaCTX-M-14/15/3/55/65, blaDHA-1, blaSHV variants (-1, -11, -12, -28, -31, -5)</w:t>
      </w:r>
      <w:r>
        <w:rPr>
          <w:sz w:val="21"/>
        </w:rPr>
        <w:t xml:space="preserve">ESBL genes: </w:t>
      </w:r>
    </w:p>
    <w:p>
      <w:pPr>
        <w:pStyle w:val="ListBullet"/>
        <w:spacing w:before="20" w:after="20"/>
      </w:pPr>
      <w:r>
        <w:rPr>
          <w:b/>
          <w:sz w:val="21"/>
        </w:rPr>
        <w:t>gyrA (D87A/G/N, S83F/I), parC (E84K, S80I), oqxA/oqxB efflux pumps</w:t>
      </w:r>
      <w:r>
        <w:rPr>
          <w:sz w:val="21"/>
        </w:rPr>
        <w:t xml:space="preserve">Fluoroquinolone resistance: </w:t>
      </w:r>
    </w:p>
    <w:p>
      <w:pPr>
        <w:pStyle w:val="ListBullet"/>
        <w:spacing w:before="20" w:after="20"/>
      </w:pPr>
      <w:r>
        <w:rPr>
          <w:b/>
          <w:sz w:val="21"/>
        </w:rPr>
        <w:t>armA, rmtB1, rmtF1, multiple aac/aad/aph gene variants</w:t>
      </w:r>
      <w:r>
        <w:rPr>
          <w:sz w:val="21"/>
        </w:rPr>
        <w:t xml:space="preserve">Aminoglycoside resistance: </w:t>
      </w:r>
    </w:p>
    <w:p>
      <w:pPr>
        <w:pStyle w:val="ListBullet"/>
        <w:spacing w:before="20" w:after="20"/>
      </w:pPr>
      <w:r>
        <w:rPr>
          <w:b/>
          <w:sz w:val="21"/>
        </w:rPr>
        <w:t>mgrB truncations, pmrB mutations</w:t>
      </w:r>
      <w:r>
        <w:rPr>
          <w:sz w:val="21"/>
        </w:rPr>
        <w:t xml:space="preserve">Colistin resistance: </w:t>
      </w:r>
    </w:p>
    <w:p>
      <w:pPr>
        <w:pStyle w:val="ListBullet"/>
        <w:spacing w:before="20" w:after="20"/>
      </w:pPr>
      <w:r>
        <w:rPr>
          <w:b/>
          <w:sz w:val="21"/>
        </w:rPr>
        <w:t>ars, mer, sil, pco gene clusters</w:t>
      </w:r>
      <w:r>
        <w:rPr>
          <w:sz w:val="21"/>
        </w:rPr>
        <w:t xml:space="preserve">Metal/stress resistance: </w:t>
      </w:r>
    </w:p>
    <w:p>
      <w:pPr>
        <w:pStyle w:val="Heading2"/>
        <w:spacing w:before="160" w:after="120"/>
      </w:pPr>
      <w:r>
        <w:t>5.5 Virulence Loci (Kleborate)</w:t>
      </w:r>
    </w:p>
    <w:p>
      <w:pPr>
        <w:spacing w:before="40" w:after="80"/>
      </w:pPr>
      <w:r>
        <w:rPr>
          <w:sz w:val="22"/>
        </w:rPr>
        <w:t>Two major phenotypic groups were identified:</w:t>
      </w:r>
    </w:p>
    <w:p>
      <w:pPr>
        <w:pStyle w:val="ListBullet"/>
        <w:spacing w:before="20" w:after="20"/>
      </w:pPr>
      <w:r>
        <w:rPr>
          <w:b/>
          <w:sz w:val="21"/>
        </w:rPr>
        <w:t>Most ST11, ST258, ST307, ST147 — lack major virulence loci; healthcare-associated, AMR-driven.</w:t>
      </w:r>
      <w:r>
        <w:rPr>
          <w:sz w:val="21"/>
        </w:rPr>
        <w:t xml:space="preserve">Classical (non-hypervirulent): </w:t>
      </w:r>
    </w:p>
    <w:p>
      <w:pPr>
        <w:pStyle w:val="ListBullet"/>
        <w:spacing w:before="20" w:after="20"/>
      </w:pPr>
      <w:r>
        <w:rPr>
          <w:b/>
          <w:sz w:val="21"/>
        </w:rPr>
        <w:t>ST23, ST65 isolates carrying Ybt (Yersiniabactin), Clb (Colibactin), Iuc (Aerobactin), Iro (Salmochelin), and RmpADC/rmpA2 (hypermucoviscosity).</w:t>
      </w:r>
      <w:r>
        <w:rPr>
          <w:sz w:val="21"/>
        </w:rPr>
        <w:t xml:space="preserve">Hypervirulent (hvKP): </w:t>
      </w:r>
    </w:p>
    <w:p>
      <w:pPr>
        <w:pStyle w:val="ListBullet"/>
        <w:spacing w:before="20" w:after="20"/>
      </w:pPr>
      <w:r>
        <w:rPr>
          <w:b/>
          <w:sz w:val="21"/>
        </w:rPr>
        <w:t>A small number of isolates combine carbapenem resistance (KPC/NDM) with Iuc + Ybt, representing the highest-priority clinical phenotype.</w:t>
      </w:r>
      <w:r>
        <w:rPr>
          <w:sz w:val="21"/>
        </w:rPr>
        <w:t xml:space="preserve">CR-hvKP: </w:t>
      </w:r>
    </w:p>
    <w:p>
      <w:pPr>
        <w:pStyle w:val="Heading2"/>
        <w:spacing w:before="160" w:after="120"/>
      </w:pPr>
      <w:r>
        <w:t>5.6 Pairwise SNP Distances</w:t>
      </w:r>
    </w:p>
    <w:p>
      <w:pPr>
        <w:pStyle w:val="ListBullet"/>
        <w:spacing w:before="20" w:after="20"/>
      </w:pPr>
      <w:r>
        <w:rPr>
          <w:sz w:val="21"/>
        </w:rPr>
        <w:t>Inter-ST distances: typically &gt; 5,000 SNPs — confirming distinct evolutionary lineages</w:t>
      </w:r>
    </w:p>
    <w:p>
      <w:pPr>
        <w:pStyle w:val="ListBullet"/>
        <w:spacing w:before="20" w:after="20"/>
      </w:pPr>
      <w:r>
        <w:rPr>
          <w:sz w:val="21"/>
        </w:rPr>
        <w:t>Intra-ST distances: variable; ST11 and ST16 show tight within-clade clustering</w:t>
      </w:r>
    </w:p>
    <w:p>
      <w:pPr>
        <w:pStyle w:val="ListBullet"/>
        <w:spacing w:before="20" w:after="20"/>
      </w:pPr>
      <w:r>
        <w:rPr>
          <w:sz w:val="21"/>
        </w:rPr>
        <w:t>Outbreak threshold (≤ 25 SNPs): no pairs identified — confirming diverse representative collection, not a single outbreak</w:t>
      </w:r>
    </w:p>
    <w:p>
      <w:pPr>
        <w:pStyle w:val="Heading1"/>
        <w:spacing w:before="280" w:after="120"/>
      </w:pPr>
      <w:r>
        <w:t>6. Key Findings</w:t>
      </w:r>
    </w:p>
    <w:p>
      <w:pPr>
        <w:pStyle w:val="ListBullet"/>
        <w:spacing w:before="20" w:after="20"/>
      </w:pPr>
      <w:r>
        <w:rPr>
          <w:sz w:val="21"/>
        </w:rPr>
        <w:t>ST11 is the dominant clone (30%), consistent with global CRKp epidemiology in Asia and Europe.</w:t>
      </w:r>
    </w:p>
    <w:p>
      <w:pPr>
        <w:pStyle w:val="ListBullet"/>
        <w:spacing w:before="20" w:after="20"/>
      </w:pPr>
      <w:r>
        <w:rPr>
          <w:sz w:val="21"/>
        </w:rPr>
        <w:t>Multiple carbapenemase classes co-circulate: KPC (ST11, ST258, ST512), NDM (ST147, ST15), OXA-48 (ST307) — polyclonal carbapenem resistance.</w:t>
      </w:r>
    </w:p>
    <w:p>
      <w:pPr>
        <w:pStyle w:val="ListBullet"/>
        <w:spacing w:before="20" w:after="20"/>
      </w:pPr>
      <w:r>
        <w:rPr>
          <w:sz w:val="21"/>
        </w:rPr>
        <w:t>Hypervirulent lineages (ST23, ST65) are phylogenetically distinct from carbapenem-resistant clones but co-circulate in clinical settings.</w:t>
      </w:r>
    </w:p>
    <w:p>
      <w:pPr>
        <w:pStyle w:val="ListBullet"/>
        <w:spacing w:before="20" w:after="20"/>
      </w:pPr>
      <w:r>
        <w:rPr>
          <w:sz w:val="21"/>
        </w:rPr>
        <w:t>CR-hvKP isolates — combining carbapenem resistance with aerobactin/yersiniabactin — identified as highest-priority clinical threat.</w:t>
      </w:r>
    </w:p>
    <w:p>
      <w:pPr>
        <w:pStyle w:val="ListBullet"/>
        <w:spacing w:before="20" w:after="20"/>
      </w:pPr>
      <w:r>
        <w:rPr>
          <w:sz w:val="21"/>
        </w:rPr>
        <w:t>Assembly quality is uniformly high: all 50 genomes had ≤ 9 contigs and N50 &gt; 4 Mbp.</w:t>
      </w:r>
    </w:p>
    <w:p>
      <w:pPr>
        <w:pStyle w:val="ListBullet"/>
        <w:spacing w:before="20" w:after="20"/>
      </w:pPr>
      <w:r>
        <w:rPr>
          <w:sz w:val="21"/>
        </w:rPr>
        <w:t>No active transmission clusters identified (no pairs ≤ 25 SNPs) — dataset represents geographically/temporally diverse isolates.</w:t>
      </w:r>
    </w:p>
    <w:p>
      <w:pPr>
        <w:pStyle w:val="Heading1"/>
        <w:spacing w:before="280" w:after="120"/>
      </w:pPr>
      <w:r>
        <w:t>7. Technical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57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3600"/>
            <w:shd w:val="clear" w:color="auto" w:fill="F2F7FF"/>
          </w:tcPr>
          <w:p>
            <w:r>
              <w:rPr>
                <w:sz w:val="20"/>
              </w:rPr>
              <w:t>Workflow manager</w:t>
            </w:r>
          </w:p>
        </w:tc>
        <w:tc>
          <w:tcPr>
            <w:tcW w:type="dxa" w:w="5760"/>
            <w:shd w:val="clear" w:color="auto" w:fill="F2F7FF"/>
          </w:tcPr>
          <w:p>
            <w:r>
              <w:rPr>
                <w:sz w:val="20"/>
              </w:rPr>
              <w:t>Nextflow DSL2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Containerisation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Docker Desktop (WSL2 backend)</w:t>
            </w:r>
          </w:p>
        </w:tc>
      </w:tr>
      <w:tr>
        <w:tc>
          <w:tcPr>
            <w:tcW w:type="dxa" w:w="3600"/>
            <w:shd w:val="clear" w:color="auto" w:fill="F2F7FF"/>
          </w:tcPr>
          <w:p>
            <w:r>
              <w:rPr>
                <w:sz w:val="20"/>
              </w:rPr>
              <w:t>Container registry</w:t>
            </w:r>
          </w:p>
        </w:tc>
        <w:tc>
          <w:tcPr>
            <w:tcW w:type="dxa" w:w="5760"/>
            <w:shd w:val="clear" w:color="auto" w:fill="F2F7FF"/>
          </w:tcPr>
          <w:p>
            <w:r>
              <w:rPr>
                <w:sz w:val="20"/>
              </w:rPr>
              <w:t>StaPH-B, quay.io/biocontainers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Operating system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Ubuntu (WSL2) on Windows 11</w:t>
            </w:r>
          </w:p>
        </w:tc>
      </w:tr>
      <w:tr>
        <w:tc>
          <w:tcPr>
            <w:tcW w:type="dxa" w:w="3600"/>
            <w:shd w:val="clear" w:color="auto" w:fill="F2F7FF"/>
          </w:tcPr>
          <w:p>
            <w:r>
              <w:rPr>
                <w:sz w:val="20"/>
              </w:rPr>
              <w:t>Resource management</w:t>
            </w:r>
          </w:p>
        </w:tc>
        <w:tc>
          <w:tcPr>
            <w:tcW w:type="dxa" w:w="5760"/>
            <w:shd w:val="clear" w:color="auto" w:fill="F2F7FF"/>
          </w:tcPr>
          <w:p>
            <w:r>
              <w:rPr>
                <w:sz w:val="20"/>
              </w:rPr>
              <w:t>Nextflow withName process selectors in nextflow.config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Summary merging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Python 3 / pandas (scripts/merge_summary.py)</w:t>
            </w:r>
          </w:p>
        </w:tc>
      </w:tr>
      <w:tr>
        <w:tc>
          <w:tcPr>
            <w:tcW w:type="dxa" w:w="3600"/>
            <w:shd w:val="clear" w:color="auto" w:fill="F2F7FF"/>
          </w:tcPr>
          <w:p>
            <w:r>
              <w:rPr>
                <w:sz w:val="20"/>
              </w:rPr>
              <w:t>Visualisation</w:t>
            </w:r>
          </w:p>
        </w:tc>
        <w:tc>
          <w:tcPr>
            <w:tcW w:type="dxa" w:w="5760"/>
            <w:shd w:val="clear" w:color="auto" w:fill="F2F7FF"/>
          </w:tcPr>
          <w:p>
            <w:r>
              <w:rPr>
                <w:sz w:val="20"/>
              </w:rPr>
              <w:t>Python Dash + Plotly (dashboard/app.py)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Version control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Git / GitHub</w:t>
            </w:r>
          </w:p>
        </w:tc>
      </w:tr>
    </w:tbl>
    <w:p>
      <w:pPr>
        <w:spacing w:before="40" w:after="80"/>
      </w:pPr>
      <w:r>
        <w:rPr>
          <w:sz w:val="22"/>
        </w:rPr>
        <w:t>Pipeline execution (50 genomes, full run): approximately 3–4 hours on a 16-core / 16 GB RAM system. Cached re-runs (e.g., adding snp-dists): &lt; 5 minutes using nextflow run -resume.</w:t>
      </w:r>
    </w:p>
    <w:p>
      <w:pPr>
        <w:pStyle w:val="Heading1"/>
        <w:spacing w:before="280" w:after="120"/>
      </w:pPr>
      <w:r>
        <w:t>8. Conclusions</w:t>
      </w:r>
    </w:p>
    <w:p>
      <w:pPr>
        <w:spacing w:before="40" w:after="80"/>
      </w:pPr>
      <w:r>
        <w:rPr>
          <w:sz w:val="22"/>
        </w:rPr>
        <w:t>This project demonstrates a complete, reproducible WGS phylogenomics workflow for K. pneumoniae using freely available tools in a Nextflow DSL2 framework. The pipeline successfully characterised 50 K. pneumoniae genomes across 10 sequence types, identified ST11 as the dominant high-risk clone, detected 128 AMR genes including multiple carbapenemase classes, distinguished classical AMR lineages from hypervirulent isolates, and produced a maximum-likelihood phylogeny with a pairwise SNP matrix confirming no active outbreak clusters.</w:t>
      </w:r>
    </w:p>
    <w:p>
      <w:pPr>
        <w:spacing w:before="40" w:after="80"/>
      </w:pPr>
      <w:r>
        <w:rPr>
          <w:sz w:val="22"/>
        </w:rPr>
        <w:t>The modular Nextflow architecture and containerised tools ensure full reproducibility across computing environments and straightforward extension to larger genome collections.</w:t>
      </w:r>
    </w:p>
    <w:p/>
    <w:p>
      <w:r>
        <w:rPr>
          <w:color w:val="2E75B6"/>
          <w:sz w:val="20"/>
        </w:rPr>
        <w:t>Repository: https://github.com/bkhimek/K-pneumoniae-Phylogenomics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