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 xml:space="preserve">PROJECT DEVELOPMENT PLAN</w:t>
      </w:r>
    </w:p>
    <w:p>
      <w:pPr>
        <w:pStyle w:val="Title"/>
      </w:pPr>
      <w:r>
        <w:t xml:space="preserve">Nanopore Metagenomics for Pathogen and AMR Profiling</w:t>
      </w:r>
    </w:p>
    <w:p>
      <w:r>
        <w:t xml:space="preserve">A reproducible, benchmark-led workflow for mixed microbial samples</w:t>
      </w:r>
    </w:p>
    <w:p>
      <w:r>
        <w:t>Working draft, revision 8 (amended later on 18 October 2026) • 18 October 2026 • Independent portfolio project</w:t>
      </w:r>
    </w:p>
    <w:p>
      <w:pPr>
        <w:pStyle w:val="Heading1"/>
      </w:pPr>
      <w:r>
        <w:t xml:space="preserve">1. Purpose and positioning</w:t>
      </w:r>
    </w:p>
    <w:p>
      <w:r>
        <w:t xml:space="preserve">Develop a defensible demonstration of long-read metagenomic analysis relevant to infectious-disease molecular diagnostics. The goal is not to claim clinical assay validation or to replicate a target-enrichment platform. The project should establish practical competence in data selection, taxonomic identification, AMR detection, uncertainty assessment, reproducible execution and interpretation.</w:t>
      </w:r>
    </w:p>
    <w:p>
      <w:r>
        <w:t xml:space="preserve">The emphasis is on demonstrating and understanding analytical performance, not only on assembling a pipeline: a case study that shows where the workflow succeeds, where it fails and why is the intended outcome.</w:t>
      </w:r>
    </w:p>
    <w:p>
      <w:r>
        <w:t xml:space="preserve">Primary audience: diagnostics R&amp;D teams working with mixed-organism sequencing, including nanopore-based workflows. Scientific value and portability across potential clients take priority over tailoring the project to one company.</w:t>
      </w:r>
    </w:p>
    <w:p>
      <w:pPr>
        <w:pStyle w:val="Heading1"/>
      </w:pPr>
      <w:r>
        <w:t xml:space="preserve">2. Research questions</w:t>
      </w:r>
    </w:p>
    <w:p>
      <w:pPr>
        <w:pStyle w:val="ListBullet"/>
      </w:pPr>
      <w:r>
        <w:t xml:space="preserve">How accurately can a reproducible workflow identify organisms in a defined mixed microbial sample from nanopore reads?</w:t>
      </w:r>
    </w:p>
    <w:p>
      <w:pPr>
        <w:pStyle w:val="ListBullet"/>
      </w:pPr>
      <w:r>
        <w:t xml:space="preserve">How do sequencing depth, read quality and reference database choice influence taxonomic false positives and abundance estimates?</w:t>
      </w:r>
    </w:p>
    <w:p>
      <w:pPr>
        <w:pStyle w:val="ListBullet"/>
      </w:pPr>
      <w:r>
        <w:t xml:space="preserve">Which AMR determinants can be detected reliably at gene-family and allele level, and under what circumstances can they be attributed to a specific organism?</w:t>
      </w:r>
    </w:p>
    <w:p>
      <w:pPr>
        <w:pStyle w:val="ListBullet"/>
      </w:pPr>
      <w:r>
        <w:t xml:space="preserve">What evidence and uncertainty indicators should appear in a diagnostic-oriented research report?</w:t>
      </w:r>
    </w:p>
    <w:p>
      <w:pPr>
        <w:pStyle w:val="Heading1"/>
      </w:pPr>
      <w:r>
        <w:t xml:space="preserve">3. Boundaries: what this project will and will not claim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Within scope</w:t>
            </w:r>
          </w:p>
        </w:tc>
        <w:tc>
          <w:tcPr>
            <w:tcW w:type="dxa" w:w="4320"/>
          </w:tcPr>
          <w:p>
            <w:r>
              <w:t xml:space="preserve">Not established by this project</w:t>
            </w:r>
          </w:p>
        </w:tc>
      </w:tr>
      <w:tr>
        <w:tc>
          <w:tcPr>
            <w:tcW w:type="dxa" w:w="4320"/>
          </w:tcPr>
          <w:p>
            <w:r>
              <w:t xml:space="preserve">Analytical performance on publicly available, characterised datasets</w:t>
            </w:r>
          </w:p>
        </w:tc>
        <w:tc>
          <w:tcPr>
            <w:tcW w:type="dxa" w:w="4320"/>
          </w:tcPr>
          <w:p>
            <w:r>
              <w:t xml:space="preserve">Clinical diagnostic sensitivity/specificity or patient-level utility</w:t>
            </w:r>
          </w:p>
        </w:tc>
      </w:tr>
      <w:tr>
        <w:tc>
          <w:tcPr>
            <w:tcW w:type="dxa" w:w="4320"/>
          </w:tcPr>
          <w:p>
            <w:r>
              <w:t xml:space="preserve">Computational read filtering, classification, mapping and AMR annotation</w:t>
            </w:r>
          </w:p>
        </w:tc>
        <w:tc>
          <w:tcPr>
            <w:tcW w:type="dxa" w:w="4320"/>
          </w:tcPr>
          <w:p>
            <w:r>
              <w:t xml:space="preserve">Experimental performance of capture/enrichment chemistry</w:t>
            </w:r>
          </w:p>
        </w:tc>
      </w:tr>
      <w:tr>
        <w:tc>
          <w:tcPr>
            <w:tcW w:type="dxa" w:w="4320"/>
          </w:tcPr>
          <w:p>
            <w:r>
              <w:t xml:space="preserve">Comparison against known mock composition and documented reference results</w:t>
            </w:r>
          </w:p>
        </w:tc>
        <w:tc>
          <w:tcPr>
            <w:tcW w:type="dxa" w:w="4320"/>
          </w:tcPr>
          <w:p>
            <w:r>
              <w:t xml:space="preserve">Organism–AMR linkage from co-occurrence alone</w:t>
            </w:r>
          </w:p>
        </w:tc>
      </w:tr>
      <w:tr>
        <w:tc>
          <w:tcPr>
            <w:tcW w:type="dxa" w:w="4320"/>
          </w:tcPr>
          <w:p>
            <w:r>
              <w:t xml:space="preserve">Reproducible workflow and exploratory reporting</w:t>
            </w:r>
          </w:p>
        </w:tc>
        <w:tc>
          <w:tcPr>
            <w:tcW w:type="dxa" w:w="4320"/>
          </w:tcPr>
          <w:p>
            <w:r>
              <w:t xml:space="preserve">Regulatory compliance or deployment-ready clinical surveillance</w:t>
            </w:r>
          </w:p>
        </w:tc>
      </w:tr>
      <w:tr>
        <w:tc>
          <w:tcPr>
            <w:tcW w:type="dxa" w:w="4320"/>
          </w:tcPr>
          <w:p>
            <w:r>
              <w:t xml:space="preserve">Performance for the specific chemistry and basecaller of the datasets used</w:t>
            </w:r>
          </w:p>
        </w:tc>
        <w:tc>
          <w:tcPr>
            <w:tcW w:type="dxa" w:w="4320"/>
          </w:tcPr>
          <w:p>
            <w:r>
              <w:t xml:space="preserve">Generalisation to other flow cells, chemistries or basecaller versions</w:t>
            </w:r>
          </w:p>
        </w:tc>
      </w:tr>
    </w:tbl>
    <w:p/>
    <w:p>
      <w:pPr>
        <w:pStyle w:val="Heading1"/>
      </w:pPr>
      <w:r>
        <w:t xml:space="preserve">4. Dataset strategy — first decision gate</w:t>
      </w:r>
    </w:p>
    <w:p>
      <w:r>
        <w:t xml:space="preserve">Use a benchmark-led sequence: A, a defined-composition nanopore mock community for taxonomy (mandatory); C, an independently characterised AMR mock/reference dataset if suitable (recommended, separately gated); then B, real clinical metagenomics as an optional extension. Urinary metagenomics is the current preference for B, but the specimen type and dataset will be selected only after benchmarking and review of available metadata. An AMR benchmark is optional unless ground-truth resistance determinants are independently characterised.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Dataset tier</w:t>
            </w:r>
          </w:p>
        </w:tc>
        <w:tc>
          <w:tcPr>
            <w:tcW w:type="dxa" w:w="2880"/>
          </w:tcPr>
          <w:p>
            <w:r>
              <w:t xml:space="preserve">Selection criteria</w:t>
            </w:r>
          </w:p>
        </w:tc>
        <w:tc>
          <w:tcPr>
            <w:tcW w:type="dxa" w:w="2880"/>
          </w:tcPr>
          <w:p>
            <w:r>
              <w:t xml:space="preserve">Go/no-go</w:t>
            </w:r>
          </w:p>
        </w:tc>
      </w:tr>
      <w:tr>
        <w:tc>
          <w:tcPr>
            <w:tcW w:type="dxa" w:w="2880"/>
          </w:tcPr>
          <w:p>
            <w:r>
              <w:t xml:space="preserve">A. Mock community (mandatory)</w:t>
            </w:r>
          </w:p>
        </w:tc>
        <w:tc>
          <w:tcPr>
            <w:tcW w:type="dxa" w:w="2880"/>
          </w:tcPr>
          <w:p>
            <w:r>
              <w:t xml:space="preserve">Nanopore FASTQ available; documented species composition; accessible accession and manageable size (or a reproducible subset); chemistry and basecaller recorded; ideally negative/blank controls</w:t>
            </w:r>
          </w:p>
        </w:tc>
        <w:tc>
          <w:tcPr>
            <w:tcW w:type="dxa" w:w="2880"/>
          </w:tcPr>
          <w:p>
            <w:r>
              <w:t xml:space="preserve">Proceed only if composition and read provenance are verifiable</w:t>
            </w:r>
          </w:p>
        </w:tc>
      </w:tr>
      <w:tr>
        <w:tc>
          <w:tcPr>
            <w:tcW w:type="dxa" w:w="2880"/>
          </w:tcPr>
          <w:p>
            <w:r>
              <w:t xml:space="preserve">B. Real clinical metagenomics (optional; urinary preferred)</w:t>
            </w:r>
          </w:p>
        </w:tc>
        <w:tc>
          <w:tcPr>
            <w:tcW w:type="dxa" w:w="2880"/>
          </w:tcPr>
          <w:p>
            <w:r>
              <w:t xml:space="preserve">Prefer urinary nanopore metagenomic reads with documented specimen and independent microbiology; alternative specimen types remain possible</w:t>
            </w:r>
          </w:p>
        </w:tc>
        <w:tc>
          <w:tcPr>
            <w:tcW w:type="dxa" w:w="2880"/>
          </w:tcPr>
          <w:p>
            <w:r>
              <w:t xml:space="preserve">Proceed only if interpretive metadata support the intended comparison</w:t>
            </w:r>
          </w:p>
        </w:tc>
      </w:tr>
      <w:tr>
        <w:tc>
          <w:tcPr>
            <w:tcW w:type="dxa" w:w="2880"/>
          </w:tcPr>
          <w:p>
            <w:r>
              <w:t xml:space="preserve">C. AMR-characterised mock/reference (recommended)</w:t>
            </w:r>
          </w:p>
        </w:tc>
        <w:tc>
          <w:tcPr>
            <w:tcW w:type="dxa" w:w="2880"/>
          </w:tcPr>
          <w:p>
            <w:r>
              <w:t xml:space="preserve">Defined resistant/susceptible organisms with independently characterised genes/alleles; accessible nanopore reads and suitable truth documentation</w:t>
            </w:r>
          </w:p>
        </w:tc>
        <w:tc>
          <w:tcPr>
            <w:tcW w:type="dxa" w:w="2880"/>
          </w:tcPr>
          <w:p>
            <w:r>
              <w:t xml:space="preserve">Without an independent truth set, report descriptive AMR calls, not sensitivity/specificity. Truth derived only by annotating reference genomes with the same databases under test is not independent and must be labelled as such</w:t>
            </w:r>
          </w:p>
        </w:tc>
      </w:tr>
    </w:tbl>
    <w:p/>
    <w:p>
      <w:r>
        <w:t xml:space="preserve">Earlier dataset suggestions are preliminary leads only. The shortlist below requires accession-level verification, particularly for the AMR ground truth and the proposed urinary clinical dataset.</w:t>
      </w:r>
    </w:p>
    <w:p>
      <w:pPr>
        <w:pStyle w:val="Heading2"/>
      </w:pPr>
      <w:r>
        <w:t xml:space="preserve">Candidate dataset leads — verify before selection</w:t>
      </w:r>
    </w:p>
    <w:p>
      <w:r>
        <w:t xml:space="preserve">A (taxonomy): LomanLab nanopore mock-community data (https://github.com/LomanLab/mockcommunity; bioRxiv preprint “Ultra-deep, long-read nanopore sequencing of mock microbial community standards”). From the repository README: two Zymo community standards, even (batch ZRC190633) and log/staggered (batch ZRC190842), each of 10 species (5 Gram-positive, 3 Gram-negative, 2 yeast), sequenced on GridION (about 14–16 Gb) and PromethION (about 146–148 Gb) in 2018, plus a separate prototype R10 release (16.6 Gb) basecalled with a pre-release Guppy model. Files are hosted on CLIMB; the README lists no ENA/SRA accessions, so check ENA separately. This is older chemistry than PRJNA1181840, so any comparison between them is confounded by chemistry. The log/staggered community is a natural low-abundance test.</w:t>
      </w:r>
    </w:p>
    <w:p>
      <w:r>
        <w:t>A/C (candidate): PRJNA1181840 — ENA run record verified 12 October 2026. Study title “Deep Nanopore Q20+ sequencing of Zymo D6331”; experiment “PromethION sequencing: Zymo D6331”; one run, SRR31222153; instrument PromethION; library strategy WGS, source METAGENOMIC, selection RANDOM; sample “metagenome or environmental sample from synthetic metagenome”; first public 2025-02-23. 23,429,059 reads and 128.37 Gb (mean read length about 5.5 kb); compressed FASTQ about 120 GB. NCBI also associates it with a 2025 Nature Communications paper on species-resolved AMR profiling (Argo); that link is not yet confirmed from the run record. Chemistry and basecaller (read from the ENA record of experiment SRX26602699 on 15 October 2026; this is the submitter’s free-text design description, not a structured field): SQK-LSK114 ligation kit, FLO-PRO114M flow cell, Dorado v7.2.13. The basecalling model tier (fast, high-accuracy or super-accuracy) is not stated. Still to confirm: the link to the published Argo paper and the model tier. Because it is a single run, subsets of it cannot provide an independent held-out run. The ENA FASTQ is a single gzip stream with rewritten read IDs (SRR31222153.n), so duplex sister reads cannot be identified, and measured transfer from the WSL machine is only about 0.5 MB/s (the full file would take about three days). The full file will therefore not be downloaded. Instead, reads are fetched from NCBI SRA by read-number range (verified: the first 200 reads are identical to ENA), as 74 seeded, stratified blocks of 5,000 reads spread across the run, giving a development pool and an evaluation pool of 185,000 reads (about 1 Gb) each, sampled on 12 October 2026 (see Section 5a). It must not be assumed to provide an independent AMR truth set. Status: SRR31222153 is the provisional primary dataset for the taxonomy benchmark, pending verification of the D6331 composition and pool QC. Expected composition (checked on 13 October 2026 against Table 1 and Table 2 of the manufacturer’s instruction manual; the lot-specific certificate of analysis has not been obtained because the lot number of the sequenced sample is unknown, so this is the theoretical composition): 21 strains, of which 18 are bacteria (including 5 E. coli strains), 1 archaeon and 2 fungi, collapsing to 17 species, with theoretical genomic-DNA proportions from 14% down to 0.0001%. The manual gives separate columns for genomic DNA, 16S, genome copy and cell number. Reads are expected to follow DNA mass (the genomic-DNA column), while coverage per genome follows the genome-copy column (checked: genome-copy % equals DNA % divided by genome size, renormalised). Which column is used must match what the tool reports. Several members are far below what 1 Gb can sample, so recall is defined over evaluable species (Section 6). The five E. coli strains provide a natural closely-related-genome test.</w:t>
      </w:r>
    </w:p>
    <w:p>
      <w:r>
        <w:t xml:space="preserve">C (AMR, alternative): ESKAPE resistant/susceptible mock-community study (raw data and isolate-level AMR truth to be verified).</w:t>
      </w:r>
    </w:p>
    <w:p>
      <w:r>
        <w:t xml:space="preserve">B (real samples; deferred): urinary metagenomics lead PRJNA751627 (possibly associated with a published urine nanopore study; the accession link is not yet confirmed). Alternative respiratory leads include PRJEB41184, PRJNA1335824 and PRJNA554461. All remain unverified until the underlying sequencing records show suitable nanopore metagenomic reads and adequate comparator metadata.</w:t>
      </w:r>
    </w:p>
    <w:p>
      <w:r>
        <w:t xml:space="preserve">Dataset selection criteria: public FASTQ availability, verified sample provenance, documented reference composition or independent microbiological comparator, appropriate controls, manageable data volume, recorded chemistry and basecaller, and clear reuse conditions. Candidate links are leads, not yet validated selections.</w:t>
      </w:r>
    </w:p>
    <w:p>
      <w:pPr>
        <w:pStyle w:val="Heading1"/>
      </w:pPr>
      <w:r>
        <w:t xml:space="preserve">5. Proposed computational workflow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Stage</w:t>
            </w:r>
          </w:p>
        </w:tc>
        <w:tc>
          <w:tcPr>
            <w:tcW w:type="dxa" w:w="2880"/>
          </w:tcPr>
          <w:p>
            <w:r>
              <w:t xml:space="preserve">Candidate tools</w:t>
            </w:r>
          </w:p>
        </w:tc>
        <w:tc>
          <w:tcPr>
            <w:tcW w:type="dxa" w:w="2880"/>
          </w:tcPr>
          <w:p>
            <w:r>
              <w:t xml:space="preserve">Output / decision</w:t>
            </w:r>
          </w:p>
        </w:tc>
      </w:tr>
      <w:tr>
        <w:tc>
          <w:tcPr>
            <w:tcW w:type="dxa" w:w="2880"/>
          </w:tcPr>
          <w:p>
            <w:r>
              <w:t xml:space="preserve">Input audit</w:t>
            </w:r>
          </w:p>
        </w:tc>
        <w:tc>
          <w:tcPr>
            <w:tcW w:type="dxa" w:w="2880"/>
          </w:tcPr>
          <w:p>
            <w:r>
              <w:t xml:space="preserve">SRA/ENA metadata, checksums, sample manifest</w:t>
            </w:r>
          </w:p>
        </w:tc>
        <w:tc>
          <w:tcPr>
            <w:tcW w:type="dxa" w:w="2880"/>
          </w:tcPr>
          <w:p>
            <w:r>
              <w:t xml:space="preserve">Provenance, read type, chemistry, basecaller, controls, licence/access review</w:t>
            </w:r>
          </w:p>
        </w:tc>
      </w:tr>
      <w:tr>
        <w:tc>
          <w:tcPr>
            <w:tcW w:type="dxa" w:w="2880"/>
          </w:tcPr>
          <w:p>
            <w:r>
              <w:t xml:space="preserve">Read QC</w:t>
            </w:r>
          </w:p>
        </w:tc>
        <w:tc>
          <w:tcPr>
            <w:tcW w:type="dxa" w:w="2880"/>
          </w:tcPr>
          <w:p>
            <w:r>
              <w:t xml:space="preserve">NanoPlot / seqkit / Filtlong (evaluate)</w:t>
            </w:r>
          </w:p>
        </w:tc>
        <w:tc>
          <w:tcPr>
            <w:tcW w:type="dxa" w:w="2880"/>
          </w:tcPr>
          <w:p>
            <w:r>
              <w:t xml:space="preserve">Length, quality, yield, filtering audit</w:t>
            </w:r>
          </w:p>
        </w:tc>
      </w:tr>
      <w:tr>
        <w:tc>
          <w:tcPr>
            <w:tcW w:type="dxa" w:w="2880"/>
          </w:tcPr>
          <w:p>
            <w:r>
              <w:t xml:space="preserve">Host removal (clinical extension only)</w:t>
            </w:r>
          </w:p>
        </w:tc>
        <w:tc>
          <w:tcPr>
            <w:tcW w:type="dxa" w:w="2880"/>
          </w:tcPr>
          <w:p>
            <w:r>
              <w:t xml:space="preserve">minimap2 against appropriate host reference</w:t>
            </w:r>
          </w:p>
        </w:tc>
        <w:tc>
          <w:tcPr>
            <w:tcW w:type="dxa" w:w="2880"/>
          </w:tcPr>
          <w:p>
            <w:r>
              <w:t xml:space="preserve">Host depletion summary; privacy-conscious handling</w:t>
            </w:r>
          </w:p>
        </w:tc>
      </w:tr>
      <w:tr>
        <w:tc>
          <w:tcPr>
            <w:tcW w:type="dxa" w:w="2880"/>
          </w:tcPr>
          <w:p>
            <w:r>
              <w:t xml:space="preserve">Taxonomy</w:t>
            </w:r>
          </w:p>
        </w:tc>
        <w:tc>
          <w:tcPr>
            <w:tcW w:type="dxa" w:w="2880"/>
          </w:tcPr>
          <w:p>
            <w:r>
              <w:t xml:space="preserve">Kraken2 + Bracken and/or minimap2 against a curated genome set (baseline: one classifier, one frozen database)</w:t>
            </w:r>
          </w:p>
        </w:tc>
        <w:tc>
          <w:tcPr>
            <w:tcW w:type="dxa" w:w="2880"/>
          </w:tcPr>
          <w:p>
            <w:r>
              <w:t xml:space="preserve">Taxon calls, read support, database versions. Check database coverage first: it must contain the fungi and archaeon in the mock, or those taxa are marked out of scope</w:t>
            </w:r>
          </w:p>
        </w:tc>
      </w:tr>
      <w:tr>
        <w:tc>
          <w:tcPr>
            <w:tcW w:type="dxa" w:w="2880"/>
          </w:tcPr>
          <w:p>
            <w:r>
              <w:t xml:space="preserve">False-positive review</w:t>
            </w:r>
          </w:p>
        </w:tc>
        <w:tc>
          <w:tcPr>
            <w:tcW w:type="dxa" w:w="2880"/>
          </w:tcPr>
          <w:p>
            <w:r>
              <w:t xml:space="preserve">Mapping breadth/depth, alignment quality, controls</w:t>
            </w:r>
          </w:p>
        </w:tc>
        <w:tc>
          <w:tcPr>
            <w:tcW w:type="dxa" w:w="2880"/>
          </w:tcPr>
          <w:p>
            <w:r>
              <w:t xml:space="preserve">Confidence flags and unsupported-call removal</w:t>
            </w:r>
          </w:p>
        </w:tc>
      </w:tr>
      <w:tr>
        <w:tc>
          <w:tcPr>
            <w:tcW w:type="dxa" w:w="2880"/>
          </w:tcPr>
          <w:p>
            <w:r>
              <w:t xml:space="preserve">AMR detection</w:t>
            </w:r>
          </w:p>
        </w:tc>
        <w:tc>
          <w:tcPr>
            <w:tcW w:type="dxa" w:w="2880"/>
          </w:tcPr>
          <w:p>
            <w:r>
              <w:t xml:space="preserve">Long-read mapping to curated AMR reference; assembly + AMRFinderPlus where justified</w:t>
            </w:r>
          </w:p>
        </w:tc>
        <w:tc>
          <w:tcPr>
            <w:tcW w:type="dxa" w:w="2880"/>
          </w:tcPr>
          <w:p>
            <w:r>
              <w:t xml:space="preserve">Gene-family and allele-level hits, reported separately, with coverage, identity and context</w:t>
            </w:r>
          </w:p>
        </w:tc>
      </w:tr>
      <w:tr>
        <w:tc>
          <w:tcPr>
            <w:tcW w:type="dxa" w:w="2880"/>
          </w:tcPr>
          <w:p>
            <w:r>
              <w:t xml:space="preserve">Optional assembly</w:t>
            </w:r>
          </w:p>
        </w:tc>
        <w:tc>
          <w:tcPr>
            <w:tcW w:type="dxa" w:w="2880"/>
          </w:tcPr>
          <w:p>
            <w:r>
              <w:t xml:space="preserve">metaFlye or other justified long-read metagenome assembler</w:t>
            </w:r>
          </w:p>
        </w:tc>
        <w:tc>
          <w:tcPr>
            <w:tcW w:type="dxa" w:w="2880"/>
          </w:tcPr>
          <w:p>
            <w:r>
              <w:t xml:space="preserve">Contigs and tentative taxon–AMR linkage</w:t>
            </w:r>
          </w:p>
        </w:tc>
      </w:tr>
      <w:tr>
        <w:tc>
          <w:tcPr>
            <w:tcW w:type="dxa" w:w="2880"/>
          </w:tcPr>
          <w:p>
            <w:r>
              <w:t xml:space="preserve">Reporting</w:t>
            </w:r>
          </w:p>
        </w:tc>
        <w:tc>
          <w:tcPr>
            <w:tcW w:type="dxa" w:w="2880"/>
          </w:tcPr>
          <w:p>
            <w:r>
              <w:t xml:space="preserve">Nextflow DSL2, MultiQC, TSV/JSON, optional Dash</w:t>
            </w:r>
          </w:p>
        </w:tc>
        <w:tc>
          <w:tcPr>
            <w:tcW w:type="dxa" w:w="2880"/>
          </w:tcPr>
          <w:p>
            <w:r>
              <w:t xml:space="preserve">Traceable per-sample report and reproducible runs</w:t>
            </w:r>
          </w:p>
        </w:tc>
      </w:tr>
    </w:tbl>
    <w:p/>
    <w:p>
      <w:r>
        <w:t xml:space="preserve">Tool selection is provisional. Bracken compatibility and abundance estimates must be evaluated for the chosen nanopore read/classification approach; do not assume short-read defaults transfer directly. AMRFinderPlus is an assembly/protein-aware annotation component, not a stand-alone long-read metagenomic abundance estimator.</w:t>
      </w:r>
    </w:p>
    <w:p>
      <w:r>
        <w:t>Long-read-aware profilers are a Phase 2 comparison, not part of the MVP. Sylph was run as arm 3 (D18; result in Section 6). Centrifuger and minimap2-based profiling remain candidates; MetaMaps is possible but poorly maintained. Emu is designed for full-length 16S/ITS amplicon data and is not suitable for shotgun metagenomes. Suitability of each tool for the chosen dataset and taxonomic resolution must be checked before adoption.</w:t>
      </w:r>
    </w:p>
    <w:p>
      <w:pPr>
        <w:pStyle w:val="Heading1"/>
      </w:pPr>
      <w:r>
        <w:t xml:space="preserve">5a. Execution environment and design decisions</w:t>
      </w:r>
    </w:p>
    <w:p>
      <w:pPr>
        <w:pStyle w:val="ListBullet"/>
      </w:pPr>
      <w:r>
        <w:t xml:space="preserve">Environment: WSL2 Ubuntu on a Windows 11 workstation, memory capped at 12 GB and 6 processors (.wslconfig). All pipeline work runs in WSL under ~/projects/metagenomics_1_Nanopore/; read data and databases live in its gitignored data/ subfolder and are never committed. Selected outputs are copied to OneDrive (Projects/metagenomics/metagenomics_1_Nanopore).</w:t>
      </w:r>
    </w:p>
    <w:p>
      <w:pPr>
        <w:pStyle w:val="ListBullet"/>
      </w:pPr>
      <w:r>
        <w:t xml:space="preserve">Tooling rules: Nextflow runs from the existing nextflow conda environment; no new conda environments; pipeline tools run in Docker containers with pinned image tags; new Python tools go into base.</w:t>
      </w:r>
    </w:p>
    <w:p>
      <w:pPr>
        <w:pStyle w:val="ListBullet"/>
      </w:pPr>
      <w:r>
        <w:t xml:space="preserve">Pools: development and evaluation pools are disjoint, each about 185,000 reads (about 1 Gb), built from whole blocks of consecutive reads so adjacent, possibly related reads stay in the same pool. They come from one sequencing run, so this is a within-run held-out set, not an independent experiment. Result (12 October 2026): development pool 185,000 reads, 1.016 Gb, mean length 5,491 bp; evaluation pool 185,000 reads, 1.012 Gb, mean length 5,473 bp (whole-run mean 5,479 bp); mean length drifted by about 30 bp (0.5%) across the run. Read quality was compared on 15 October 2026: the pools are indistinguishable (median read Q about 17.9 in both; Q≥20 for 27.6% versus 27.9% of reads; no detectable drift across the run). The study title’s “Q20+” describes the chemistry; the typical read is about Q18.</w:t>
      </w:r>
    </w:p>
    <w:p>
      <w:pPr>
        <w:pStyle w:val="ListBullet"/>
      </w:pPr>
      <w:r>
        <w:t xml:space="preserve">Memory constraint: the full standard Kraken2 database needs far more than 12 GB RAM. The baseline must use a capped-size prebuilt index (8 GB class), a memory-mapped run, or a minimap2-based approach. The reduced database sensitivity is a documented limitation and itself affects the database research question. Whatever is chosen must contain fungi and archaea (standard Kraken2 indices do not contain fungi); otherwise the fungal and archaeal members of the mock are declared out of evaluable scope (Decision D4). Decision D12 (15 October 2026): the baseline database is the Kraken2 PlusPF-8 index dated 2026-06-26 (7.5 GB; includes fungi and archaea; all 17 mock species present), classified with Kraken2 2.17.2 pinned by image digest under a 10 GB memory cap without being killed. A large-database run (for example on AWS) is deferred to Phase 2 to measure what the capped index costs.</w:t>
      </w:r>
    </w:p>
    <w:p>
      <w:pPr>
        <w:pStyle w:val="ListBullet"/>
      </w:pPr>
      <w:r>
        <w:t xml:space="preserve">Data access: measured throughput from WSL is about 0.5 MB/s to ENA, NCBI and a generic test server alike, so the connection is the limit. The 120 GB FASTQ is not downloaded; a seeded, stratified block sample is fetched from SRA (measured: 74 blocks, about 370,000 reads, in 169 minutes), is resumable, and is checked block by block. Check free disk before any download and record sizes in the dataset register.</w:t>
      </w:r>
    </w:p>
    <w:p>
      <w:pPr>
        <w:pStyle w:val="ListBullet"/>
      </w:pPr>
      <w:r>
        <w:t xml:space="preserve">Decision D1, Nextflow: use Nextflow DSL2. Reasoning recorded on purpose rather than by default: the replicated downsampling design alone is 15 or more independent classification tasks (3 depths × 5 replicates, more with extra databases or classifiers), per-process containers and -resume are valuable for long classification steps, and the deliverable is a portfolio pipeline intended to be rerun by others. The single-machine, single-developer scale argues for simplicity, so the first modules will be written and tested as plain scripts before being wrapped.</w:t>
      </w:r>
    </w:p>
    <w:p>
      <w:pPr>
        <w:pStyle w:val="ListBullet"/>
      </w:pPr>
      <w:r>
        <w:t xml:space="preserve">Verification rule: dataset facts, accessions and numbers from any other source (including AI-generated reviews) are treated as unverified until recomputed or read from the primary record, as in the ENA check above.</w:t>
      </w:r>
    </w:p>
    <w:p>
      <w:pPr>
        <w:pStyle w:val="Heading1"/>
      </w:pPr>
      <w:r>
        <w:t xml:space="preserve">6. Benchmark and quality framework</w:t>
      </w:r>
    </w:p>
    <w:p>
      <w:pPr>
        <w:pStyle w:val="Heading2"/>
      </w:pPr>
      <w:r>
        <w:t xml:space="preserve">Primary metrics (defined before implementation)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Evaluation</w:t>
            </w:r>
          </w:p>
        </w:tc>
        <w:tc>
          <w:tcPr>
            <w:tcW w:type="dxa" w:w="2880"/>
          </w:tcPr>
          <w:p>
            <w:r>
              <w:t xml:space="preserve">Metric</w:t>
            </w:r>
          </w:p>
        </w:tc>
        <w:tc>
          <w:tcPr>
            <w:tcW w:type="dxa" w:w="2880"/>
          </w:tcPr>
          <w:p>
            <w:r>
              <w:t xml:space="preserve">Purpose</w:t>
            </w:r>
          </w:p>
        </w:tc>
      </w:tr>
      <w:tr>
        <w:tc>
          <w:tcPr>
            <w:tcW w:type="dxa" w:w="2880"/>
          </w:tcPr>
          <w:p>
            <w:r>
              <w:t xml:space="preserve">Species detection</w:t>
            </w:r>
          </w:p>
        </w:tc>
        <w:tc>
          <w:tcPr>
            <w:tcW w:type="dxa" w:w="2880"/>
          </w:tcPr>
          <w:p>
            <w:r>
              <w:t xml:space="preserve">Precision, recall and F1 at a pre-specified threshold, with a false-positive audit as the primary check. AUPRC across thresholds is supplementary only</w:t>
            </w:r>
          </w:p>
        </w:tc>
        <w:tc>
          <w:tcPr>
            <w:tcW w:type="dxa" w:w="2880"/>
          </w:tcPr>
          <w:p>
            <w:r>
              <w:t xml:space="preserve">Are expected organisms found without excessive false positives? With few expected species, AUPRC is unstable and is not a headline metric</w:t>
            </w:r>
          </w:p>
        </w:tc>
      </w:tr>
      <w:tr>
        <w:tc>
          <w:tcPr>
            <w:tcW w:type="dxa" w:w="2880"/>
          </w:tcPr>
          <w:p>
            <w:r>
              <w:t xml:space="preserve">Relative abundance</w:t>
            </w:r>
          </w:p>
        </w:tc>
        <w:tc>
          <w:tcPr>
            <w:tcW w:type="dxa" w:w="2880"/>
          </w:tcPr>
          <w:p>
            <w:r>
              <w:t xml:space="preserve">L1 error or Bray–Curtis dissimilarity versus expected composition</w:t>
            </w:r>
          </w:p>
        </w:tc>
        <w:tc>
          <w:tcPr>
            <w:tcW w:type="dxa" w:w="2880"/>
          </w:tcPr>
          <w:p>
            <w:r>
              <w:t xml:space="preserve">How closely do reported abundances match the expectation?</w:t>
            </w:r>
          </w:p>
        </w:tc>
      </w:tr>
      <w:tr>
        <w:tc>
          <w:tcPr>
            <w:tcW w:type="dxa" w:w="2880"/>
          </w:tcPr>
          <w:p>
            <w:r>
              <w:t xml:space="preserve">Low-abundance detection</w:t>
            </w:r>
          </w:p>
        </w:tc>
        <w:tc>
          <w:tcPr>
            <w:tcW w:type="dxa" w:w="2880"/>
          </w:tcPr>
          <w:p>
            <w:r>
              <w:t xml:space="preserve">Detection frequency across replicate subsamples; recall computed over evaluable species, i.e. those whose expected read count at that depth is high enough to be seen</w:t>
            </w:r>
          </w:p>
        </w:tc>
        <w:tc>
          <w:tcPr>
            <w:tcW w:type="dxa" w:w="2880"/>
          </w:tcPr>
          <w:p>
            <w:r>
              <w:t xml:space="preserve">How reliably are minority organisms recovered? Species expected to contribute almost no reads are reported separately, not counted as misses</w:t>
            </w:r>
          </w:p>
        </w:tc>
      </w:tr>
      <w:tr>
        <w:tc>
          <w:tcPr>
            <w:tcW w:type="dxa" w:w="2880"/>
          </w:tcPr>
          <w:p>
            <w:r>
              <w:t xml:space="preserve">Computational performance</w:t>
            </w:r>
          </w:p>
        </w:tc>
        <w:tc>
          <w:tcPr>
            <w:tcW w:type="dxa" w:w="2880"/>
          </w:tcPr>
          <w:p>
            <w:r>
              <w:t xml:space="preserve">Runtime, peak RAM, database size</w:t>
            </w:r>
          </w:p>
        </w:tc>
        <w:tc>
          <w:tcPr>
            <w:tcW w:type="dxa" w:w="2880"/>
          </w:tcPr>
          <w:p>
            <w:r>
              <w:t xml:space="preserve">Is the workflow practical to run?</w:t>
            </w:r>
          </w:p>
        </w:tc>
      </w:tr>
      <w:tr>
        <w:tc>
          <w:tcPr>
            <w:tcW w:type="dxa" w:w="2880"/>
          </w:tcPr>
          <w:p>
            <w:r>
              <w:t xml:space="preserve">AMR detection</w:t>
            </w:r>
          </w:p>
        </w:tc>
        <w:tc>
          <w:tcPr>
            <w:tcW w:type="dxa" w:w="2880"/>
          </w:tcPr>
          <w:p>
            <w:r>
              <w:t xml:space="preserve">Gene-family and allele-level agreement, reported separately; organism attribution assessed as a third level</w:t>
            </w:r>
          </w:p>
        </w:tc>
        <w:tc>
          <w:tcPr>
            <w:tcW w:type="dxa" w:w="2880"/>
          </w:tcPr>
          <w:p>
            <w:r>
              <w:t xml:space="preserve">Does the workflow detect resistance determinants at the supported resolution?</w:t>
            </w:r>
          </w:p>
        </w:tc>
      </w:tr>
    </w:tbl>
    <w:p/>
    <w:p>
      <w:pPr>
        <w:pStyle w:val="ListBullet"/>
      </w:pPr>
      <w:r>
        <w:t xml:space="preserve">Expected composition: distinguish the manufacturer’s nominal mixture proportions from expected sequencing read proportions, which can differ through DNA extraction, genome size and sequencing bias. State which is used.</w:t>
      </w:r>
    </w:p>
    <w:p>
      <w:pPr>
        <w:pStyle w:val="ListBullet"/>
      </w:pPr>
      <w:r>
        <w:t xml:space="preserve">Reference coverage: organisms absent from the chosen database are reported as outside evaluable reference coverage, not as classifier failures. This is checked before running, including fungi and archaea.</w:t>
      </w:r>
    </w:p>
    <w:p>
      <w:pPr>
        <w:pStyle w:val="ListBullet"/>
      </w:pPr>
      <w:r>
        <w:t xml:space="preserve">Evaluable species: for each depth, the expected read count of a species is its expected read proportion times the reads at that depth; species below a pre-specified minimum are not evaluable at that depth and are excluded from recall, with the list reported. The pre-specified minimum is 20 expected reads (D14a); on the 185,000-read pools 14 of the 17 species are evaluable.</w:t>
      </w:r>
    </w:p>
    <w:p>
      <w:pPr>
        <w:pStyle w:val="ListBullet"/>
      </w:pPr>
      <w:r>
        <w:t xml:space="preserve">Detection threshold (D14b): a species is called present when its reads at species rank reach a threshold expressed as a fraction of all reads, not a fixed read count, so that the rule keeps its meaning at different depths. The fraction is chosen on the development pool only, as the candidate with the highest block-bootstrap mean F1 (ties go to the smaller threshold, which protects real low-abundance species), and then frozen before the held-out pool is scored. Frozen value: 0.08% of reads (148 reads in a 185,000-read pool). Strict truth: any species that is not in the mock, including human, counts as a false positive.</w:t>
      </w:r>
    </w:p>
    <w:p>
      <w:pPr>
        <w:pStyle w:val="ListBullet"/>
      </w:pPr>
      <w:r>
        <w:t xml:space="preserve">Taxonomy matching (D13): species are matched by NCBI taxonomy identifier, not by name. Where the current taxonomy files a mock strain under a different species, the extra identifier is listed with its evidence in an alias file and reported in every score output. The one case so far is the D6331 Fusobacterium nucleatum strain, whose reference genome classifies as Fusobacterium animalis; this was found after the first scoring run and is recorded as such.</w:t>
      </w:r>
    </w:p>
    <w:p>
      <w:pPr>
        <w:pStyle w:val="ListBullet"/>
      </w:pPr>
      <w:r>
        <w:t>First baseline result (16 October 2026; Kraken2 PlusPF-8, confidence 0; held-out pool scored once with the frozen threshold, after written predictions): 14 of 14 evaluable species detected, 1 false positive (human, 818 reads), precision 0.93, F1 0.97 (block bootstrap 95% interval 0.93 to 0.97), Bray–Curtis 0.17. Presence or absence is good; abundance differs from the theoretical composition (for example Roseburia hominis 0.41 and Bifidobacterium adolescentis 0.22 of the expected reads, Limosilactobacillus fermentum 1.66); the read trace below shows that much of this difference lies in the sequenced sample itself rather than in Kraken2. This is a within-run check only, and the rarest evaluable species, Methanobrevibacter smithii (0.1% of DNA), sits within a few reads of the threshold.</w:t>
      </w:r>
    </w:p>
    <w:p>
      <w:pPr>
        <w:pStyle w:val="ListBullet"/>
      </w:pPr>
      <w:r>
        <w:t>Depth series (16 October 2026; held-out pool; predictions registered before the run, tag depth-registered; frozen threshold 0.08% of reads): at 0.1, 0.25 and 0.5 Gb (five replicates each) the mean F1 was 0.953, 0.958 and 0.966 (full pool 0.966), evaluable recall 1.00, 0.99 and 1.00, and mean false positives 1.4, 1.0 and 1.0; all five registered predictions were met. Presence or absence is flat down to 0.1 Gb (about 18,000 reads) for this mock, the rarest species simply drop out of evaluability, and the differences from the theoretical abundances do not change with depth, so they are systematic rather than noise (the read trace below shows that much of this comes from the sequenced sample itself). The human false positive appears in every run inspected, at about 0.35 to 0.5% of reads. Replicates overlap within one pool, so their spread is within-pool variation only.</w:t>
      </w:r>
    </w:p>
    <w:p>
      <w:pPr>
        <w:pStyle w:val="ListBullet"/>
      </w:pPr>
      <w:r>
        <w:t xml:space="preserve">Kraken2 confidence arms (D16; 16 October 2026; confidence 0, 0.05, 0.1, 0.2 and 0.4; registered beforehand, thresholds chosen on the development pool and frozen by tag, held-out pool scored once per arm, all arms reported): the baseline (confidence 0) was best. On the held-out pool F1 was 0.966, 0.929, 0.600, 0 and 0, evaluable recall 14/14, 13/14, 6/14, 0 and 0, and reads classified 94.2%, 57.5%, 0.4%, 0% and 0%; Bray–Curtis rose from 0.17 to 0.34 at 0.05. Nanopore reads at about Q18 have many k-mers with errors, so a strict per-read confidence pushes reads up to genus level or leaves them unclassified. The 0.05 arm reaches a similar F1 only because its threshold falls to 10 reads, and it loses most species-level reads. Of six written expectations two were met, two partly and two were contradicted (recall up to 0.1, and Bray–Curtis).</w:t>
      </w:r>
    </w:p>
    <w:p>
      <w:pPr>
        <w:pStyle w:val="ListBullet"/>
      </w:pPr>
      <w:r>
        <w:t>Database-size arms (D17; 16 October 2026; PlusPF-8, PlusPF-16 and full PlusPF from the same 2026-06-26 build, run on a temporary 128 GB cloud machine; a control run reproduced the local baseline exactly; registered beforehand, frozen by tag, held-out pool scored once per arm): reads classified 94.2%, 95.7% and 98.0%, reads in the mock species at species rank 83.9%, 87.3% and 92.3%, Bray–Curtis 0.168, 0.153 and 0.137, and F1 at the ceiling of 0.966 in every arm (14 of 14 species, human the only false positive). Observed over expected reads from the 8 GB to the full index: Escherichia coli 0.57 to 0.86, Bifidobacterium adolescentis 0.22 to 0.36, Roseburia hominis 0.41 to 0.43, Limosilactobacillus fermentum 1.66 to 1.77. By the rule written beforehand (both under-counted species at or below 0.50 with the full index) the 8 GB cap is not the main cause of the difference from the theoretical abundances (but see the read trace below: that rule mixed the composition of the sequenced sample with classifier error). Larger indexes also assign more reads to human (818, 1,143 and 1,997 reads), and their origin is unresolved. Of six written expectations five were met and one partly (the guess that Roseburia would recover to 0.5 to 0.8 was wrong). The held-out pool has now been used once per arm in each experiment, so these are pre-registered comparisons, not fresh held-out data.</w:t>
      </w:r>
    </w:p>
    <w:p>
      <w:pPr>
        <w:pStyle w:val="ListBullet"/>
      </w:pPr>
      <w:r>
        <w:t>Read trace and composition check (exploratory, development pool only; 17 October 2026; not registered beforehand and not part of the benchmark metrics): every development read was also mapped with minimap2 to the D6331 reference genomes, which gives each read a label independent of Kraken2, and the label was crossed with the Kraken2 result for the same read. Of 185,000 reads, 90.05% mapped to one species. The mapped reads already depart from the theoretical composition: Roseburia hominis 0.42 of the expected reads, Limosilactobacillus fermentum 1.71 and Faecalibacterium prausnitzii 1.26. Kraken2 recovers 94 to 96% of the reads that map to these species and reproduces the departures (observed over mapped reads 0.98 to 0.99 with PlusPF-8). Its own loss is confined to species with close relatives: Escherichia coli (35% of its reads stop at family level) and Bifidobacterium adolescentis (53% stop at genus level and only 4% go to named sister species). For these two, observed over mapped reads rises from 0.62 to 0.94 and from 0.44 to 0.72 between the 8 GB and the full index, so the cap does matter for them. Bray–Curtis against the composition measured by mapping is 0.065, 0.048 and 0.022 for the 8 GB, 16 GB and full indexes (against the theoretical composition: 0.165, 0.150 and 0.131 recomputed, 0.166, 0.152 and 0.136 as registered). The registered D17 verdict is unchanged, but its rule compared reads with the theoretical composition and so mixed the composition of the sequenced sample with classifier error: the differences from the theoretical abundances should be read mainly as a property of this sequenced sample (or of its library preparation) and only partly as a property of the classifier. The lot certificate of analysis would help to separate these. Of the roughly 923 development reads called human at species rank, 825 are on reads that match none of the mock genomes (consistent with real human DNA, not proved). Caveats: mapping is a proxy for truth and depends on the reference genomes being close to the sequenced strains (both yeast references are drafts, so Candida albicans is undercounted by mapping); the mapping-based composition was defined after seeing results; one run, one pool. Addendum (18 October 2026): the species also differ in mean read length (about 1.9 kb for Limosilactobacillus fermentum to about 8 kb), so read shares are not shares of DNA mass; the read-based figures above are unchanged but must be read with that in mind (see the Sylph abundance diagnostic below).</w:t>
      </w:r>
    </w:p>
    <w:p>
      <w:pPr>
        <w:pStyle w:val="ListBullet"/>
      </w:pPr>
      <w:r>
        <w:rPr>
          <w:b/>
        </w:rPr>
        <w:t xml:space="preserve">Sylph arm (D18; registered 17 October 2026, tag sylph-registered; Addendum A1 written 18 October 2026, after the development read profiles had been seen; held-out pool scored once per arm, tag sylph-eval-scored): </w:t>
      </w:r>
      <w:r>
        <w:t>Sylph 1.0.0 with GTDB release 232 (two-stage database, 20 GB) and the RefSeq fungal database of 2024-07-25 estimates which genomes are present by k-mer containment instead of classifying reads one by one. The comparison is therefore between profiling configurations (reference collection, taxonomy and algorithm all differ from Kraken2 with PlusPF), not between algorithms alone. A profile takes about 4 seconds and 2.5 GiB, so no cloud machine was needed. The registered crosswalk from mock species to GTDB names (built by profiling the reference genomes as if they were reads) failed on the development pool: at the very low coverage of a single genome several database species tie at 100% ANI, the rule picked one arbitrarily, and F1 was 0.50 for a naming reason. Addendum A1 replaced it with genome-to-genome fastANI using the GTDB species criterion (ANI at least 95 over at least half of the genome); version 1 is kept unchanged and reported beside version 2. A gap rule applying the same fixed test to any genome first appearing in the evaluation profile was committed before that profile existed and added nothing. Held-out pool, arms 3a (defaults), 3b (effective-coverage filter; the cutoff chosen on the development pool was 0, so identical to 3a) and 3c (-u, exploratory) gave identical results: 13 of 13 called species correct, 0 false positives, 13 of 14 evaluable species detected (missed: Saccharomyces cerevisiae, for which the database holds no genome that passes the species test), F1 0.963, Bray–Curtis 0.249 against the theoretical DNA composition (0.242 among called mock species; Kraken2 on the same pool 0.132 with full PlusPF and 0.167 with PlusPF-8). Registered question: Bifidobacterium adolescentis observed over expected on a share basis (Sylph without -u reports relative shares, not read counts, so the Kraken2 comparators were recomputed on the same basis) was 0.495 for Sylph, 0.393 for PlusPF-full and 0.266 for PlusPF-8. The written rule (comparator plus 0.10 = 0.493, evaluable recall at least 13/14, at most 2 false positives) is met, by 0.002; the originally written literal 0.46 is also exceeded. That margin is very likely within noise (not measured for this number; the practice pool missed the same test by 0.003), so the result is reported as met but marginal. Abundance is worse than with Kraken2 overall: Escherichia coli 2.38, Roseburia hominis 0.30, Limosilactobacillus fermentum 0.49, Faecalibacterium prausnitzii 0.61 (diagnosed afterwards on the development pool; see the Sylph abundance diagnostic below). Of the registered expectations, detection and false positives held and B. adolescentis fell in its predicted range, while the Roseburia, L. fermentum and Bray–Curtis expectations were contradicted (E. coli met its criterion only because it was over-counted). With crosswalk version 1 the same profile scores F1 0.50 with 7 false positives, which shows that the result depends on how names are mapped. The held-out pool had been examined in earlier experiments, so this is a prospectively specified follow-up, not fresh validation.</w:t>
      </w:r>
    </w:p>
    <w:p>
      <w:pPr>
        <w:pStyle w:val="ListBullet"/>
      </w:pPr>
      <w:r>
        <w:rPr>
          <w:b/>
        </w:rPr>
        <w:t xml:space="preserve">External check (18 October 2026; not part of any registered verdict): </w:t>
      </w:r>
      <w:r>
        <w:t xml:space="preserve">the paper that produced the dataset (Chen et al., Nature Communications 16:1744, 2025, doi 10.1038/s41467-025-57088-y) states PromethION, Kit 14 and Dorado v7.2.13 and cites PRJNA1181840, which confirms the ENA record; neither it nor its supplement gives the lot number, extraction method or model tier (the study authors have been asked). Its Supplementary Fig. S4 independently renames Fusobacterium nucleatum to Fusobacterium animalis for D6331, as in D13, and takes expected genome copies from minimap2 mapping of the reads. It also reports that Sylph version 0.6.1, with and without -u, underestimated species-level genome copies for nanopore samples (an older version, a coverage-based quantity rather than the shares scored here, and different sample statistics, so it supports caution about -u rather than explaining our results).</w:t>
      </w:r>
    </w:p>
    <w:p>
      <w:pPr>
        <w:pStyle w:val="ListBullet"/>
      </w:pPr>
      <w:r>
        <w:rPr>
          <w:b/>
        </w:rPr>
        <w:t xml:space="preserve">Sylph abundance diagnostic (exploratory, development pool only; 18 October 2026; not a registered arm and part of no verdict; scripts bin/14 to bin/17, outputs in reports/sylph/dev_diagnostic and reports/kraken_bases): </w:t>
      </w:r>
      <w:r>
        <w:t xml:space="preserve">Escherichia coli: the sample’s five strains are not in GTDB and each is about 96 to 97% ANI to several database genomes; Sylph reported three E. coli genomes, each carrying roughly the whole E. coli coverage (25.0, 24.0 and 15.3 against about 29 expected), with 6,704 and 6,529 k-mers reassigned between two of them, so the registered rule (sum over a mock species’ genome rows) counted the same reads about 2.5 times; keeping only the best-covered genome per species (post hoc what-if) gives 1.15 instead of 2.34 and Bray–Curtis among called mock species 0.182 instead of 0.240. Limosilactobacillus fermentum: the hypothesis written and committed before its first run (read errors reduce intact 31-mers, so error-rich species show lower effective coverage) was refuted: mean read identity was 90.2 to 93.6% in all 13 species, rho 0.23 between 31-mer survival and Sylph over mapped coverage (required at least 0.6), identity gap under 1 point (about 4 needed). The cause was read length, found post hoc in the same table: mean read length is 1.9 kb for L. fermentum, 3.1 kb for F. prausnitzii, 4.3 kb for Roseburia and Fusobacterium and 6 to 8 kb for the others, and the earlier calculation had assumed the pool mean (5,491 bp) for every species. With each species’ own length, Sylph’s True_cov divided by coverage from the assigned bases has median 1.05 (0.97 to 1.32) and Eff_cov divided by coverage 0.78 (0.72 to 0.97): Sylph tracks the DNA actually sequenced, and the manufacturer’s composition is a share of DNA mass. In bases L. fermentum is about 0.65 of its nominal share (1.89 in read shares). Kraken2 recounted in bases (same calls and threshold, bin/17): Bray–Curtis 0.166 on reads, 0.191 on bases; L. fermentum 1.99 to 0.69, F. prausnitzii 1.47 to 0.81, Roseburia 0.50 to 0.38; the gap to Sylph (0.240) shrinks from 0.075 to 0.051, so Kraken2 stays ahead on abundance by a smaller margin. Caveats: Kraken2’s species-level reads are longer than the reads that map to the same species (for example E. coli 9,365 against 7,256 bp), so its base shares carry a length bias; read length is the full read; the Sylph and Kraken2 species sets differ (13 and 14 mock species); one sample. Why species differ in read length (extraction, library preparation or the sample) is unresolved. The registered verdicts are unchanged.</w:t>
      </w:r>
    </w:p>
    <w:p>
      <w:pPr>
        <w:pStyle w:val="ListBullet"/>
      </w:pPr>
      <w:r>
        <w:rPr>
          <w:b/>
        </w:rPr>
        <w:t xml:space="preserve">Addendum A2 (D19; registered 18 October 2026 before any evaluation run, tag bases-registered; evaluation pool run once, tag bases-eval-scored): </w:t>
      </w:r>
      <w:r>
        <w:t xml:space="preserve">the two dev findings were tested on the held-out pool with predictions fixed from dev numbers. Part A recounted the existing Kraken2 PlusPF-8 classification (confidence 0, frozen threshold 0.0008) in bases instead of reads; Part B applied a fixed best-genome rule (keep, for each mock species, the genome row with the largest effective coverage) to the Sylph arm 3a profile. All eight written predictions were met. Kraken2 Bray–Curtis rose from 0.168 (reads) to 0.191 (bases); Limosilactobacillus fermentum fell from 1.98 to 0.68 times its expected share, Faecalibacterium prausnitzii from 1.48 to 0.81, Roseburia hominis from 0.49 to 0.38. The mean read length of the reads assigned to each species repeated the development values (eval over dev 0.98 to 1.01 for 13 of 14 species; L. fermentum 1,997 bp). For Sylph the registered sum rule reproduced 0.249 and 0.242 and the best-genome rule gave 0.190 and 0.182, with Escherichia coli falling from 2.38 to 1.17 (three genome rows; every other species one). Sylph with the best-genome rule (0.182) and Kraken2 in bases (0.190) are within 0.01 of each other, and the registered Sylph sum rule stays worse (0.242). The registered verdicts are unchanged and the B. adolescentis verdict stays “met, marginal”; the best-genome rule raises every other species’ share, so its B. adolescentis value is not independent evidence. Limits: both pools come from one run, so this is a within-run replication and not evidence for another library or chemistry; the full-index and 16 GB Kraken2 classifications were not kept, so their base-share view is not covered; the species sets of the two tools differ.</w:t>
      </w:r>
    </w:p>
    <w:p>
      <w:pPr>
        <w:pStyle w:val="ListBullet"/>
      </w:pPr>
      <w:r>
        <w:rPr>
          <w:b/>
        </w:rPr>
        <w:t xml:space="preserve">Resistance-gene pilot (Addenda A3 to A6; decisions D20 to D23; tags amr-registered, amr-a4-registered, amr-map-registered, amr-a5-registered, amr-frozen, amr-eval-scored; scripts bin/19 to bin/22; 18 to 19 October 2026): </w:t>
      </w:r>
      <w:r>
        <w:t xml:space="preserve">Truth is a reference catalogue, not biological truth: AMRFinderPlus 4.0.23 (database 2025-07-16.1) annotated the supplier genomes (the Argo paper's expected ARG abundances were built the same way, against SARG+). 140 raw hits were categorised by rules fixed before the hits were seen: 38 AMR or point-mutation rows, 8 high-confidence and 30 candidate (plus-scope, efflux-like, partial and point-mutation rows; acquired versus intrinsic is not separated automatically). Collapsed to species and gene symbol, that is 22 units: 8 high-confidence and 14 candidate. Detectability came before any miss was declared: carrier-species coverage on the development pool gives an expected number of supporting reads E (reads overlapping at least 80% of the gene; E of 10 or more counts as evaluable). One read-level arm: minimap2 of reads against ResFinder (commit eecf0aa, a source different from the truth annotation but not independent of it), gene-family level only (alignment identity at least 0.80 because measured read identity is about 91%, at least 80% of the gene covered, at least 3 supporting reads; ambiguous reads do not count). Development result: 2 of 3 evaluable families detected; cepA, with 27 ambiguous reads, was missed. An exploratory check showed the four ResFinder names (cepA, cepA-29, -44, -49) are 98.8 to 99.7% identical, so the miss was a naming artefact of my family rule; Addendum A5 merged them by an explicit list written after seeing that result (disclosed; the development re-run is not an independent test) and the A4-rule result is kept. Held-out pool, scored once after the freeze (A6): all five registered predictions met; cepA, tet(Q) and tet(W) each detected (17, 22 and 14 supporting reads), nothing outside the catalogue reached 3 reads. Reading: three evaluable families make this a worked example of the workflow, not an accuracy estimate; all 14 candidate units and 2 of the 8 high-confidence ones (lnu(AN2), blaCDD) are absent from ResFinder under an exact symbol match, erm(B) has too little carrier coverage to score, and the carrier of lsa(A), Enterococcus faecalis, is not in the development read trace; support for tet(Q) is well below the planning value (22 against about 51 for its two carriers; cause unknown). A read-level hit is sequence evidence: it does not identify the host organism, an acquired determinant or a resistant phenotype.</w:t>
      </w:r>
    </w:p>
    <w:p>
      <w:pPr>
        <w:pStyle w:val="Heading2"/>
      </w:pPr>
      <w:r>
        <w:t xml:space="preserve">Experimental design</w:t>
      </w:r>
    </w:p>
    <w:p>
      <w:pPr>
        <w:pStyle w:val="ListBullet"/>
      </w:pPr>
      <w:r>
        <w:t xml:space="preserve">Independent evaluation: use one run or predefined subset for development and threshold selection; freeze classifier settings and decision rules; then evaluate on an independent run or held-out subset. A held-out subset of the same run is better than nothing but does not show reproducibility across runs, preparations or chemistries. A held-out run from a different chemistry tests chemistry transfer and is confounded; label which question is being asked.</w:t>
      </w:r>
    </w:p>
    <w:p>
      <w:pPr>
        <w:pStyle w:val="ListBullet"/>
      </w:pPr>
      <w:r>
        <w:t xml:space="preserve">Downsampling: at least three depths, with five random replicate subsamples per depth as the starting point (more later if run size allows). Replicates from one run measure sampling variance only, and within a finite pool they are not independent: at 0.5 Gb about half of each replicate overlaps another, and a full-pool replicate would be identical. Depth is therefore defined by Gb (about 0.1, 0.25 and 0.5 Gb, with the full pool of about 1 Gb as a single baseline without replicates) and related to realistic low-yield clinical runs.</w:t>
      </w:r>
    </w:p>
    <w:p>
      <w:pPr>
        <w:pStyle w:val="ListBullet"/>
      </w:pPr>
      <w:r>
        <w:t xml:space="preserve">Uncertainty: reads were sampled in blocks of 5,000, so reads within a block are correlated. Confidence intervals use block-level resampling (bootstrap over blocks), not read-level. Replicate spread is reported as within-pool variation, not run-to-run variation.</w:t>
      </w:r>
    </w:p>
    <w:p>
      <w:pPr>
        <w:pStyle w:val="ListBullet"/>
      </w:pPr>
      <w:r>
        <w:t xml:space="preserve">Chemistry and basecalling: record flow cell chemistry, kit, basecaller and model version for every dataset; these can materially affect classification accuracy.</w:t>
      </w:r>
    </w:p>
    <w:p>
      <w:pPr>
        <w:pStyle w:val="ListBullet"/>
      </w:pPr>
      <w:r>
        <w:t xml:space="preserve">Database: use one frozen, documented database for the baseline (version, date, memory footprint). A second database is a controlled Phase 2 experiment, not a variable optimised simultaneously. Done on 16 October 2026: PlusPF-16 and full PlusPF against the PlusPF-8 baseline (Section 6).</w:t>
      </w:r>
    </w:p>
    <w:p>
      <w:pPr>
        <w:pStyle w:val="ListBullet"/>
      </w:pPr>
      <w:r>
        <w:t xml:space="preserve">Challenging scenarios (Phase 2): low-abundance organisms and, where suitable experimental data exist, closely related species (for example E. coli/Shigella or S. pneumoniae/S. mitis group); the five E. coli strains in D6331 give a natural test of discrimination between near-identical genomes. If none exist, simulated reads may be used but simulated and experimental results must be reported separately.</w:t>
      </w:r>
    </w:p>
    <w:p>
      <w:pPr>
        <w:pStyle w:val="ListBullet"/>
      </w:pPr>
      <w:r>
        <w:t xml:space="preserve">AMR metrics: gene-level precision/recall only if independent ground truth exists; otherwise report coverage, identity, reference ambiguity and unresolved organism attribution. Failure of assembly-based linkage in a low-depth mixed sample is a reportable finding about the method’s limits, not necessarily a pipeline failure.</w:t>
      </w:r>
      <w:r>
        <w:t xml:space="preserve"> Update (19 October 2026): the pilot reports gene-family detection against a reference catalogue, read support and detectability; precision and F1 are not reported because the false-positive definition is not defensible with three evaluable families (Section 6).</w:t>
      </w:r>
    </w:p>
    <w:p>
      <w:pPr>
        <w:pStyle w:val="ListBullet"/>
      </w:pPr>
      <w:r>
        <w:t xml:space="preserve">Controls: use negative controls when present; otherwise explicitly state inability to estimate contamination background.</w:t>
      </w:r>
    </w:p>
    <w:p>
      <w:pPr>
        <w:pStyle w:val="ListBullet"/>
      </w:pPr>
      <w:r>
        <w:t xml:space="preserve">Reproducibility: pinned versions/containers, Nextflow resume, manifest and checksums, test data, and deterministic reporting where feasible.</w:t>
      </w:r>
    </w:p>
    <w:p>
      <w:pPr>
        <w:pStyle w:val="Heading1"/>
      </w:pPr>
      <w:r>
        <w:t xml:space="preserve">7. Minimum viable project (MVP)</w:t>
      </w:r>
    </w:p>
    <w:p>
      <w:r>
        <w:t xml:space="preserve">Deliver a single reproducible Nextflow pipeline tested on a defined nanopore mock community. Include input provenance, QC, taxonomic profiling with one classifier and a frozen database, false-positive review, a replicated downsampling experiment with held-out evaluation, negative-control handling (or a stated absence), and a concise results report. Treat AMR analysis as an exploratory module until a suitable truth set is confirmed.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Deliverable</w:t>
            </w:r>
          </w:p>
        </w:tc>
        <w:tc>
          <w:tcPr>
            <w:tcW w:type="dxa" w:w="4320"/>
          </w:tcPr>
          <w:p>
            <w:r>
              <w:t xml:space="preserve">Acceptance criterion</w:t>
            </w:r>
          </w:p>
        </w:tc>
      </w:tr>
      <w:tr>
        <w:tc>
          <w:tcPr>
            <w:tcW w:type="dxa" w:w="4320"/>
          </w:tcPr>
          <w:p>
            <w:r>
              <w:t xml:space="preserve">Dataset register</w:t>
            </w:r>
          </w:p>
        </w:tc>
        <w:tc>
          <w:tcPr>
            <w:tcW w:type="dxa" w:w="4320"/>
          </w:tcPr>
          <w:p>
            <w:r>
              <w:t xml:space="preserve">Accession, sample list, chemistry, basecaller, truth composition (nominal and expected read proportions), subset method, limitations and usage notes recorded</w:t>
            </w:r>
          </w:p>
        </w:tc>
      </w:tr>
      <w:tr>
        <w:tc>
          <w:tcPr>
            <w:tcW w:type="dxa" w:w="4320"/>
          </w:tcPr>
          <w:p>
            <w:r>
              <w:t xml:space="preserve">Executable workflow</w:t>
            </w:r>
          </w:p>
        </w:tc>
        <w:tc>
          <w:tcPr>
            <w:tcW w:type="dxa" w:w="4320"/>
          </w:tcPr>
          <w:p>
            <w:r>
              <w:t xml:space="preserve">Fresh run succeeds from documented environment; resume tested</w:t>
            </w:r>
          </w:p>
        </w:tc>
      </w:tr>
      <w:tr>
        <w:tc>
          <w:tcPr>
            <w:tcW w:type="dxa" w:w="4320"/>
          </w:tcPr>
          <w:p>
            <w:r>
              <w:t xml:space="preserve">Benchmark report</w:t>
            </w:r>
          </w:p>
        </w:tc>
        <w:tc>
          <w:tcPr>
            <w:tcW w:type="dxa" w:w="4320"/>
          </w:tcPr>
          <w:p>
            <w:r>
              <w:t xml:space="preserve">Species-level calls compared with known mixture using pre-specified metrics; error cases explained; development and evaluation data clearly separated</w:t>
            </w:r>
          </w:p>
        </w:tc>
      </w:tr>
      <w:tr>
        <w:tc>
          <w:tcPr>
            <w:tcW w:type="dxa" w:w="4320"/>
          </w:tcPr>
          <w:p>
            <w:r>
              <w:t xml:space="preserve">Reproducibility package</w:t>
            </w:r>
          </w:p>
        </w:tc>
        <w:tc>
          <w:tcPr>
            <w:tcW w:type="dxa" w:w="4320"/>
          </w:tcPr>
          <w:p>
            <w:r>
              <w:t xml:space="preserve">README, configuration, tool/database versions, resource usage, example output</w:t>
            </w:r>
          </w:p>
        </w:tc>
      </w:tr>
      <w:tr>
        <w:tc>
          <w:tcPr>
            <w:tcW w:type="dxa" w:w="4320"/>
          </w:tcPr>
          <w:p>
            <w:r>
              <w:t xml:space="preserve">Case study</w:t>
            </w:r>
          </w:p>
        </w:tc>
        <w:tc>
          <w:tcPr>
            <w:tcW w:type="dxa" w:w="4320"/>
          </w:tcPr>
          <w:p>
            <w:r>
              <w:t xml:space="preserve">Methods, numerical results, uncertainty and explicit non-clinical scope</w:t>
            </w:r>
          </w:p>
        </w:tc>
      </w:tr>
    </w:tbl>
    <w:p/>
    <w:p>
      <w:pPr>
        <w:pStyle w:val="Heading1"/>
      </w:pPr>
      <w:r>
        <w:t xml:space="preserve">8. Optional extension: real clinical samples (urinary preferred)</w:t>
      </w:r>
    </w:p>
    <w:p>
      <w:r>
        <w:t xml:space="preserve">Only after the mock-community benchmark, consider a small set of urinary nanopore metagenomic samples with adequate metadata (current preference, not yet a final selection). Respiratory samples remain an alternative if the urinary data are unsuitable. Compare with available independent microbiological findings without treating culture/PCR as an exhaustive truth set. Include host-read burden, background flora, possible contamination, mixed infections and uncertainty. A panel-restricted computational report can be compared with untargeted profiling, but must not be represented as laboratory target enrichment.</w:t>
      </w:r>
    </w:p>
    <w:p>
      <w:pPr>
        <w:pStyle w:val="Heading1"/>
      </w:pPr>
      <w:r>
        <w:t xml:space="preserve">9. Open questions and current positions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Question</w:t>
            </w:r>
          </w:p>
        </w:tc>
        <w:tc>
          <w:tcPr>
            <w:tcW w:type="dxa" w:w="4320"/>
          </w:tcPr>
          <w:p>
            <w:r>
              <w:t xml:space="preserve">Current position / action</w:t>
            </w:r>
          </w:p>
        </w:tc>
      </w:tr>
      <w:tr>
        <w:tc>
          <w:tcPr>
            <w:tcW w:type="dxa" w:w="4320"/>
          </w:tcPr>
          <w:p>
            <w:r>
              <w:t xml:space="preserve">Primary dataset?</w:t>
            </w:r>
          </w:p>
        </w:tc>
        <w:tc>
          <w:tcPr>
            <w:tcW w:type="dxa" w:w="4320"/>
          </w:tcPr>
          <w:p>
            <w:r>
              <w:t xml:space="preserve">Provisional: PRJNA1181840 / SRR31222153 (subset pools). Confirm after composition verification and pool QC; LomanLab data remain a fallback with older chemistry</w:t>
            </w:r>
          </w:p>
        </w:tc>
      </w:tr>
      <w:tr>
        <w:tc>
          <w:tcPr>
            <w:tcW w:type="dxa" w:w="4320"/>
          </w:tcPr>
          <w:p>
            <w:r>
              <w:t xml:space="preserve">Taxonomy benchmark only, or AMR from day one?</w:t>
            </w:r>
          </w:p>
        </w:tc>
        <w:tc>
          <w:tcPr>
            <w:tcW w:type="dxa" w:w="4320"/>
          </w:tcPr>
          <w:p>
            <w:r>
              <w:t>Taxonomy first; a pilot AMR check at gene-family level was added on 18 to 19 October 2026 (Section 6, D20 to D23) and is a worked example on three evaluable gene families, not an accuracy estimate</w:t>
            </w:r>
          </w:p>
        </w:tc>
      </w:tr>
      <w:tr>
        <w:tc>
          <w:tcPr>
            <w:tcW w:type="dxa" w:w="4320"/>
          </w:tcPr>
          <w:p>
            <w:r>
              <w:t xml:space="preserve">Clinical specimen choice?</w:t>
            </w:r>
          </w:p>
        </w:tc>
        <w:tc>
          <w:tcPr>
            <w:tcW w:type="dxa" w:w="4320"/>
          </w:tcPr>
          <w:p>
            <w:r>
              <w:t xml:space="preserve">Urinary preferred for the real-data extension; defer final decision until dataset audit</w:t>
            </w:r>
          </w:p>
        </w:tc>
      </w:tr>
      <w:tr>
        <w:tc>
          <w:tcPr>
            <w:tcW w:type="dxa" w:w="4320"/>
          </w:tcPr>
          <w:p>
            <w:r>
              <w:t xml:space="preserve">Raw signals (POD5/FAST5) or FASTQ?</w:t>
            </w:r>
          </w:p>
        </w:tc>
        <w:tc>
          <w:tcPr>
            <w:tcW w:type="dxa" w:w="4320"/>
          </w:tcPr>
          <w:p>
            <w:r>
              <w:t xml:space="preserve">Start with FASTQ; basecalling is outside the MVP, but basecaller version is recorded</w:t>
            </w:r>
          </w:p>
        </w:tc>
      </w:tr>
      <w:tr>
        <w:tc>
          <w:tcPr>
            <w:tcW w:type="dxa" w:w="4320"/>
          </w:tcPr>
          <w:p>
            <w:r>
              <w:t xml:space="preserve">Database selection and licensing?</w:t>
            </w:r>
          </w:p>
        </w:tc>
        <w:tc>
          <w:tcPr>
            <w:tcW w:type="dxa" w:w="4320"/>
          </w:tcPr>
          <w:p>
            <w:r>
              <w:t xml:space="preserve">Review source, update cadence, redistribution terms and compute footprint; must fit 12 GB RAM and contain fungi/archaea; freeze one for the baseline</w:t>
            </w:r>
          </w:p>
        </w:tc>
      </w:tr>
      <w:tr>
        <w:tc>
          <w:tcPr>
            <w:tcW w:type="dxa" w:w="4320"/>
          </w:tcPr>
          <w:p>
            <w:r>
              <w:t xml:space="preserve">Long-read-specific thresholds?</w:t>
            </w:r>
          </w:p>
        </w:tc>
        <w:tc>
          <w:tcPr>
            <w:tcW w:type="dxa" w:w="4320"/>
          </w:tcPr>
          <w:p>
            <w:r>
              <w:t xml:space="preserve">Tune on the development pool only; record pre-specified decision rules (including the minimum read support and the evaluable-species cut-off); evaluate on the held-out pool</w:t>
            </w:r>
          </w:p>
        </w:tc>
      </w:tr>
      <w:tr>
        <w:tc>
          <w:tcPr>
            <w:tcW w:type="dxa" w:w="4320"/>
          </w:tcPr>
          <w:p>
            <w:r>
              <w:t xml:space="preserve">Host read/privacy requirements?</w:t>
            </w:r>
          </w:p>
        </w:tc>
        <w:tc>
          <w:tcPr>
            <w:tcW w:type="dxa" w:w="4320"/>
          </w:tcPr>
          <w:p>
            <w:r>
              <w:t xml:space="preserve">Applies to clinical specimens; prefer non-identifiable public data; remove host reads where applicable</w:t>
            </w:r>
          </w:p>
        </w:tc>
      </w:tr>
      <w:tr>
        <w:tc>
          <w:tcPr>
            <w:tcW w:type="dxa" w:w="4320"/>
          </w:tcPr>
          <w:p>
            <w:r>
              <w:t xml:space="preserve">Dashboard now or later?</w:t>
            </w:r>
          </w:p>
        </w:tc>
        <w:tc>
          <w:tcPr>
            <w:tcW w:type="dxa" w:w="4320"/>
          </w:tcPr>
          <w:p>
            <w:r>
              <w:t xml:space="preserve">Start with validated TSV/HTML report; add Dash only if it improves interpretation</w:t>
            </w:r>
          </w:p>
        </w:tc>
      </w:tr>
      <w:tr>
        <w:tc>
          <w:tcPr>
            <w:tcW w:type="dxa" w:w="4320"/>
          </w:tcPr>
          <w:p>
            <w:r>
              <w:t>Does a different profiler help with close relatives?</w:t>
            </w:r>
          </w:p>
        </w:tc>
        <w:tc>
          <w:tcPr>
            <w:tcW w:type="dxa" w:w="4320"/>
          </w:tcPr>
          <w:p>
            <w:r>
              <w:t>Sylph tested (D18, 18 October): marginal pass on Bifidobacterium adolescentis, detection equal to Kraken2 minus yeast, abundance worse. Centrifuger and minimap2-based profiling untested; a fresh third pool would need its own registered addendum</w:t>
            </w:r>
          </w:p>
        </w:tc>
      </w:tr>
    </w:tbl>
    <w:p/>
    <w:p>
      <w:pPr>
        <w:pStyle w:val="Heading1"/>
      </w:pPr>
      <w:r>
        <w:t xml:space="preserve">10. Suggested execution sequence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Phase</w:t>
            </w:r>
          </w:p>
        </w:tc>
        <w:tc>
          <w:tcPr>
            <w:tcW w:type="dxa" w:w="2880"/>
          </w:tcPr>
          <w:p>
            <w:r>
              <w:t xml:space="preserve">Work package</w:t>
            </w:r>
          </w:p>
        </w:tc>
        <w:tc>
          <w:tcPr>
            <w:tcW w:type="dxa" w:w="2880"/>
          </w:tcPr>
          <w:p>
            <w:r>
              <w:t xml:space="preserve">Exit gate</w:t>
            </w:r>
          </w:p>
        </w:tc>
      </w:tr>
      <w:tr>
        <w:tc>
          <w:tcPr>
            <w:tcW w:type="dxa" w:w="2880"/>
          </w:tcPr>
          <w:p>
            <w:r>
              <w:t>0 — Feasibility audit (essentially complete: run record, chemistry/basecaller, composition against the manual, pool QC and database choice done; open: lot-specific composition (lot number unknown; now more important, because the read trace shows that the sequenced sample departs from the theoretical composition) and basecalling model tier (not blocking))</w:t>
            </w:r>
          </w:p>
        </w:tc>
        <w:tc>
          <w:tcPr>
            <w:tcW w:type="dxa" w:w="2880"/>
          </w:tcPr>
          <w:p>
            <w:r>
              <w:t xml:space="preserve">Confirm accession, run-level metadata, raw-read availability, chemistry, basecaller, composition, truth-set quality, download size and approximate compute for 2–3 candidate datasets</w:t>
            </w:r>
          </w:p>
        </w:tc>
        <w:tc>
          <w:tcPr>
            <w:tcW w:type="dxa" w:w="2880"/>
          </w:tcPr>
          <w:p>
            <w:r>
              <w:t xml:space="preserve">One defensible dataset selected; dataset register started</w:t>
            </w:r>
          </w:p>
        </w:tc>
      </w:tr>
      <w:tr>
        <w:tc>
          <w:tcPr>
            <w:tcW w:type="dxa" w:w="2880"/>
          </w:tcPr>
          <w:p>
            <w:r>
              <w:t xml:space="preserve">1 — Baseline benchmark (essentially complete: baseline classified and scored on both pools; depth series done; Nextflow wrapping later)</w:t>
            </w:r>
          </w:p>
        </w:tc>
        <w:tc>
          <w:tcPr>
            <w:tcW w:type="dxa" w:w="2880"/>
          </w:tcPr>
          <w:p>
            <w:r>
              <w:t xml:space="preserve">QC + one classifier + frozen database; pre-specified metrics; replicated downsampling; held-out evaluation</w:t>
            </w:r>
          </w:p>
        </w:tc>
        <w:tc>
          <w:tcPr>
            <w:tcW w:type="dxa" w:w="2880"/>
          </w:tcPr>
          <w:p>
            <w:r>
              <w:t xml:space="preserve">End-to-end run, baseline calls and quantified performance</w:t>
            </w:r>
          </w:p>
        </w:tc>
      </w:tr>
      <w:tr>
        <w:tc>
          <w:tcPr>
            <w:tcW w:type="dxa" w:w="2880"/>
          </w:tcPr>
          <w:p>
            <w:r>
              <w:t>2 — Challenging scenarios (in progress: Kraken2 confidence and database-size arms done; exploratory read trace; Sylph arm done 18 October; closely related species, the origin of the human reads and further profilers still open)</w:t>
            </w:r>
          </w:p>
        </w:tc>
        <w:tc>
          <w:tcPr>
            <w:tcW w:type="dxa" w:w="2880"/>
          </w:tcPr>
          <w:p>
            <w:r>
              <w:t>Low-abundance organisms, database comparison, a long-read-aware profiler (Sylph done); closely related species if suitable data exist</w:t>
            </w:r>
          </w:p>
        </w:tc>
        <w:tc>
          <w:tcPr>
            <w:tcW w:type="dxa" w:w="2880"/>
          </w:tcPr>
          <w:p>
            <w:r>
              <w:t xml:space="preserve">Documented effects and limitations</w:t>
            </w:r>
          </w:p>
        </w:tc>
      </w:tr>
      <w:tr>
        <w:tc>
          <w:tcPr>
            <w:tcW w:type="dxa" w:w="2880"/>
          </w:tcPr>
          <w:p>
            <w:r>
              <w:t>3 — AMR benchmarking (pilot done 19 October 2026: reference catalogue, one read-level arm, held-out pool scored once; assembly-based and Argo comparisons, allele and point-mutation calls and organism attribution not attempted)</w:t>
            </w:r>
          </w:p>
        </w:tc>
        <w:tc>
          <w:tcPr>
            <w:tcW w:type="dxa" w:w="2880"/>
          </w:tcPr>
          <w:p>
            <w:r>
              <w:t>Done as a pilot against a reference catalogue (no independently measured truth exists for this sample); evaluate gene-family detection and detectability; allele-level accuracy and organism attribution not attempted</w:t>
            </w:r>
          </w:p>
        </w:tc>
        <w:tc>
          <w:tcPr>
            <w:tcW w:type="dxa" w:w="2880"/>
          </w:tcPr>
          <w:p>
            <w:r>
              <w:t>Qualified AMR output with explicit limits (met at gene-family level); deferrals listed</w:t>
            </w:r>
          </w:p>
        </w:tc>
      </w:tr>
      <w:tr>
        <w:tc>
          <w:tcPr>
            <w:tcW w:type="dxa" w:w="2880"/>
          </w:tcPr>
          <w:p>
            <w:r>
              <w:t xml:space="preserve">4 — Packaging</w:t>
            </w:r>
          </w:p>
        </w:tc>
        <w:tc>
          <w:tcPr>
            <w:tcW w:type="dxa" w:w="2880"/>
          </w:tcPr>
          <w:p>
            <w:r>
              <w:t xml:space="preserve">Nextflow, tests, documentation, figures, case study</w:t>
            </w:r>
          </w:p>
        </w:tc>
        <w:tc>
          <w:tcPr>
            <w:tcW w:type="dxa" w:w="2880"/>
          </w:tcPr>
          <w:p>
            <w:r>
              <w:t xml:space="preserve">Independent rerun and clear claims</w:t>
            </w:r>
          </w:p>
        </w:tc>
      </w:tr>
      <w:tr>
        <w:tc>
          <w:tcPr>
            <w:tcW w:type="dxa" w:w="2880"/>
          </w:tcPr>
          <w:p>
            <w:r>
              <w:t xml:space="preserve">5 — Extension</w:t>
            </w:r>
          </w:p>
        </w:tc>
        <w:tc>
          <w:tcPr>
            <w:tcW w:type="dxa" w:w="2880"/>
          </w:tcPr>
          <w:p>
            <w:r>
              <w:t xml:space="preserve">Optional urinary clinical evaluation (or alternative if justified)</w:t>
            </w:r>
          </w:p>
        </w:tc>
        <w:tc>
          <w:tcPr>
            <w:tcW w:type="dxa" w:w="2880"/>
          </w:tcPr>
          <w:p>
            <w:r>
              <w:t xml:space="preserve">Only if metadata and time justify it</w:t>
            </w:r>
          </w:p>
        </w:tc>
      </w:tr>
    </w:tbl>
    <w:p/>
    <w:p>
      <w:pPr>
        <w:pStyle w:val="Heading1"/>
      </w:pPr>
      <w:r>
        <w:t xml:space="preserve">11. Practical risks and mitigations</w:t>
      </w:r>
    </w:p>
    <w:p>
      <w:pPr>
        <w:pStyle w:val="ListBullet"/>
      </w:pPr>
      <w:r>
        <w:t xml:space="preserve">Reference bias and closely related species: report ambiguity; inspect breadth of coverage and diagnostic regions rather than relying on a single classifier score.</w:t>
      </w:r>
    </w:p>
    <w:p>
      <w:pPr>
        <w:pStyle w:val="ListBullet"/>
      </w:pPr>
      <w:r>
        <w:t xml:space="preserve">Overly easy benchmark: a low-complexity mock can yield near-perfect results; include low-abundance and, where possible, closely related organisms.</w:t>
      </w:r>
    </w:p>
    <w:p>
      <w:pPr>
        <w:pStyle w:val="ListBullet"/>
      </w:pPr>
      <w:r>
        <w:t xml:space="preserve">Optimism from tuning and testing on the same data: separate development and evaluation sets and freeze rules first.</w:t>
      </w:r>
    </w:p>
    <w:p>
      <w:pPr>
        <w:pStyle w:val="ListBullet"/>
      </w:pPr>
      <w:r>
        <w:t xml:space="preserve">Chemistry and basecaller dependence: results apply to the chemistry tested; do not generalise without evidence.</w:t>
      </w:r>
    </w:p>
    <w:p>
      <w:pPr>
        <w:pStyle w:val="ListBullet"/>
      </w:pPr>
      <w:r>
        <w:t xml:space="preserve">AMR gene detection without host attribution: separate detection from linkage claims; assembly context alone may also be ambiguous. Allele-level calls are vulnerable to long-read error.</w:t>
      </w:r>
      <w:r>
        <w:t xml:space="preserve"> Observed in the pilot: reads that support a gene family cannot be assigned to a carrier species (tet(Q) is carried by two mock species), recall was therefore counted over distinct gene families; family names in a database can split one gene (cepA) and hide it behind ambiguity, so family rules need checking against sequence evidence before scoring.</w:t>
      </w:r>
    </w:p>
    <w:p>
      <w:pPr>
        <w:pStyle w:val="ListBullet"/>
      </w:pPr>
      <w:r>
        <w:t xml:space="preserve">Public clinical data lacking robust ground truth: do not calculate diagnostic sensitivity/specificity from incomplete comparators.</w:t>
      </w:r>
    </w:p>
    <w:p>
      <w:pPr>
        <w:pStyle w:val="ListBullet"/>
      </w:pPr>
      <w:r>
        <w:t xml:space="preserve">Large datasets and databases: PRJNA1181840 alone is about 128 Gb (about 120 GB compressed FASTQ) and WSL is capped at 12 GB RAM; test a small subset and record resources before scaling.</w:t>
      </w:r>
    </w:p>
    <w:p>
      <w:pPr>
        <w:pStyle w:val="ListBullet"/>
      </w:pPr>
      <w:r>
        <w:t xml:space="preserve">Undetectable low-abundance species: members at or below about 0.01% cannot be sampled in 1 Gb; counting them as misses would understate the classifier. Handled by the evaluable-species definition.</w:t>
      </w:r>
    </w:p>
    <w:p>
      <w:pPr>
        <w:pStyle w:val="ListBullet"/>
      </w:pPr>
      <w:r>
        <w:t xml:space="preserve">Fungi or archaea missing from the database: recall would look poor for reasons unrelated to the classifier. Check coverage before running; otherwise mark those taxa out of scope.</w:t>
      </w:r>
    </w:p>
    <w:p>
      <w:pPr>
        <w:pStyle w:val="ListBullet"/>
      </w:pPr>
      <w:r>
        <w:rPr>
          <w:b/>
        </w:rPr>
        <w:t xml:space="preserve">Naming systems differ between tools: </w:t>
      </w:r>
      <w:r>
        <w:t xml:space="preserve">Sylph uses GTDB names and Kraken2 uses NCBI names (for example Methanocatella smithii against Methanobrevibacter smithii). Map names with recorded evidence and test the mapping on the development pool before comparing tools; otherwise a naming artefact looks like a tool failure (crosswalk version 1 gave F1 0.50 for this reason alone).</w:t>
      </w:r>
    </w:p>
    <w:p>
      <w:pPr>
        <w:pStyle w:val="ListBullet"/>
      </w:pPr>
      <w:r>
        <w:rPr>
          <w:b/>
        </w:rPr>
        <w:t xml:space="preserve">Reads are not DNA mass: </w:t>
      </w:r>
      <w:r>
        <w:t xml:space="preserve">a manufacturer’s composition is a share of DNA, but a classifier counts reads, and species with shorter fragments yield more reads per unit of DNA (here 1.9 kb against 7 to 8 kb). Check the distribution of read length by species before interpreting abundance, and compare tools on the same basis (bases or coverage).</w:t>
      </w:r>
    </w:p>
    <w:p>
      <w:pPr>
        <w:pStyle w:val="ListBullet"/>
      </w:pPr>
      <w:r>
        <w:t xml:space="preserve">Scope creep: finish the baseline benchmark before adding further classifiers, databases, clinical datasets or dashboards.</w:t>
      </w:r>
    </w:p>
    <w:p>
      <w:pPr>
        <w:pStyle w:val="Heading1"/>
      </w:pPr>
      <w:r>
        <w:t xml:space="preserve">12. Portfolio output and outreach use</w:t>
      </w:r>
    </w:p>
    <w:p>
      <w:r>
        <w:t xml:space="preserve">Final public package: GitHub repository, short technical case study, selected benchmark figures and reproducibility instructions. The consultancy claim should be specific: demonstrated development and evaluation of a nanopore mixed-community analysis workflow, not prior commercial metagenomic assay development. Outreach to prospective clients can follow once results and limitations are independently reviewable.</w:t>
      </w:r>
    </w:p>
    <w:p>
      <w:pPr>
        <w:pStyle w:val="Heading1"/>
      </w:pPr>
      <w:r>
        <w:t xml:space="preserve">13. First decisions to make together</w:t>
      </w:r>
    </w:p>
    <w:p>
      <w:pPr>
        <w:pStyle w:val="ListBullet"/>
      </w:pPr>
      <w:r>
        <w:t>Decision 1: confirm SRR31222153 (provisional) as the primary mock-community dataset (pool QC is done and the pipeline has been run on it; formal confirmation is still open), using the manufacturer’s theoretical composition (labelled as theoretical, not lot-measured; the 17 October read trace shows that this sequenced sample departs from it for several species, so it stays the registered reference but is not a measurement of this sequenced sample); otherwise fall back to the LomanLab data.</w:t>
      </w:r>
    </w:p>
    <w:p>
      <w:pPr>
        <w:pStyle w:val="ListBullet"/>
      </w:pPr>
      <w:r>
        <w:t xml:space="preserve">Decision 2: confirm the performance measures in Section 6 (precision/recall/F1 with false-positive audit; AUPRC supplementary; evaluable-species rule), including the detection threshold rule. Settled on 16 October 2026: evaluable minimum 20 expected reads (D14a); detection threshold a fraction of reads, chosen by bootstrap-mean F1 on the development pool and frozen at 0.08% (D14b).</w:t>
      </w:r>
    </w:p>
    <w:p>
      <w:pPr>
        <w:pStyle w:val="ListBullet"/>
      </w:pPr>
      <w:r>
        <w:t>Decision 3: AMR. Settled for the pilot (D20 to D23, 18 to 19 October 2026): a reference catalogue from AMRFinderPlus on the supplier genomes, one read-level arm (ResFinder), gene-family level, assembly and Argo deferred. No independently measured resistance truth exists for this sample.</w:t>
      </w:r>
    </w:p>
    <w:p>
      <w:pPr>
        <w:pStyle w:val="ListBullet"/>
      </w:pPr>
      <w:r>
        <w:t xml:space="preserve">Decision 4: defer selection of a real clinical dataset, with urinary metagenomics preferred.</w:t>
      </w:r>
    </w:p>
    <w:p>
      <w:r>
        <w:t xml:space="preserve">Decisions 1 and 2 should be settled before writing the full pipeline.</w:t>
      </w:r>
    </w:p>
    <w:p>
      <w:pPr>
        <w:pStyle w:val="Heading1"/>
      </w:pPr>
      <w:r>
        <w:t xml:space="preserve">Revision history</w:t>
      </w:r>
    </w:p>
    <w:p>
      <w:pPr>
        <w:pStyle w:val="ListBullet"/>
      </w:pPr>
      <w:r>
        <w:t xml:space="preserve">12 October 2026, revision 2: added chemistry/basecaller recording, independent evaluation, replicated downsampling, metric definitions (including nominal versus read proportions and reference coverage) and a three-level AMR framework; added PRJNA1181840 as a candidate lead and clarified that it is not assumed to supply an independent AMR truth set; deferred additional databases and long-read-aware profilers to Phase 2; corrected the earlier suggestion of Emu, which targets amplicon data; restored a packaging phase; limited host removal to clinical samples.</w:t>
      </w:r>
    </w:p>
    <w:p>
      <w:pPr>
        <w:pStyle w:val="ListBullet"/>
      </w:pPr>
      <w:r>
        <w:t xml:space="preserve">12 October 2026, revision 3: PRJNA1181840 run record verified from ENA (single PromethION run, 23.4 M reads, 128.4 Gb); LomanLab details added from its README; WSL execution constraints, folder layout and the Nextflow decision (D1) recorded in Section 5a.</w:t>
      </w:r>
    </w:p>
    <w:p>
      <w:pPr>
        <w:pStyle w:val="ListBullet"/>
      </w:pPr>
      <w:r>
        <w:t xml:space="preserve">12 October 2026, revision 3b: SRA block-sampling design replaces the full-stream plan after measuring data access speed; sampling completed and pool statistics recorded (Sections 4 and 5a).</w:t>
      </w:r>
    </w:p>
    <w:p>
      <w:pPr>
        <w:pStyle w:val="ListBullet"/>
      </w:pPr>
      <w:r>
        <w:t xml:space="preserve">13 October 2026, revision 4: after review of external feedback, each point checked on its merits. SRR31222153 recorded as the provisional primary dataset with D6331 composition (theoretical, from the manufacturer’s manual; lot certificate outstanding); AUPRC demoted to supplementary; recall defined over evaluable species; depth defined by Gb with the full pool as a single baseline; replicate overlap and block-level resampling stated; fungi/archaea database requirement added to workflow, risks, open questions and Decisions 1 and 2. Later on 13 October: D6331 Tables 1 and 2 checked against the manufacturer’s manual and stored as a versioned reference file.</w:t>
      </w:r>
    </w:p>
    <w:p>
      <w:pPr>
        <w:pStyle w:val="ListBullet"/>
      </w:pPr>
      <w:r>
        <w:t xml:space="preserve">15 October 2026, revision 4 (minor update): chemistry and basecaller recorded from the ENA experiment record (SQK-LSK114, FLO-PRO114M, Dorado v7.2.13; model tier not stated); read-quality QC script added.</w:t>
      </w:r>
    </w:p>
    <w:p>
      <w:pPr>
        <w:pStyle w:val="ListBullet"/>
      </w:pPr>
      <w:r>
        <w:t xml:space="preserve">16 October 2026, revision 5: pool QC result and baseline database and classifier decision (D12) recorded; scoring method written (species matched by taxonomy identifier, evaluable-species minimum, threshold as a fraction of reads, block bootstrap, false-positive audit); truth-table alias for Fusobacterium (D13); evaluable minimum and frozen detection threshold (D14); first baseline result on the held-out pool added to Section 6; Phase 0 and 1 status and Decisions 1 and 2 updated.</w:t>
      </w:r>
    </w:p>
    <w:p>
      <w:pPr>
        <w:pStyle w:val="ListBullet"/>
      </w:pPr>
      <w:r>
        <w:t xml:space="preserve">16 October 2026, revision 6: Phase 1 depth series and the Phase 2 Kraken2 confidence and database-size experiments recorded in Section 6 with their registered predictions and outcomes (decisions D15 to D17); finding that the 8 GB database cap is not the main cause of the abundance bias; Phase 1 and 2 status updated.</w:t>
      </w:r>
    </w:p>
    <w:p>
      <w:pPr>
        <w:pStyle w:val="ListBullet"/>
      </w:pPr>
      <w:r>
        <w:t>17 October 2026, revision 7: exploratory read trace and composition check added to Section 6; the differences from the theoretical abundances re-interpreted (mainly the composition of the sequenced sample, with Kraken2 loss confined to species with close relatives); registered results and verdicts unchanged; the lot certificate and the long-read-aware profiler arm marked as next.</w:t>
      </w:r>
    </w:p>
    <w:p>
      <w:pPr>
        <w:pStyle w:val="ListBullet"/>
      </w:pPr>
      <w:r>
        <w:t>18 October 2026, revision 8: Sylph arm (D18) registered, run and scored once per arm on the held-out pool, with Addendum A1 (crosswalk version 2 by fastANI, like-for-like verdict basis, gap rule) disclosed as written after the development read profiles; result added to Section 6; verdict on B. adolescentis met but marginal, abundance worse than Kraken2; Phase 2 status, open questions and risks updated; “the tube” replaced by “the sequenced sample” where the sequenced material is meant. Amended later on 18 October 2026: the Sylph abundance diagnostic (E. coli shared reads; read-error hypothesis refuted; read-length effect, found post hoc; Kraken2 recounted in bases) added to Section 6, with a new risk about reads versus DNA mass; the earlier “cause not investigated” removed. Addendum A2 (reads versus bases on the held-out pool; all eight predictions met) added to Section 6. The companion Workflow Guide was revised to version 6 on the same day after an external review: a damaged table and an outdated status section were corrected, the difference between reads and DNA is now explained from Step 4 onwards, the glossary and the wording about the sequenced sample were tightened, and the Sylph section was split into labelled parts.</w:t>
      </w:r>
    </w:p>
    <w:p>
      <w:pPr>
        <w:pStyle w:val="ListBullet"/>
      </w:pPr>
      <w:r>
        <w:t xml:space="preserve">19 October 2026, revision 9: resistance-gene pilot (Addenda A3 to A6, decisions D20 to D23) added to Section 6 with its registered rules, the development result, the disclosed family merge (A5) and the held-out result (all five predictions met; three evaluable families, a worked example); AMR metrics, open question, Phase 3, Decision 3 and the AMR risk updated. Eval-pool scoring was prospectively specified, not independent validation; the sequence evidence does not establish host, determinant or phenotype. The companion Workflow Guide was revised to version 7.</w:t>
      </w:r>
    </w:p>
    <w:sectPr w:rsidR="00FC693F" w:rsidRPr="0006063C" w:rsidSect="00034616">
      <w:footerReference w:type="default" r:id="rId9"/>
      <w:headerReference w:type="default" r:id="rId10"/>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Working draft | Nanopore metagenomics project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1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41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4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