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10)</w:t>
      </w:r>
    </w:p>
    <w:p>
      <w:r>
        <w:rPr>
          <w:b w:val="0"/>
          <w:i/>
        </w:rPr>
        <w:t>Version 8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 xml:space="preserve">5.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 xml:space="preserve">6.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 is provisional until its composition is verified and its quality is checked.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r>
        <w:trPr>
          <w:cantSplit/>
        </w:trPr>
        <w:tc>
          <w:tcPr>
            <w:tcW w:type="dxa" w:w="2551"/>
          </w:tcPr>
          <w:p>
            <w:r>
              <w:rPr>
                <w:sz w:val="20"/>
              </w:rPr>
              <w:t>17 Oct, evening</w:t>
            </w:r>
          </w:p>
        </w:tc>
        <w:tc>
          <w:tcPr>
            <w:tcW w:type="dxa" w:w="3118"/>
          </w:tcPr>
          <w:p>
            <w:r>
              <w:rPr>
                <w:sz w:val="20"/>
              </w:rPr>
              <w:t>Registered a fourth experiment with a different kind of profiler (Sylph); downloaded its 20 GB library; built the first translation table from mock names to its names; first run on the practice pool</w:t>
            </w:r>
          </w:p>
        </w:tc>
        <w:tc>
          <w:tcPr>
            <w:tcW w:type="dxa" w:w="3685"/>
          </w:tcPr>
          <w:p>
            <w:r>
              <w:rPr>
                <w:sz w:val="20"/>
              </w:rPr>
              <w:t>Test whether a different method handles close relatives better</w:t>
            </w:r>
          </w:p>
        </w:tc>
      </w:tr>
      <w:tr>
        <w:trPr>
          <w:cantSplit/>
        </w:trPr>
        <w:tc>
          <w:tcPr>
            <w:tcW w:type="dxa" w:w="2551"/>
          </w:tcPr>
          <w:p>
            <w:r>
              <w:rPr>
                <w:sz w:val="20"/>
              </w:rPr>
              <w:t>17–18 Oct</w:t>
            </w:r>
          </w:p>
        </w:tc>
        <w:tc>
          <w:tcPr>
            <w:tcW w:type="dxa" w:w="3118"/>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685"/>
          </w:tcPr>
          <w:p>
            <w:r>
              <w:rPr>
                <w:sz w:val="20"/>
              </w:rPr>
              <w:t>Correct a flawed design in the open, before touching the exam pool</w:t>
            </w:r>
          </w:p>
        </w:tc>
      </w:tr>
      <w:tr>
        <w:trPr>
          <w:cantSplit/>
        </w:trPr>
        <w:tc>
          <w:tcPr>
            <w:tcW w:type="dxa" w:w="2551"/>
          </w:tcPr>
          <w:p>
            <w:r>
              <w:rPr>
                <w:sz w:val="20"/>
              </w:rPr>
              <w:t>18 Oct</w:t>
            </w:r>
          </w:p>
        </w:tc>
        <w:tc>
          <w:tcPr>
            <w:tcW w:type="dxa" w:w="3118"/>
          </w:tcPr>
          <w:p>
            <w:r>
              <w:rPr>
                <w:sz w:val="20"/>
              </w:rPr>
              <w:t>Committed a rule for genomes that might appear only in the exam profile; scored the exam pool once per arm; compared with the written predictions</w:t>
            </w:r>
          </w:p>
        </w:tc>
        <w:tc>
          <w:tcPr>
            <w:tcW w:type="dxa" w:w="3685"/>
          </w:tcPr>
          <w:p>
            <w:r>
              <w:rPr>
                <w:sz w:val="20"/>
              </w:rPr>
              <w:t>Sit the exam once</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much of it comes from the sequenced sample itself).</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an annotation, not a measurement. It reported 140 hits, many of them metal-resistance and virulence genes that we set aside. Of the 38 resistance rows, rules we wrote before seeing any hit sorted the genes into 8 high-confidence ones (complete, known resistance genes that are not pumps) and 14 candidates (partial matches, pumps that bacteria have anyway, point mutations).</w:t>
      </w:r>
    </w:p>
    <w:p>
      <w:r>
        <w:rPr>
          <w:b/>
        </w:rPr>
        <w:t xml:space="preserve">Can a gene even be seen?  </w:t>
      </w:r>
      <w:r>
        <w:t xml:space="preserve">A gene in a species that has almost no reads cannot be found by anyone. So before counting a missed gene as a failure we estimated how many reads should cover it: the species’ coverage (how many times, on average, each letter of its genome is read) times the share of reads that overlap most of the gene. We called this E, and genes with E of at least 10 were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The one method.  </w:t>
      </w:r>
      <w:r>
        <w:t>We compared every read with a standard database of resistance genes (ResFinder). A read counts as support for a gene family if it matches at least 80% of the gene letter for letter at 80% identity or better (we set 80% because we thought typical reads were only about 91% accurate; the next paragraphs show that this number was wrong), and a gene family counts as found if at least three reads support it. A read that matches several different families almost equally is called ambiguous and is not counted. We looked only at gene families (such as “tet(Q)”), not at the exact variant or which species carries it.</w:t>
      </w:r>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we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 xml:space="preserve">Two of the families, tet(Q) and tet(W), had fewer supporting reads than the estimate E said they should (tet(Q): 15 reads against about 51 expected on the practice pool). Rather than explain it away, we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 xml:space="preserve">The cause was how we measured identity.  </w:t>
      </w:r>
      <w:r>
        <w:t xml:space="preserve">The mapper’s fast output reports an estimate of identity based on a few shared short words, not a letter-by-letter comparison. When we aligned those same reads letter by letter, their identity to the database gene was about 97%, not 78%. Typical reads here are about 98 to 99% accurate at these genes, which fits the read-quality figures we had measured earlier; the “about 91%” we had used to choose the 80% line was the same kind of estimate. The identity rule had been applied to a rough number, and for one gene the rough number happened to be low.</w:t>
      </w:r>
    </w:p>
    <w:p>
      <w:r>
        <w:rPr>
          <w:b/>
        </w:rPr>
        <w:t xml:space="preserve">The correction (Addendum A7).  </w:t>
      </w:r>
      <w:r>
        <w:t xml:space="preserve">We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we report; the first counts are kept next to them, because they are what we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we expected, and the corrected counts are much closer (the paragraphs above say why). The corrected run on the exam pool was planned around results we had already seen on the practice pool, so it is a check that the fix behaves the same way, not an independent test. Most importantly, finding sequence that matches a resistance gene does not tell you which organism carries it,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differs from the label, mostly because of the sequenced sample. </w:t>
      </w:r>
      <w:r>
        <w:t>Species counts depart from the manufacturer’s theoretical composition, and the read-by-read comparison (5.4) shows that most of that is already present in the reads themselves, before classification.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naming rule and an identity measure that we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plan at revision 10; decisions D1–D24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