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11)</w:t>
      </w:r>
    </w:p>
    <w:p>
      <w:r>
        <w:rPr>
          <w:b w:val="0"/>
          <w:i/>
        </w:rPr>
        <w:t>Version 10 • 19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5. Resistance genes (a separate branch)</w:t>
            </w:r>
          </w:p>
        </w:tc>
        <w:tc>
          <w:tcPr>
            <w:tcW w:type="dxa" w:w="5000"/>
          </w:tcPr>
          <w:p>
            <w:r>
              <w:rPr>
                <w:sz w:val="20"/>
              </w:rPr>
              <w:t>Compare reads with a database of known resistance genes and estimate how many reads should have covered each gene. This needs its own reference list and its own evidence rules.</w:t>
            </w:r>
          </w:p>
        </w:tc>
        <w:tc>
          <w:tcPr>
            <w:tcW w:type="dxa" w:w="2846"/>
          </w:tcPr>
          <w:p>
            <w:r>
              <w:rPr>
                <w:sz w:val="20"/>
              </w:rPr>
              <w:t>Which resistance-gene families do the reads support, could we have seen them, and can the carrier organism be named?</w:t>
            </w:r>
          </w:p>
        </w:tc>
      </w:tr>
      <w:tr>
        <w:trPr>
          <w:cantSplit/>
        </w:trPr>
        <w:tc>
          <w:tcPr>
            <w:tcW w:type="dxa" w:w="1900"/>
          </w:tcPr>
          <w:p>
            <w:r>
              <w:rPr>
                <w:sz w:val="20"/>
              </w:rPr>
              <w:t>6.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7.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We looked for families, not exact variants.</w:t>
            </w:r>
          </w:p>
        </w:tc>
      </w:tr>
      <w:tr>
        <w:trPr>
          <w:cantSplit/>
        </w:trPr>
        <w:tc>
          <w:tcPr>
            <w:tcW w:type="dxa" w:w="2268"/>
          </w:tcPr>
          <w:p>
            <w:r>
              <w:rPr>
                <w:sz w:val="20"/>
              </w:rPr>
              <w:t>Reference catalogue</w:t>
            </w:r>
          </w:p>
        </w:tc>
        <w:tc>
          <w:tcPr>
            <w:tcW w:type="dxa" w:w="7087"/>
          </w:tcPr>
          <w:p>
            <w:r>
              <w:rPr>
                <w:sz w:val="20"/>
              </w:rPr>
              <w:t>The list of resistance genes we expect,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r>
        <w:trPr>
          <w:cantSplit/>
        </w:trPr>
        <w:tc>
          <w:tcPr>
            <w:tcW w:type="dxa" w:w="2268"/>
          </w:tcPr>
          <w:p>
            <w:r>
              <w:rPr>
                <w:sz w:val="20"/>
              </w:rPr>
              <w:t>Base-level alignment</w:t>
            </w:r>
          </w:p>
        </w:tc>
        <w:tc>
          <w:tcPr>
            <w:tcW w:type="dxa" w:w="7087"/>
          </w:tcPr>
          <w:p>
            <w:r>
              <w:rPr>
                <w:sz w:val="20"/>
              </w:rPr>
              <w:t>A letter-by-letter comparison of a read with a reference that counts matches, mismatches and gaps. A quick mapping can skip it and only estimate identity from a few shared short words, and that estimate can be too low.</w:t>
            </w:r>
          </w:p>
        </w:tc>
      </w:tr>
      <w:tr>
        <w:trPr>
          <w:cantSplit/>
        </w:trPr>
        <w:tc>
          <w:tcPr>
            <w:tcW w:type="dxa" w:w="2268"/>
          </w:tcPr>
          <w:p>
            <w:r>
              <w:rPr>
                <w:sz w:val="20"/>
              </w:rPr>
              <w:t>Approximate identity estimate</w:t>
            </w:r>
          </w:p>
        </w:tc>
        <w:tc>
          <w:tcPr>
            <w:tcW w:type="dxa" w:w="7087"/>
          </w:tcPr>
          <w:p>
            <w:r>
              <w:rPr>
                <w:sz w:val="20"/>
              </w:rPr>
              <w:t>A rough identity figure from a fast mapper’s default output. Fine for deciding where a read belongs, but not safe to use as a measured accuracy or as a filter threshold without checking.</w:t>
            </w:r>
          </w:p>
        </w:tc>
      </w:tr>
      <w:tr>
        <w:trPr>
          <w:cantSplit/>
        </w:trPr>
        <w:tc>
          <w:tcPr>
            <w:tcW w:type="dxa" w:w="2268"/>
          </w:tcPr>
          <w:p>
            <w:r>
              <w:rPr>
                <w:sz w:val="20"/>
              </w:rPr>
              <w:t>Identity (of an alignment)</w:t>
            </w:r>
          </w:p>
        </w:tc>
        <w:tc>
          <w:tcPr>
            <w:tcW w:type="dxa" w:w="7087"/>
          </w:tcPr>
          <w:p>
            <w:r>
              <w:rPr>
                <w:sz w:val="20"/>
              </w:rPr>
              <w:t>Of the letters in the part of a read that lines up with a reference, the share that agree. It mixes sequencing errors with real differences from the reference, so it is not the same as the sequencer’s accuracy.</w:t>
            </w:r>
          </w:p>
        </w:tc>
      </w:tr>
      <w:tr>
        <w:trPr>
          <w:cantSplit/>
        </w:trPr>
        <w:tc>
          <w:tcPr>
            <w:tcW w:type="dxa" w:w="2268"/>
          </w:tcPr>
          <w:p>
            <w:r>
              <w:rPr>
                <w:sz w:val="20"/>
              </w:rPr>
              <w:t>Gene coverage (of a read)</w:t>
            </w:r>
          </w:p>
        </w:tc>
        <w:tc>
          <w:tcPr>
            <w:tcW w:type="dxa" w:w="7087"/>
          </w:tcPr>
          <w:p>
            <w:r>
              <w:rPr>
                <w:sz w:val="20"/>
              </w:rPr>
              <w:t>How much of the reference gene the aligned part of a read spans. A read can match very well over a small fragment and still say little about the whole gene.</w:t>
            </w:r>
          </w:p>
        </w:tc>
      </w:tr>
      <w:tr>
        <w:trPr>
          <w:cantSplit/>
        </w:trPr>
        <w:tc>
          <w:tcPr>
            <w:tcW w:type="dxa" w:w="2268"/>
          </w:tcPr>
          <w:p>
            <w:r>
              <w:rPr>
                <w:sz w:val="20"/>
              </w:rPr>
              <w:t>Attribution (of a read to an organism)</w:t>
            </w:r>
          </w:p>
        </w:tc>
        <w:tc>
          <w:tcPr>
            <w:tcW w:type="dxa" w:w="7087"/>
          </w:tcPr>
          <w:p>
            <w:r>
              <w:rPr>
                <w:sz w:val="20"/>
              </w:rPr>
              <w:t>Naming which organism a read, or the gene on it, comes from. A read can be attributed to a species, to a broader group (genus, family, order) or not at all; broader is safer but less informative.</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Its run record, chemistry and read quality have been checked (Steps 1 and 3). Its composition is the manufacturer’s theoretical one; the composition of the lot that was actually sequenced is not known (Step 4 and section 5.7).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we did in practice, as a small pilot at the gene-family level with a test of organism attribution inside the mock community,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r>
        <w:trPr>
          <w:cantSplit/>
        </w:trPr>
        <w:tc>
          <w:tcPr>
            <w:tcW w:type="dxa" w:w="1361"/>
          </w:tcPr>
          <w:p>
            <w:r>
              <w:rPr>
                <w:sz w:val="20"/>
              </w:rPr>
              <w:t>17 Oct, evening</w:t>
            </w:r>
          </w:p>
        </w:tc>
        <w:tc>
          <w:tcPr>
            <w:tcW w:type="dxa" w:w="4535"/>
          </w:tcPr>
          <w:p>
            <w:r>
              <w:rPr>
                <w:sz w:val="20"/>
              </w:rPr>
              <w:t>Registered a fourth experiment with a different kind of profiler (Sylph); downloaded its 20 GB library; built the first translation table from mock names to its names; first run on the practice pool</w:t>
            </w:r>
          </w:p>
        </w:tc>
        <w:tc>
          <w:tcPr>
            <w:tcW w:type="dxa" w:w="3458"/>
          </w:tcPr>
          <w:p>
            <w:r>
              <w:rPr>
                <w:sz w:val="20"/>
              </w:rPr>
              <w:t>Test whether a different method handles close relatives better</w:t>
            </w:r>
          </w:p>
        </w:tc>
      </w:tr>
      <w:tr>
        <w:trPr>
          <w:cantSplit/>
        </w:trPr>
        <w:tc>
          <w:tcPr>
            <w:tcW w:type="dxa" w:w="1361"/>
          </w:tcPr>
          <w:p>
            <w:r>
              <w:rPr>
                <w:sz w:val="20"/>
              </w:rPr>
              <w:t>17–18 Oct</w:t>
            </w:r>
          </w:p>
        </w:tc>
        <w:tc>
          <w:tcPr>
            <w:tcW w:type="dxa" w:w="4535"/>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458"/>
          </w:tcPr>
          <w:p>
            <w:r>
              <w:rPr>
                <w:sz w:val="20"/>
              </w:rPr>
              <w:t>Correct a flawed design in the open, before touching the exam pool</w:t>
            </w:r>
          </w:p>
        </w:tc>
      </w:tr>
      <w:tr>
        <w:trPr>
          <w:cantSplit/>
        </w:trPr>
        <w:tc>
          <w:tcPr>
            <w:tcW w:type="dxa" w:w="1361"/>
          </w:tcPr>
          <w:p>
            <w:r>
              <w:rPr>
                <w:sz w:val="20"/>
              </w:rPr>
              <w:t>18 Oct</w:t>
            </w:r>
          </w:p>
        </w:tc>
        <w:tc>
          <w:tcPr>
            <w:tcW w:type="dxa" w:w="4535"/>
          </w:tcPr>
          <w:p>
            <w:r>
              <w:rPr>
                <w:sz w:val="20"/>
              </w:rPr>
              <w:t>Committed a rule for genomes that might appear only in the exam profile; scored the exam pool once per arm; compared with the written predictions</w:t>
            </w:r>
          </w:p>
        </w:tc>
        <w:tc>
          <w:tcPr>
            <w:tcW w:type="dxa" w:w="3458"/>
          </w:tcPr>
          <w:p>
            <w:r>
              <w:rPr>
                <w:sz w:val="20"/>
              </w:rPr>
              <w:t>Sit the exam once</w:t>
            </w:r>
          </w:p>
        </w:tc>
      </w:tr>
      <w:tr>
        <w:trPr>
          <w:cantSplit/>
        </w:trPr>
        <w:tc>
          <w:tcPr>
            <w:tcW w:type="dxa" w:w="1361"/>
          </w:tcPr>
          <w:p>
            <w:r>
              <w:rPr>
                <w:sz w:val="20"/>
              </w:rPr>
              <w:t>18 Oct, later</w:t>
            </w:r>
          </w:p>
        </w:tc>
        <w:tc>
          <w:tcPr>
            <w:tcW w:type="dxa" w:w="4535"/>
          </w:tcPr>
          <w:p>
            <w:r>
              <w:rPr>
                <w:sz w:val="20"/>
              </w:rPr>
              <w:t>Investigated why Sylph got two species wrong; found that species differ in read length, so reads and DNA letters give different answers; registered an addendum and re-expressed the Kraken2 results in letters; scored once</w:t>
            </w:r>
          </w:p>
        </w:tc>
        <w:tc>
          <w:tcPr>
            <w:tcW w:type="dxa" w:w="3458"/>
          </w:tcPr>
          <w:p>
            <w:r>
              <w:rPr>
                <w:sz w:val="20"/>
              </w:rPr>
              <w:t>Compare on the same basis as the manufacturer’s label</w:t>
            </w:r>
          </w:p>
        </w:tc>
      </w:tr>
      <w:tr>
        <w:trPr>
          <w:cantSplit/>
        </w:trPr>
        <w:tc>
          <w:tcPr>
            <w:tcW w:type="dxa" w:w="1361"/>
          </w:tcPr>
          <w:p>
            <w:r>
              <w:rPr>
                <w:sz w:val="20"/>
              </w:rPr>
              <w:t>18 Oct, night</w:t>
            </w:r>
          </w:p>
        </w:tc>
        <w:tc>
          <w:tcPr>
            <w:tcW w:type="dxa" w:w="4535"/>
          </w:tcPr>
          <w:p>
            <w:r>
              <w:rPr>
                <w:sz w:val="20"/>
              </w:rPr>
              <w:t>Designed the resistance-gene pilot: annotated the supplier genomes, sorted the hits by rules written before seeing them, and estimated how many reads should cover each gene</w:t>
            </w:r>
          </w:p>
        </w:tc>
        <w:tc>
          <w:tcPr>
            <w:tcW w:type="dxa" w:w="3458"/>
          </w:tcPr>
          <w:p>
            <w:r>
              <w:rPr>
                <w:sz w:val="20"/>
              </w:rPr>
              <w:t>Know what could be found before counting misses</w:t>
            </w:r>
          </w:p>
        </w:tc>
      </w:tr>
      <w:tr>
        <w:trPr>
          <w:cantSplit/>
        </w:trPr>
        <w:tc>
          <w:tcPr>
            <w:tcW w:type="dxa" w:w="1361"/>
          </w:tcPr>
          <w:p>
            <w:r>
              <w:rPr>
                <w:sz w:val="20"/>
              </w:rPr>
              <w:t>18–19 Oct</w:t>
            </w:r>
          </w:p>
        </w:tc>
        <w:tc>
          <w:tcPr>
            <w:tcW w:type="dxa" w:w="4535"/>
          </w:tcPr>
          <w:p>
            <w:r>
              <w:rPr>
                <w:sz w:val="20"/>
              </w:rPr>
              <w:t>Searched the reads against a resistance-gene database; found one gene hidden by a naming problem (cepA) and fixed it with a written addendum; froze everything and scored the exam pool once</w:t>
            </w:r>
          </w:p>
        </w:tc>
        <w:tc>
          <w:tcPr>
            <w:tcW w:type="dxa" w:w="3458"/>
          </w:tcPr>
          <w:p>
            <w:r>
              <w:rPr>
                <w:sz w:val="20"/>
              </w:rPr>
              <w:t>Correct our own rule in the open, then sit the exam once</w:t>
            </w:r>
          </w:p>
        </w:tc>
      </w:tr>
      <w:tr>
        <w:trPr>
          <w:cantSplit/>
        </w:trPr>
        <w:tc>
          <w:tcPr>
            <w:tcW w:type="dxa" w:w="1361"/>
          </w:tcPr>
          <w:p>
            <w:r>
              <w:rPr>
                <w:sz w:val="20"/>
              </w:rPr>
              <w:t>19 Oct</w:t>
            </w:r>
          </w:p>
        </w:tc>
        <w:tc>
          <w:tcPr>
            <w:tcW w:type="dxa" w:w="4535"/>
          </w:tcPr>
          <w:p>
            <w:r>
              <w:rPr>
                <w:sz w:val="20"/>
              </w:rPr>
              <w:t>Asked why tet(Q) had fewer reads than expected: three small checks, each with its question written first, showed the identity figure was an approximate estimate; registered a corrected run (letter-by-letter identity) and scored both pools</w:t>
            </w:r>
          </w:p>
        </w:tc>
        <w:tc>
          <w:tcPr>
            <w:tcW w:type="dxa" w:w="3458"/>
          </w:tcPr>
          <w:p>
            <w:r>
              <w:rPr>
                <w:sz w:val="20"/>
              </w:rPr>
              <w:t>Fix a measuring problem without erasing the earlier result</w:t>
            </w:r>
          </w:p>
        </w:tc>
      </w:tr>
      <w:tr>
        <w:trPr>
          <w:cantSplit/>
        </w:trPr>
        <w:tc>
          <w:tcPr>
            <w:tcW w:type="dxa" w:w="1361"/>
          </w:tcPr>
          <w:p>
            <w:r>
              <w:rPr>
                <w:sz w:val="20"/>
              </w:rPr>
              <w:t>19 Oct, later</w:t>
            </w:r>
          </w:p>
        </w:tc>
        <w:tc>
          <w:tcPr>
            <w:tcW w:type="dxa" w:w="4535"/>
          </w:tcPr>
          <w:p>
            <w:r>
              <w:rPr>
                <w:sz w:val="20"/>
              </w:rPr>
              <w:t>Asked whether the organism carrying each resistance gene can be named from the same reads: registered Addendum A8, scored both pools; cepA and tet(W) reads were named correctly, tet(Q) reads often only as a group of related species; a small exploratory check pointed to short or gene-heavy reads</w:t>
            </w:r>
          </w:p>
        </w:tc>
        <w:tc>
          <w:tcPr>
            <w:tcW w:type="dxa" w:w="3458"/>
          </w:tcPr>
          <w:p>
            <w:r>
              <w:rPr>
                <w:sz w:val="20"/>
              </w:rPr>
              <w:t>Report a prediction that failed, and say why</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most of it is already present in the reads before any software has classified them).</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 xml:space="preserve">Finding resistance genes is the part of the project closest to medicine, and the part that is easiest to over-claim. So we kept it small, wrote the rules down first, and let the question be: </w:t>
      </w:r>
      <w:r>
        <w:rPr>
          <w:i/>
        </w:rPr>
        <w:t xml:space="preserve">can the workflow see the resistance genes we expect, and what would that tell us?</w:t>
      </w:r>
    </w:p>
    <w:p>
      <w:r>
        <w:rPr>
          <w:b/>
        </w:rPr>
        <w:t xml:space="preserve">What is a resistance gene, and what does finding one mean?  </w:t>
      </w:r>
      <w:r>
        <w:t xml:space="preserve">A resistance gene is a stretch of DNA with the instructions for something that can make a bacterium less affected by a drug: an enzyme that breaks the drug down, a pump that pushes it out, or a changed target. Finding the gene is not the same as finding resistance. The copy may be incomplete or switched off; the bacterium may not be a pathogen; some genes belong naturally to a species (cepA is usually found in the chromosome of Bacteroides fragilis, so it says little about acquired resistance spreading); and resistance depends on the drug and the dose. Sequence evidence is only the first step.</w:t>
      </w:r>
    </w:p>
    <w:tbl>
      <w:tblPr>
        <w:tblStyle w:val="TableGrid"/>
        <w:tblW w:type="auto" w:w="0"/>
        <w:tblLayout w:type="fixed"/>
        <w:tblLook w:firstColumn="1" w:firstRow="1" w:lastColumn="0" w:lastRow="0" w:noHBand="0" w:noVBand="1" w:val="04A0"/>
      </w:tblPr>
      <w:tblGrid>
        <w:gridCol w:w="3500"/>
        <w:gridCol w:w="6246"/>
      </w:tblGrid>
      <w:tr>
        <w:trPr>
          <w:cantSplit/>
        </w:trPr>
        <w:tc>
          <w:tcPr>
            <w:tcW w:type="dxa" w:w="3500"/>
            <w:shd w:val="clear" w:fill="D9E4F2"/>
          </w:tcPr>
          <w:p>
            <w:r>
              <w:rPr>
                <w:b/>
                <w:sz w:val="20"/>
              </w:rPr>
              <w:t xml:space="preserve">Level of interpretation</w:t>
            </w:r>
          </w:p>
        </w:tc>
        <w:tc>
          <w:tcPr>
            <w:tcW w:type="dxa" w:w="6246"/>
            <w:shd w:val="clear" w:fill="D9E4F2"/>
          </w:tcPr>
          <w:p>
            <w:r>
              <w:rPr>
                <w:b/>
                <w:sz w:val="20"/>
              </w:rPr>
              <w:t xml:space="preserve">What this pilot can establish</w:t>
            </w:r>
          </w:p>
        </w:tc>
      </w:tr>
      <w:tr>
        <w:trPr>
          <w:cantSplit/>
        </w:trPr>
        <w:tc>
          <w:tcPr>
            <w:tcW w:type="dxa" w:w="3500"/>
          </w:tcPr>
          <w:p>
            <w:r>
              <w:rPr>
                <w:sz w:val="20"/>
              </w:rPr>
              <w:t xml:space="preserve">Resistance-gene family detected in the reads</w:t>
            </w:r>
          </w:p>
        </w:tc>
        <w:tc>
          <w:tcPr>
            <w:tcW w:type="dxa" w:w="6246"/>
          </w:tcPr>
          <w:p>
            <w:r>
              <w:rPr>
                <w:sz w:val="20"/>
              </w:rPr>
              <w:t xml:space="preserve">Yes, for three gene families on well-covered species: do sampled reads support a known gene family?</w:t>
            </w:r>
          </w:p>
        </w:tc>
      </w:tr>
      <w:tr>
        <w:trPr>
          <w:cantSplit/>
        </w:trPr>
        <w:tc>
          <w:tcPr>
            <w:tcW w:type="dxa" w:w="3500"/>
          </w:tcPr>
          <w:p>
            <w:r>
              <w:rPr>
                <w:sz w:val="20"/>
              </w:rPr>
              <w:t xml:space="preserve">Organism that carries the gene</w:t>
            </w:r>
          </w:p>
        </w:tc>
        <w:tc>
          <w:tcPr>
            <w:tcW w:type="dxa" w:w="6246"/>
          </w:tcPr>
          <w:p>
            <w:r>
              <w:rPr>
                <w:sz w:val="20"/>
              </w:rPr>
              <w:t>Tested only in the mock community, where the true organism is known (end of section 5.6). Reads of cepA and tet(W) were named to the right species; tet(Q) reads often only to a group of related species. Not possible in a real sample without known genomes.</w:t>
            </w:r>
          </w:p>
        </w:tc>
      </w:tr>
      <w:tr>
        <w:trPr>
          <w:cantSplit/>
        </w:trPr>
        <w:tc>
          <w:tcPr>
            <w:tcW w:type="dxa" w:w="3500"/>
          </w:tcPr>
          <w:p>
            <w:r>
              <w:rPr>
                <w:sz w:val="20"/>
              </w:rPr>
              <w:t xml:space="preserve">Resistant phenotype (would the bacterium survive the drug?)</w:t>
            </w:r>
          </w:p>
        </w:tc>
        <w:tc>
          <w:tcPr>
            <w:tcW w:type="dxa" w:w="6246"/>
          </w:tcPr>
          <w:p>
            <w:r>
              <w:rPr>
                <w:sz w:val="20"/>
              </w:rPr>
              <w:t xml:space="preserve">Not established. This needs laboratory susceptibility testing, not sequence matching.</w:t>
            </w:r>
          </w:p>
        </w:tc>
      </w:tr>
    </w:tbl>
    <w:p/>
    <w:p>
      <w:r>
        <w:rPr>
          <w:b/>
        </w:rPr>
        <w:t xml:space="preserve">What is the “truth”?  </w:t>
      </w:r>
      <w:r>
        <w:t xml:space="preserve">Nobody measured which resistance genes are in this sequenced tube. What we do have is the supplier’s genome sequences for the mock community. We ran a standard annotation tool (AMRFinderPlus) over those genomes and called the result a reference catalogue: genes we expect to find if the tube matches the genomes. It is a prediction from genomes, not a measurement of the bacteria’s resistance or of the tube. The table shows where every hit went.</w:t>
      </w:r>
    </w:p>
    <w:tbl>
      <w:tblPr>
        <w:tblStyle w:val="TableGrid"/>
        <w:tblW w:type="auto" w:w="0"/>
        <w:tblLayout w:type="fixed"/>
        <w:tblLook w:firstColumn="1" w:firstRow="1" w:lastColumn="0" w:lastRow="0" w:noHBand="0" w:noVBand="1" w:val="04A0"/>
      </w:tblPr>
      <w:tblGrid>
        <w:gridCol w:w="2900"/>
        <w:gridCol w:w="900"/>
        <w:gridCol w:w="5946"/>
      </w:tblGrid>
      <w:tr>
        <w:trPr>
          <w:cantSplit/>
        </w:trPr>
        <w:tc>
          <w:tcPr>
            <w:tcW w:type="dxa" w:w="2900"/>
            <w:shd w:val="clear" w:fill="D9E4F2"/>
          </w:tcPr>
          <w:p>
            <w:r>
              <w:rPr>
                <w:b/>
                <w:sz w:val="20"/>
              </w:rPr>
              <w:t xml:space="preserve">Step</w:t>
            </w:r>
          </w:p>
        </w:tc>
        <w:tc>
          <w:tcPr>
            <w:tcW w:type="dxa" w:w="900"/>
            <w:shd w:val="clear" w:fill="D9E4F2"/>
          </w:tcPr>
          <w:p>
            <w:r>
              <w:rPr>
                <w:b/>
                <w:sz w:val="20"/>
              </w:rPr>
              <w:t xml:space="preserve">Rows</w:t>
            </w:r>
          </w:p>
        </w:tc>
        <w:tc>
          <w:tcPr>
            <w:tcW w:type="dxa" w:w="5946"/>
            <w:shd w:val="clear" w:fill="D9E4F2"/>
          </w:tcPr>
          <w:p>
            <w:r>
              <w:rPr>
                <w:b/>
                <w:sz w:val="20"/>
              </w:rPr>
              <w:t xml:space="preserve">What happened</w:t>
            </w:r>
          </w:p>
        </w:tc>
      </w:tr>
      <w:tr>
        <w:trPr>
          <w:cantSplit/>
        </w:trPr>
        <w:tc>
          <w:tcPr>
            <w:tcW w:type="dxa" w:w="2900"/>
          </w:tcPr>
          <w:p>
            <w:r>
              <w:rPr>
                <w:sz w:val="20"/>
              </w:rPr>
              <w:t xml:space="preserve">Raw annotation hits</w:t>
            </w:r>
          </w:p>
        </w:tc>
        <w:tc>
          <w:tcPr>
            <w:tcW w:type="dxa" w:w="900"/>
          </w:tcPr>
          <w:p>
            <w:r>
              <w:rPr>
                <w:sz w:val="20"/>
              </w:rPr>
              <w:t xml:space="preserve">140</w:t>
            </w:r>
          </w:p>
        </w:tc>
        <w:tc>
          <w:tcPr>
            <w:tcW w:type="dxa" w:w="5946"/>
          </w:tcPr>
          <w:p>
            <w:r>
              <w:rPr>
                <w:sz w:val="20"/>
              </w:rPr>
              <w:t xml:space="preserve">Everything the tool reported across the 19 genome files.</w:t>
            </w:r>
          </w:p>
        </w:tc>
      </w:tr>
      <w:tr>
        <w:trPr>
          <w:cantSplit/>
        </w:trPr>
        <w:tc>
          <w:tcPr>
            <w:tcW w:type="dxa" w:w="2900"/>
          </w:tcPr>
          <w:p>
            <w:r>
              <w:rPr>
                <w:sz w:val="20"/>
              </w:rPr>
              <w:t xml:space="preserve">Set aside: not antibiotic resistance</w:t>
            </w:r>
          </w:p>
        </w:tc>
        <w:tc>
          <w:tcPr>
            <w:tcW w:type="dxa" w:w="900"/>
          </w:tcPr>
          <w:p>
            <w:r>
              <w:rPr>
                <w:sz w:val="20"/>
              </w:rPr>
              <w:t xml:space="preserve">102</w:t>
            </w:r>
          </w:p>
        </w:tc>
        <w:tc>
          <w:tcPr>
            <w:tcW w:type="dxa" w:w="5946"/>
          </w:tcPr>
          <w:p>
            <w:r>
              <w:rPr>
                <w:sz w:val="20"/>
              </w:rPr>
              <w:t xml:space="preserve">52 virulence, 44 metal-resistance, 5 acid-resistance, 1 biocide gene.</w:t>
            </w:r>
          </w:p>
        </w:tc>
      </w:tr>
      <w:tr>
        <w:trPr>
          <w:cantSplit/>
        </w:trPr>
        <w:tc>
          <w:tcPr>
            <w:tcW w:type="dxa" w:w="2900"/>
          </w:tcPr>
          <w:p>
            <w:r>
              <w:rPr>
                <w:sz w:val="20"/>
              </w:rPr>
              <w:t xml:space="preserve">Resistance-type rows kept</w:t>
            </w:r>
          </w:p>
        </w:tc>
        <w:tc>
          <w:tcPr>
            <w:tcW w:type="dxa" w:w="900"/>
          </w:tcPr>
          <w:p>
            <w:r>
              <w:rPr>
                <w:sz w:val="20"/>
              </w:rPr>
              <w:t xml:space="preserve">38</w:t>
            </w:r>
          </w:p>
        </w:tc>
        <w:tc>
          <w:tcPr>
            <w:tcW w:type="dxa" w:w="5946"/>
          </w:tcPr>
          <w:p>
            <w:r>
              <w:rPr>
                <w:sz w:val="20"/>
              </w:rPr>
              <w:t xml:space="preserve">34 resistance genes and 4 point mutations (a single-letter change inside a gene).</w:t>
            </w:r>
          </w:p>
        </w:tc>
      </w:tr>
      <w:tr>
        <w:trPr>
          <w:cantSplit/>
        </w:trPr>
        <w:tc>
          <w:tcPr>
            <w:tcW w:type="dxa" w:w="2900"/>
          </w:tcPr>
          <w:p>
            <w:r>
              <w:rPr>
                <w:sz w:val="20"/>
              </w:rPr>
              <w:t xml:space="preserve">High-confidence</w:t>
            </w:r>
          </w:p>
        </w:tc>
        <w:tc>
          <w:tcPr>
            <w:tcW w:type="dxa" w:w="900"/>
          </w:tcPr>
          <w:p>
            <w:r>
              <w:rPr>
                <w:sz w:val="20"/>
              </w:rPr>
              <w:t xml:space="preserve">8</w:t>
            </w:r>
          </w:p>
        </w:tc>
        <w:tc>
          <w:tcPr>
            <w:tcW w:type="dxa" w:w="5946"/>
          </w:tcPr>
          <w:p>
            <w:r>
              <w:rPr>
                <w:sz w:val="20"/>
              </w:rPr>
              <w:t xml:space="preserve">Complete core resistance genes, at least 90% identity and 90% coverage of the reference gene, not a pump. These are the genes the pilot expects to find. Rules written before seeing the hits.</w:t>
            </w:r>
          </w:p>
        </w:tc>
      </w:tr>
      <w:tr>
        <w:trPr>
          <w:cantSplit/>
        </w:trPr>
        <w:tc>
          <w:tcPr>
            <w:tcW w:type="dxa" w:w="2900"/>
          </w:tcPr>
          <w:p>
            <w:r>
              <w:rPr>
                <w:sz w:val="20"/>
              </w:rPr>
              <w:t xml:space="preserve">Candidate</w:t>
            </w:r>
          </w:p>
        </w:tc>
        <w:tc>
          <w:tcPr>
            <w:tcW w:type="dxa" w:w="900"/>
          </w:tcPr>
          <w:p>
            <w:r>
              <w:rPr>
                <w:sz w:val="20"/>
              </w:rPr>
              <w:t xml:space="preserve">30</w:t>
            </w:r>
          </w:p>
        </w:tc>
        <w:tc>
          <w:tcPr>
            <w:tcW w:type="dxa" w:w="5946"/>
          </w:tcPr>
          <w:p>
            <w:r>
              <w:rPr>
                <w:sz w:val="20"/>
              </w:rPr>
              <w:t xml:space="preserve">Everything else: extended-set genes, pumps (efflux pumps are usually natural features of a species, so they say little about acquired resistance), partial matches (possibly broken fragments) and the 4 point mutations. Reported, but not scored as genes that must be found.</w:t>
            </w:r>
          </w:p>
        </w:tc>
      </w:tr>
      <w:tr>
        <w:trPr>
          <w:cantSplit/>
        </w:trPr>
        <w:tc>
          <w:tcPr>
            <w:tcW w:type="dxa" w:w="2900"/>
          </w:tcPr>
          <w:p>
            <w:r>
              <w:rPr>
                <w:sz w:val="20"/>
              </w:rPr>
              <w:t xml:space="preserve">Units for scoring</w:t>
            </w:r>
          </w:p>
        </w:tc>
        <w:tc>
          <w:tcPr>
            <w:tcW w:type="dxa" w:w="900"/>
          </w:tcPr>
          <w:p>
            <w:r>
              <w:rPr>
                <w:sz w:val="20"/>
              </w:rPr>
              <w:t xml:space="preserve">22</w:t>
            </w:r>
          </w:p>
        </w:tc>
        <w:tc>
          <w:tcPr>
            <w:tcW w:type="dxa" w:w="5946"/>
          </w:tcPr>
          <w:p>
            <w:r>
              <w:rPr>
                <w:sz w:val="20"/>
              </w:rPr>
              <w:t xml:space="preserve">Rows collapsed to one unit per species and gene (five E. coli strains share the same three genes): 8 high-confidence and 14 candidate units. The 4 point mutations are not scored.</w:t>
            </w:r>
          </w:p>
        </w:tc>
      </w:tr>
    </w:tbl>
    <w:p/>
    <w:p>
      <w:r>
        <w:rPr>
          <w:b/>
        </w:rPr>
        <w:t xml:space="preserve">Can a gene even be seen?  </w:t>
      </w:r>
      <w:r>
        <w:t xml:space="preserve">A gene in a species that has almost no reads cannot be found by anyone. So before counting a missed gene as a failure we estimated how many reads should cover it. We called this E. It is a model-based expectation, not an observed count, and it assumes the species is covered evenly and uses the carrier’s average read length. Genes with E of at least 10 were called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A worked calculation of E.  </w:t>
      </w:r>
      <w:r>
        <w:t xml:space="preserve">Coverage is how many times, on average, each letter of a genome is read; here it comes from the practice reads. A read is useful for a gene only if it covers at least 80% of it. Reads start at random places, about coverage ÷ read length starts per letter, and a read longer than the gene covers at least 80% of it when it starts inside a window of (read length − 0.6 × gene length) letters. So E = coverage × (read length − 0.6 × gene length) ÷ read length. For tet(Q) in B. fragilis: coverage 34.58, average read length 7,378, gene length 1,923, so E = 34.58 × (7,378 − 1,154) ÷ 7,378 = 29.2. For tet(Q) in P. corporis: 25.57 × (7,460 − 1,154) ÷ 7,460 = 21.6. The reads cannot be assigned to one species, so tet(Q) is expected to have about 29.2 + 21.6 = 50.8 reads. That is why 15 observed reads was a surprise. For erm(B): coverage 3.93, read length 6,228, gene 735 letters, E = 3.7. With so few expected reads, even a perfect method would see none about one time in 40 by chance, so two reads (what we found) says very little either way.</w:t>
      </w:r>
    </w:p>
    <w:p>
      <w:r>
        <w:rPr>
          <w:b/>
        </w:rPr>
        <w:t xml:space="preserve">The one method.  </w:t>
      </w:r>
      <w:r>
        <w:t>We compared every read with a standard database of resistance genes (ResFinder). A read counts as support for a gene family only if two separate tests pass. Identity: of the letters in the aligned part, at least 80% agree with the database gene. Gene coverage: the aligned part spans at least 80% of the database gene. A gene family counts as found if at least three reads support it. A read that matches several different families almost equally is called ambiguous and is not counted. Both 80% thresholds were chosen for this pilot and written down in advance; they are exploratory settings, not validated cut-offs for nanopore resistance detection. We looked only at gene families (such as “tet(Q)”), not at the exact variant or which species carries it. We chose the identity threshold when we thought typical reads were only about 91% accurate; the later paragraphs show how that number arose and why it was misleading.</w:t>
      </w:r>
    </w:p>
    <w:tbl>
      <w:tblPr>
        <w:tblStyle w:val="TableGrid"/>
        <w:tblW w:type="auto" w:w="0"/>
        <w:tblLayout w:type="fixed"/>
        <w:tblLook w:firstColumn="1" w:firstRow="1" w:lastColumn="0" w:lastRow="0" w:noHBand="0" w:noVBand="1" w:val="04A0"/>
      </w:tblPr>
      <w:tblGrid>
        <w:gridCol w:w="3900"/>
        <w:gridCol w:w="1900"/>
        <w:gridCol w:w="1500"/>
        <w:gridCol w:w="2446"/>
      </w:tblGrid>
      <w:tr>
        <w:trPr>
          <w:cantSplit/>
        </w:trPr>
        <w:tc>
          <w:tcPr>
            <w:tcW w:type="dxa" w:w="3900"/>
            <w:shd w:val="clear" w:fill="D9E4F2"/>
          </w:tcPr>
          <w:p>
            <w:r>
              <w:rPr>
                <w:b/>
                <w:sz w:val="20"/>
              </w:rPr>
              <w:t xml:space="preserve">Illustrative read (invented numbers, tet(Q) gene of 1,923 letters)</w:t>
            </w:r>
          </w:p>
        </w:tc>
        <w:tc>
          <w:tcPr>
            <w:tcW w:type="dxa" w:w="1900"/>
            <w:shd w:val="clear" w:fill="D9E4F2"/>
          </w:tcPr>
          <w:p>
            <w:r>
              <w:rPr>
                <w:b/>
                <w:sz w:val="20"/>
              </w:rPr>
              <w:t xml:space="preserve">Identity over the aligned part</w:t>
            </w:r>
          </w:p>
        </w:tc>
        <w:tc>
          <w:tcPr>
            <w:tcW w:type="dxa" w:w="1500"/>
            <w:shd w:val="clear" w:fill="D9E4F2"/>
          </w:tcPr>
          <w:p>
            <w:r>
              <w:rPr>
                <w:b/>
                <w:sz w:val="20"/>
              </w:rPr>
              <w:t xml:space="preserve">Gene covered</w:t>
            </w:r>
          </w:p>
        </w:tc>
        <w:tc>
          <w:tcPr>
            <w:tcW w:type="dxa" w:w="2446"/>
            <w:shd w:val="clear" w:fill="D9E4F2"/>
          </w:tcPr>
          <w:p>
            <w:r>
              <w:rPr>
                <w:b/>
                <w:sz w:val="20"/>
              </w:rPr>
              <w:t xml:space="preserve">Supports?</w:t>
            </w:r>
          </w:p>
        </w:tc>
      </w:tr>
      <w:tr>
        <w:trPr>
          <w:cantSplit/>
        </w:trPr>
        <w:tc>
          <w:tcPr>
            <w:tcW w:type="dxa" w:w="3900"/>
          </w:tcPr>
          <w:p>
            <w:r>
              <w:rPr>
                <w:sz w:val="20"/>
              </w:rPr>
              <w:t xml:space="preserve">A: aligned over 1,900 letters</w:t>
            </w:r>
          </w:p>
        </w:tc>
        <w:tc>
          <w:tcPr>
            <w:tcW w:type="dxa" w:w="1900"/>
          </w:tcPr>
          <w:p>
            <w:r>
              <w:rPr>
                <w:sz w:val="20"/>
              </w:rPr>
              <w:t xml:space="preserve">97%</w:t>
            </w:r>
          </w:p>
        </w:tc>
        <w:tc>
          <w:tcPr>
            <w:tcW w:type="dxa" w:w="1500"/>
          </w:tcPr>
          <w:p>
            <w:r>
              <w:rPr>
                <w:sz w:val="20"/>
              </w:rPr>
              <w:t xml:space="preserve">99%</w:t>
            </w:r>
          </w:p>
        </w:tc>
        <w:tc>
          <w:tcPr>
            <w:tcW w:type="dxa" w:w="2446"/>
          </w:tcPr>
          <w:p>
            <w:r>
              <w:rPr>
                <w:sz w:val="20"/>
              </w:rPr>
              <w:t xml:space="preserve">Yes: both tests pass</w:t>
            </w:r>
          </w:p>
        </w:tc>
      </w:tr>
      <w:tr>
        <w:trPr>
          <w:cantSplit/>
        </w:trPr>
        <w:tc>
          <w:tcPr>
            <w:tcW w:type="dxa" w:w="3900"/>
          </w:tcPr>
          <w:p>
            <w:r>
              <w:rPr>
                <w:sz w:val="20"/>
              </w:rPr>
              <w:t xml:space="preserve">B: aligned over only 600 letters</w:t>
            </w:r>
          </w:p>
        </w:tc>
        <w:tc>
          <w:tcPr>
            <w:tcW w:type="dxa" w:w="1900"/>
          </w:tcPr>
          <w:p>
            <w:r>
              <w:rPr>
                <w:sz w:val="20"/>
              </w:rPr>
              <w:t xml:space="preserve">99%</w:t>
            </w:r>
          </w:p>
        </w:tc>
        <w:tc>
          <w:tcPr>
            <w:tcW w:type="dxa" w:w="1500"/>
          </w:tcPr>
          <w:p>
            <w:r>
              <w:rPr>
                <w:sz w:val="20"/>
              </w:rPr>
              <w:t xml:space="preserve">31%</w:t>
            </w:r>
          </w:p>
        </w:tc>
        <w:tc>
          <w:tcPr>
            <w:tcW w:type="dxa" w:w="2446"/>
          </w:tcPr>
          <w:p>
            <w:r>
              <w:rPr>
                <w:sz w:val="20"/>
              </w:rPr>
              <w:t xml:space="preserve">No: very similar, but only a fragment of the gene</w:t>
            </w:r>
          </w:p>
        </w:tc>
      </w:tr>
      <w:tr>
        <w:trPr>
          <w:cantSplit/>
        </w:trPr>
        <w:tc>
          <w:tcPr>
            <w:tcW w:type="dxa" w:w="3900"/>
          </w:tcPr>
          <w:p>
            <w:r>
              <w:rPr>
                <w:sz w:val="20"/>
              </w:rPr>
              <w:t xml:space="preserve">C: aligned over 1,850 letters</w:t>
            </w:r>
          </w:p>
        </w:tc>
        <w:tc>
          <w:tcPr>
            <w:tcW w:type="dxa" w:w="1900"/>
          </w:tcPr>
          <w:p>
            <w:r>
              <w:rPr>
                <w:sz w:val="20"/>
              </w:rPr>
              <w:t xml:space="preserve">72%</w:t>
            </w:r>
          </w:p>
        </w:tc>
        <w:tc>
          <w:tcPr>
            <w:tcW w:type="dxa" w:w="1500"/>
          </w:tcPr>
          <w:p>
            <w:r>
              <w:rPr>
                <w:sz w:val="20"/>
              </w:rPr>
              <w:t xml:space="preserve">96%</w:t>
            </w:r>
          </w:p>
        </w:tc>
        <w:tc>
          <w:tcPr>
            <w:tcW w:type="dxa" w:w="2446"/>
          </w:tcPr>
          <w:p>
            <w:r>
              <w:rPr>
                <w:sz w:val="20"/>
              </w:rPr>
              <w:t xml:space="preserve">No: spans the gene but is too different (perhaps a relative)</w:t>
            </w:r>
          </w:p>
        </w:tc>
      </w:tr>
    </w:tbl>
    <w:p/>
    <w:p>
      <w:r>
        <w:rPr>
          <w:b/>
        </w:rPr>
        <w:t xml:space="preserve">What happened on the practice pool, and a mistake of ours.  </w:t>
      </w:r>
      <w:r>
        <w:t xml:space="preserve">Two of the three families were found. For cepA only 2 reads counted, while 27 more were ambiguous. We wrote a guess down before checking it: the database lists the same gene under four names (cepA, cepA-29, cepA-44 and cepA-49), so reads cannot choose between them. The check agreed: the four sequences are 98.8 to 99.7% identical, and 29 different reads matched the group. The miss came from our own rule for what counts as one family, not from the data. We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Before running it we froze everything and wrote five predictions (for example: all three families found; each within a factor of two of the practice count; nothing found outside the catalogue). All five were met with the first counting rule.</w:t>
      </w:r>
    </w:p>
    <w:p>
      <w:r>
        <w:rPr>
          <w:b/>
        </w:rPr>
        <w:t xml:space="preserve">A puzzle: too few reads.  </w:t>
      </w:r>
      <w:r>
        <w:t xml:space="preserve">Two of the families, tet(Q) and tet(W), had fewer supporting reads than the estimate E said they should (tet(Q): 15 reads against about 51 expected on the practice pool). Rather than explain it away, we wrote down three possible causes and tested each in a small exploratory check, with the question written before the run. First, were the genes covered by reads at all? Yes: the number of reads lying over each gene was close to E (for tet(Q), 52 against 51). Second, was the database gene very different from the genome’s gene? No: they were within 2 to 3%. Third, were the reads at those genes simply poor? No. So reads were there and the genes matched, yet one carrier’s reads were being thrown out by the identity rule: for Bacteroides fragilis tet(Q), 33 of 34 reads fell just under the 80% line.</w:t>
      </w:r>
    </w:p>
    <w:p>
      <w:r>
        <w:rPr>
          <w:b/>
        </w:rPr>
        <w:t xml:space="preserve">The cause was how we measured identity.  </w:t>
      </w:r>
      <w:r>
        <w:t xml:space="preserve">The mapper’s fast output reports an estimate of identity based on a few shared short words, not a letter-by-letter comparison. When we aligned the same reads letter by letter, their identity to the database gene was about 97%, not 78%. That is the finding: the estimate was unsuitable for applying our 80% line, and for one gene it happened to be low. Be careful about what 97% means. It is the agreement between reads and a reference sequence, which mixes sequencing errors with real differences between the sample’s gene and the reference allele; it is not a direct measurement of the sequencer’s accuracy. Against the supplier genome’s own copy of the gene the agreement was higher (about 98 to 99%), which is in line with the read-quality figures we measured earlier, but that too is a proxy. The “about 91%” we had used to choose the 80% line was the same kind of rough estimate.</w:t>
      </w:r>
    </w:p>
    <w:p>
      <w:r>
        <w:rPr>
          <w:b/>
        </w:rPr>
        <w:t xml:space="preserve">The correction (Addendum A7).  </w:t>
      </w:r>
      <w:r>
        <w:t xml:space="preserve">We wrote a new addendum before running anything: the same rules, but identity from a letter-by-letter alignment, with predictions fixed for both pools. Everything else stayed frozen, including the 80% line, even though it is now generous. All six practice predictions and all five exam predictions were met, and nothing new appeared outside the catalogue. The corrected counts are the ones we report; the first counts are kept next to them, because they are what we registered at the time.</w:t>
      </w:r>
    </w:p>
    <w:tbl>
      <w:tblPr>
        <w:tblStyle w:val="TableGrid"/>
        <w:tblW w:type="auto" w:w="0"/>
        <w:tblLayout w:type="fixed"/>
        <w:tblLook w:firstColumn="1" w:firstRow="1" w:lastColumn="0" w:lastRow="0" w:noHBand="0" w:noVBand="1" w:val="04A0"/>
      </w:tblPr>
      <w:tblGrid>
        <w:gridCol w:w="1300"/>
        <w:gridCol w:w="1800"/>
        <w:gridCol w:w="1900"/>
        <w:gridCol w:w="1500"/>
        <w:gridCol w:w="1500"/>
        <w:gridCol w:w="1746"/>
      </w:tblGrid>
      <w:tr>
        <w:trPr>
          <w:cantSplit/>
        </w:trPr>
        <w:tc>
          <w:tcPr>
            <w:tcW w:type="dxa" w:w="1300"/>
            <w:shd w:val="clear" w:fill="D9E4F2"/>
          </w:tcPr>
          <w:p>
            <w:r>
              <w:rPr>
                <w:b/>
                <w:sz w:val="20"/>
              </w:rPr>
              <w:t xml:space="preserve">Gene family</w:t>
            </w:r>
          </w:p>
        </w:tc>
        <w:tc>
          <w:tcPr>
            <w:tcW w:type="dxa" w:w="1800"/>
            <w:shd w:val="clear" w:fill="D9E4F2"/>
          </w:tcPr>
          <w:p>
            <w:r>
              <w:rPr>
                <w:b/>
                <w:sz w:val="20"/>
              </w:rPr>
              <w:t xml:space="preserve">Expected reads (E)</w:t>
            </w:r>
          </w:p>
        </w:tc>
        <w:tc>
          <w:tcPr>
            <w:tcW w:type="dxa" w:w="1900"/>
            <w:shd w:val="clear" w:fill="D9E4F2"/>
          </w:tcPr>
          <w:p>
            <w:r>
              <w:rPr>
                <w:b/>
                <w:sz w:val="20"/>
              </w:rPr>
              <w:t xml:space="preserve">Practice: first rule</w:t>
            </w:r>
          </w:p>
        </w:tc>
        <w:tc>
          <w:tcPr>
            <w:tcW w:type="dxa" w:w="1500"/>
            <w:shd w:val="clear" w:fill="D9E4F2"/>
          </w:tcPr>
          <w:p>
            <w:r>
              <w:rPr>
                <w:b/>
                <w:sz w:val="20"/>
              </w:rPr>
              <w:t xml:space="preserve">Practice: corrected</w:t>
            </w:r>
          </w:p>
        </w:tc>
        <w:tc>
          <w:tcPr>
            <w:tcW w:type="dxa" w:w="1500"/>
            <w:shd w:val="clear" w:fill="D9E4F2"/>
          </w:tcPr>
          <w:p>
            <w:r>
              <w:rPr>
                <w:b/>
                <w:sz w:val="20"/>
              </w:rPr>
              <w:t xml:space="preserve">Exam: first rule</w:t>
            </w:r>
          </w:p>
        </w:tc>
        <w:tc>
          <w:tcPr>
            <w:tcW w:type="dxa" w:w="1746"/>
            <w:shd w:val="clear" w:fill="D9E4F2"/>
          </w:tcPr>
          <w:p>
            <w:r>
              <w:rPr>
                <w:b/>
                <w:sz w:val="20"/>
              </w:rPr>
              <w:t xml:space="preserve">Exam: corrected</w:t>
            </w:r>
          </w:p>
        </w:tc>
      </w:tr>
      <w:tr>
        <w:trPr>
          <w:cantSplit/>
        </w:trPr>
        <w:tc>
          <w:tcPr>
            <w:tcW w:type="dxa" w:w="1300"/>
          </w:tcPr>
          <w:p>
            <w:r>
              <w:rPr>
                <w:sz w:val="20"/>
              </w:rPr>
              <w:t xml:space="preserve">cepA</w:t>
            </w:r>
          </w:p>
        </w:tc>
        <w:tc>
          <w:tcPr>
            <w:tcW w:type="dxa" w:w="1800"/>
          </w:tcPr>
          <w:p>
            <w:r>
              <w:rPr>
                <w:sz w:val="20"/>
              </w:rPr>
              <w:t xml:space="preserve">about 32</w:t>
            </w:r>
          </w:p>
        </w:tc>
        <w:tc>
          <w:tcPr>
            <w:tcW w:type="dxa" w:w="1900"/>
          </w:tcPr>
          <w:p>
            <w:r>
              <w:rPr>
                <w:sz w:val="20"/>
              </w:rPr>
              <w:t xml:space="preserve">29 (after merging the four names)</w:t>
            </w:r>
          </w:p>
        </w:tc>
        <w:tc>
          <w:tcPr>
            <w:tcW w:type="dxa" w:w="1500"/>
          </w:tcPr>
          <w:p>
            <w:r>
              <w:rPr>
                <w:sz w:val="20"/>
              </w:rPr>
              <w:t xml:space="preserve">36</w:t>
            </w:r>
          </w:p>
        </w:tc>
        <w:tc>
          <w:tcPr>
            <w:tcW w:type="dxa" w:w="1500"/>
          </w:tcPr>
          <w:p>
            <w:r>
              <w:rPr>
                <w:sz w:val="20"/>
              </w:rPr>
              <w:t xml:space="preserve">17</w:t>
            </w:r>
          </w:p>
        </w:tc>
        <w:tc>
          <w:tcPr>
            <w:tcW w:type="dxa" w:w="1746"/>
          </w:tcPr>
          <w:p>
            <w:r>
              <w:rPr>
                <w:sz w:val="20"/>
              </w:rPr>
              <w:t xml:space="preserve">22</w:t>
            </w:r>
          </w:p>
        </w:tc>
      </w:tr>
      <w:tr>
        <w:trPr>
          <w:cantSplit/>
        </w:trPr>
        <w:tc>
          <w:tcPr>
            <w:tcW w:type="dxa" w:w="1300"/>
          </w:tcPr>
          <w:p>
            <w:r>
              <w:rPr>
                <w:sz w:val="20"/>
              </w:rPr>
              <w:t xml:space="preserve">tet(Q)</w:t>
            </w:r>
          </w:p>
        </w:tc>
        <w:tc>
          <w:tcPr>
            <w:tcW w:type="dxa" w:w="1800"/>
          </w:tcPr>
          <w:p>
            <w:r>
              <w:rPr>
                <w:sz w:val="20"/>
              </w:rPr>
              <w:t xml:space="preserve">about 29 + 22</w:t>
            </w:r>
          </w:p>
        </w:tc>
        <w:tc>
          <w:tcPr>
            <w:tcW w:type="dxa" w:w="1900"/>
          </w:tcPr>
          <w:p>
            <w:r>
              <w:rPr>
                <w:sz w:val="20"/>
              </w:rPr>
              <w:t xml:space="preserve">15</w:t>
            </w:r>
          </w:p>
        </w:tc>
        <w:tc>
          <w:tcPr>
            <w:tcW w:type="dxa" w:w="1500"/>
          </w:tcPr>
          <w:p>
            <w:r>
              <w:rPr>
                <w:sz w:val="20"/>
              </w:rPr>
              <w:t xml:space="preserve">47</w:t>
            </w:r>
          </w:p>
        </w:tc>
        <w:tc>
          <w:tcPr>
            <w:tcW w:type="dxa" w:w="1500"/>
          </w:tcPr>
          <w:p>
            <w:r>
              <w:rPr>
                <w:sz w:val="20"/>
              </w:rPr>
              <w:t xml:space="preserve">22</w:t>
            </w:r>
          </w:p>
        </w:tc>
        <w:tc>
          <w:tcPr>
            <w:tcW w:type="dxa" w:w="1746"/>
          </w:tcPr>
          <w:p>
            <w:r>
              <w:rPr>
                <w:sz w:val="20"/>
              </w:rPr>
              <w:t xml:space="preserve">51</w:t>
            </w:r>
          </w:p>
        </w:tc>
      </w:tr>
      <w:tr>
        <w:trPr>
          <w:cantSplit/>
        </w:trPr>
        <w:tc>
          <w:tcPr>
            <w:tcW w:type="dxa" w:w="1300"/>
          </w:tcPr>
          <w:p>
            <w:r>
              <w:rPr>
                <w:sz w:val="20"/>
              </w:rPr>
              <w:t xml:space="preserve">tet(W)</w:t>
            </w:r>
          </w:p>
        </w:tc>
        <w:tc>
          <w:tcPr>
            <w:tcW w:type="dxa" w:w="1800"/>
          </w:tcPr>
          <w:p>
            <w:r>
              <w:rPr>
                <w:sz w:val="20"/>
              </w:rPr>
              <w:t xml:space="preserve">about 22</w:t>
            </w:r>
          </w:p>
        </w:tc>
        <w:tc>
          <w:tcPr>
            <w:tcW w:type="dxa" w:w="1900"/>
          </w:tcPr>
          <w:p>
            <w:r>
              <w:rPr>
                <w:sz w:val="20"/>
              </w:rPr>
              <w:t xml:space="preserve">14</w:t>
            </w:r>
          </w:p>
        </w:tc>
        <w:tc>
          <w:tcPr>
            <w:tcW w:type="dxa" w:w="1500"/>
          </w:tcPr>
          <w:p>
            <w:r>
              <w:rPr>
                <w:sz w:val="20"/>
              </w:rPr>
              <w:t xml:space="preserve">18</w:t>
            </w:r>
          </w:p>
        </w:tc>
        <w:tc>
          <w:tcPr>
            <w:tcW w:type="dxa" w:w="1500"/>
          </w:tcPr>
          <w:p>
            <w:r>
              <w:rPr>
                <w:sz w:val="20"/>
              </w:rPr>
              <w:t xml:space="preserve">14</w:t>
            </w:r>
          </w:p>
        </w:tc>
        <w:tc>
          <w:tcPr>
            <w:tcW w:type="dxa" w:w="1746"/>
          </w:tcPr>
          <w:p>
            <w:r>
              <w:rPr>
                <w:sz w:val="20"/>
              </w:rPr>
              <w:t xml:space="preserve">16</w:t>
            </w:r>
          </w:p>
        </w:tc>
      </w:tr>
      <w:tr>
        <w:trPr>
          <w:cantSplit/>
        </w:trPr>
        <w:tc>
          <w:tcPr>
            <w:tcW w:type="dxa" w:w="1300"/>
          </w:tcPr>
          <w:p>
            <w:r>
              <w:rPr>
                <w:sz w:val="20"/>
              </w:rPr>
              <w:t xml:space="preserve">erm(B)</w:t>
            </w:r>
          </w:p>
        </w:tc>
        <w:tc>
          <w:tcPr>
            <w:tcW w:type="dxa" w:w="1800"/>
          </w:tcPr>
          <w:p>
            <w:r>
              <w:rPr>
                <w:sz w:val="20"/>
              </w:rPr>
              <w:t xml:space="preserve">about 4 (too few to score)</w:t>
            </w:r>
          </w:p>
        </w:tc>
        <w:tc>
          <w:tcPr>
            <w:tcW w:type="dxa" w:w="1900"/>
          </w:tcPr>
          <w:p>
            <w:r>
              <w:rPr>
                <w:sz w:val="20"/>
              </w:rPr>
              <w:t xml:space="preserve">1</w:t>
            </w:r>
          </w:p>
        </w:tc>
        <w:tc>
          <w:tcPr>
            <w:tcW w:type="dxa" w:w="1500"/>
          </w:tcPr>
          <w:p>
            <w:r>
              <w:rPr>
                <w:sz w:val="20"/>
              </w:rPr>
              <w:t xml:space="preserve">2</w:t>
            </w:r>
          </w:p>
        </w:tc>
        <w:tc>
          <w:tcPr>
            <w:tcW w:type="dxa" w:w="1500"/>
          </w:tcPr>
          <w:p>
            <w:r>
              <w:rPr>
                <w:sz w:val="20"/>
              </w:rPr>
              <w:t xml:space="preserve">2</w:t>
            </w:r>
          </w:p>
        </w:tc>
        <w:tc>
          <w:tcPr>
            <w:tcW w:type="dxa" w:w="1746"/>
          </w:tcPr>
          <w:p>
            <w:r>
              <w:rPr>
                <w:sz w:val="20"/>
              </w:rPr>
              <w:t xml:space="preserve">2</w:t>
            </w:r>
          </w:p>
        </w:tc>
      </w:tr>
    </w:tbl>
    <w:p>
      <w:r>
        <w:t xml:space="preserve"/>
      </w:r>
    </w:p>
    <w:p>
      <w:r>
        <w:rPr>
          <w:b/>
        </w:rPr>
        <w:t xml:space="preserve">Naming the organism (Addendum A8).  </w:t>
      </w:r>
      <w:r>
        <w:t xml:space="preserve">Finding a gene family is one thing; saying which organism carries it is another. For each read that supported a gene family we took the species that the main classifier (Kraken2) had already given to the same read, and compared it with the true organism. The true organism is known only because this is a mock: we mapped just those reads to the supplier’s genomes. Before running anything we wrote down what we expected and committed it (Addendum A8), then ran the practice pool, then the exam pool once. A gene counted as “named” if at least three of its reads carried the right species.</w:t>
      </w:r>
    </w:p>
    <w:tbl>
      <w:tblPr>
        <w:tblStyle w:val="TableGrid"/>
        <w:tblW w:type="auto" w:w="0"/>
        <w:tblLayout w:type="fixed"/>
        <w:tblLook w:firstColumn="1" w:firstRow="1" w:lastColumn="0" w:lastRow="0" w:noHBand="0" w:noVBand="1" w:val="04A0"/>
      </w:tblPr>
      <w:tblGrid>
        <w:gridCol w:w="3900"/>
        <w:gridCol w:w="2900"/>
        <w:gridCol w:w="2946"/>
      </w:tblGrid>
      <w:tr>
        <w:trPr>
          <w:cantSplit/>
        </w:trPr>
        <w:tc>
          <w:tcPr>
            <w:tcW w:type="dxa" w:w="3900"/>
            <w:shd w:val="clear" w:fill="D9E4F2"/>
          </w:tcPr>
          <w:p>
            <w:r>
              <w:rPr>
                <w:b/>
                <w:sz w:val="20"/>
              </w:rPr>
              <w:t xml:space="preserve">Gene and true carrier</w:t>
            </w:r>
          </w:p>
        </w:tc>
        <w:tc>
          <w:tcPr>
            <w:tcW w:type="dxa" w:w="2900"/>
            <w:shd w:val="clear" w:fill="D9E4F2"/>
          </w:tcPr>
          <w:p>
            <w:r>
              <w:rPr>
                <w:b/>
                <w:sz w:val="20"/>
              </w:rPr>
              <w:t xml:space="preserve">Practice pool: reads with the right species</w:t>
            </w:r>
          </w:p>
        </w:tc>
        <w:tc>
          <w:tcPr>
            <w:tcW w:type="dxa" w:w="2946"/>
            <w:shd w:val="clear" w:fill="D9E4F2"/>
          </w:tcPr>
          <w:p>
            <w:r>
              <w:rPr>
                <w:b/>
                <w:sz w:val="20"/>
              </w:rPr>
              <w:t xml:space="preserve">Exam pool: reads with the right species</w:t>
            </w:r>
          </w:p>
        </w:tc>
      </w:tr>
      <w:tr>
        <w:trPr>
          <w:cantSplit/>
        </w:trPr>
        <w:tc>
          <w:tcPr>
            <w:tcW w:type="dxa" w:w="3900"/>
          </w:tcPr>
          <w:p>
            <w:r>
              <w:rPr>
                <w:sz w:val="20"/>
              </w:rPr>
              <w:t xml:space="preserve">cepA, Bacteroides fragilis</w:t>
            </w:r>
          </w:p>
        </w:tc>
        <w:tc>
          <w:tcPr>
            <w:tcW w:type="dxa" w:w="2900"/>
          </w:tcPr>
          <w:p>
            <w:r>
              <w:rPr>
                <w:sz w:val="20"/>
              </w:rPr>
              <w:t xml:space="preserve">34 of 34</w:t>
            </w:r>
          </w:p>
        </w:tc>
        <w:tc>
          <w:tcPr>
            <w:tcW w:type="dxa" w:w="2946"/>
          </w:tcPr>
          <w:p>
            <w:r>
              <w:rPr>
                <w:sz w:val="20"/>
              </w:rPr>
              <w:t xml:space="preserve">22 of 22</w:t>
            </w:r>
          </w:p>
        </w:tc>
      </w:tr>
      <w:tr>
        <w:trPr>
          <w:cantSplit/>
        </w:trPr>
        <w:tc>
          <w:tcPr>
            <w:tcW w:type="dxa" w:w="3900"/>
          </w:tcPr>
          <w:p>
            <w:r>
              <w:rPr>
                <w:sz w:val="20"/>
              </w:rPr>
              <w:t xml:space="preserve">tet(W), Faecalibacterium prausnitzii</w:t>
            </w:r>
          </w:p>
        </w:tc>
        <w:tc>
          <w:tcPr>
            <w:tcW w:type="dxa" w:w="2900"/>
          </w:tcPr>
          <w:p>
            <w:r>
              <w:rPr>
                <w:sz w:val="20"/>
              </w:rPr>
              <w:t xml:space="preserve">16 of 18</w:t>
            </w:r>
          </w:p>
        </w:tc>
        <w:tc>
          <w:tcPr>
            <w:tcW w:type="dxa" w:w="2946"/>
          </w:tcPr>
          <w:p>
            <w:r>
              <w:rPr>
                <w:sz w:val="20"/>
              </w:rPr>
              <w:t xml:space="preserve">16 of 16</w:t>
            </w:r>
          </w:p>
        </w:tc>
      </w:tr>
      <w:tr>
        <w:trPr>
          <w:cantSplit/>
        </w:trPr>
        <w:tc>
          <w:tcPr>
            <w:tcW w:type="dxa" w:w="3900"/>
          </w:tcPr>
          <w:p>
            <w:r>
              <w:rPr>
                <w:sz w:val="20"/>
              </w:rPr>
              <w:t xml:space="preserve">tet(Q), Bacteroides fragilis</w:t>
            </w:r>
          </w:p>
        </w:tc>
        <w:tc>
          <w:tcPr>
            <w:tcW w:type="dxa" w:w="2900"/>
          </w:tcPr>
          <w:p>
            <w:r>
              <w:rPr>
                <w:sz w:val="20"/>
              </w:rPr>
              <w:t xml:space="preserve">12 of 30</w:t>
            </w:r>
          </w:p>
        </w:tc>
        <w:tc>
          <w:tcPr>
            <w:tcW w:type="dxa" w:w="2946"/>
          </w:tcPr>
          <w:p>
            <w:r>
              <w:rPr>
                <w:sz w:val="20"/>
              </w:rPr>
              <w:t xml:space="preserve">7 of 25</w:t>
            </w:r>
          </w:p>
        </w:tc>
      </w:tr>
      <w:tr>
        <w:trPr>
          <w:cantSplit/>
        </w:trPr>
        <w:tc>
          <w:tcPr>
            <w:tcW w:type="dxa" w:w="3900"/>
          </w:tcPr>
          <w:p>
            <w:r>
              <w:rPr>
                <w:sz w:val="20"/>
              </w:rPr>
              <w:t xml:space="preserve">tet(Q), Prevotella corporis</w:t>
            </w:r>
          </w:p>
        </w:tc>
        <w:tc>
          <w:tcPr>
            <w:tcW w:type="dxa" w:w="2900"/>
          </w:tcPr>
          <w:p>
            <w:r>
              <w:rPr>
                <w:sz w:val="20"/>
              </w:rPr>
              <w:t xml:space="preserve">5 of 16</w:t>
            </w:r>
          </w:p>
        </w:tc>
        <w:tc>
          <w:tcPr>
            <w:tcW w:type="dxa" w:w="2946"/>
          </w:tcPr>
          <w:p>
            <w:r>
              <w:rPr>
                <w:sz w:val="20"/>
              </w:rPr>
              <w:t xml:space="preserve">5 of 22</w:t>
            </w:r>
          </w:p>
        </w:tc>
      </w:tr>
    </w:tbl>
    <w:p/>
    <w:p>
      <w:r>
        <w:rPr>
          <w:b/>
        </w:rPr>
        <w:t xml:space="preserve">What came out.  </w:t>
      </w:r>
      <w:r>
        <w:t xml:space="preserve">All four gene-and-species pairs were named on both pools, but the number that matters is how many individual reads were right. For cepA and tet(W) nearly every read was right. For tet(Q) most were not: the classifier often stopped at a group (the genus Bacteroides, a family or the order Bacteroidales) instead of the species, and for P. corporis some reads went to other related species (never to the other tet(Q) carrier, and never to a species outside the catalogue three or more times). Overall 68% of reads on the practice pool and 59% on the exam pool had the right species, against our stated expectations of 90% and 85%, so those predictions failed and we say so. The other predictions (all four pairs named, no swaps between the two tet(Q) carriers, no invented carriers) held.</w:t>
      </w:r>
    </w:p>
    <w:p>
      <w:r>
        <w:rPr>
          <w:b/>
        </w:rPr>
        <w:t xml:space="preserve">Why tet(Q) loses its species (exploratory, practice pool only).  </w:t>
      </w:r>
      <w:r>
        <w:t xml:space="preserve">We then asked what distinguished the tet(Q) reads that kept their species. Reads that stopped above species were shorter (median 8,164 letters against 13,926) and a larger share of each was gene (0.24 against 0.14). The simplest reading is that a read made mostly of a gene that sits in sequence shared by related species has little species-specific sequence left for the classifier. But it is not the whole story: among reads with a small gene share, tet(Q) reads still reached species less often (45%) than cepA reads (100%), so the sequence around tet(Q) carries less species signal than the sequence around cepA. Read length and gene share go together, so we cannot separate them with these data. This is a pointer, from 40 reads on one pool, not a result.</w:t>
      </w:r>
    </w:p>
    <w:p>
      <w:r>
        <w:rPr>
          <w:b/>
        </w:rPr>
        <w:t xml:space="preserve">What this adds, and its limits.  </w:t>
      </w:r>
      <w:r>
        <w:t xml:space="preserve">In a mock community with known genomes, the species of the read can name the carrier of some genes (cepA, tet(W)) and not reliably of others (tet(Q)). A real sample has no supplier genomes to give the answer, and a mock of 21 genomes is easier than a real sample. One tet(Q) read on the exam pool truly came from Veillonella rogosae, which is not a catalogue carrier; we did not investigate whether the catalogue missed a copy or the match was spurious. Three families make this a worked example, not an accuracy figure.</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first counts for tet(Q) and tet(W) were well below what we expected, and the corrected counts are much closer (the paragraphs above say why). The corrected run on the exam pool was planned around results we had already seen on the practice pool, so it shows that the corrected procedure behaves consistently within the same sequencing run. It is not an independent test, and three gene families are not a representative accuracy test. Most importantly, finding sequence that matches a resistance gene does not tell you which organism carries it (the organism test above works only because the mock’s genomes are known),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 xml:space="preserve">Can you say, for any resistance result, what the truth was, whether the gene could be seen at all (E), and what level it is (family, variant, or carrier organism)? And what did our own naming rule do to the cepA result?</w:t>
            </w:r>
          </w:p>
        </w:tc>
      </w:tr>
    </w:tbl>
    <w:p>
      <w:r>
        <w:t xml:space="preserve"/>
      </w:r>
    </w:p>
    <w:p>
      <w:pPr>
        <w:pStyle w:val="Heading2"/>
      </w:pPr>
      <w:r>
        <w:t>5.7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in the reads differs from the label. </w:t>
      </w:r>
      <w:r>
        <w:t>Species counts depart from the manufacturer’s theoretical composition, and the read-by-read comparison (5.4) shows that most of that is already present in the reads themselves, before classification, so it is not mainly a software effect. Whether it reflects the true composition of the tube, the DNA extraction or the library preparation cannot be separated with one sample.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worked example, not a representative accuracy test), a naming rule and an identity measure that we had to correct after seeing the practice results, and the same one-run pools.</w:t>
      </w:r>
    </w:p>
    <w:p>
      <w:pPr>
        <w:pStyle w:val="ListBullet"/>
      </w:pPr>
      <w:r>
        <w:rPr>
          <w:b/>
        </w:rPr>
        <w:t>A quick estimate is not a measurement. In the resistance pilot a number from a mapper’s fast output looked like a measurement and set a threshold. Three small exploratory checks, each with its question written first, found the cause; a registered addendum corrected it without erasing the earlier result. The habit to keep: check what a number really is before building a rule on it.</w:t>
      </w:r>
    </w:p>
    <w:p>
      <w:pPr>
        <w:pStyle w:val="ListBullet"/>
      </w:pPr>
      <w:r>
        <w:rPr>
          <w:b/>
        </w:rPr>
        <w:t xml:space="preserve">Finding a gene is easier than naming its carrier.  </w:t>
      </w:r>
      <w:r>
        <w:t xml:space="preserve">In the mock the species of the read named the carrier for cepA and tet(W) but often stopped at a group of related species for tet(Q), a gene that sits in shared sequence. Report detection and attribution as separate levels, and expect attribution to depend on the gene.</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A7): a reference catalogue from the supplier genomes, one read-level search, a naming problem found and fixed in the open, the exam pool scored once with all five predictions met, then a measuring problem (read identity) found by three small checks and corrected in Addendum A7, again with every prediction met (19 October); Addendum A8, registered before the run and scored once on the exam pool (four of five predictions met), asking whether the carrier organism can be named from the same reads in the mock, and a small exploratory check of why tet(Q) reads lose their species (19 October); plan at revision 11; decisions D1–D25 recorded</w:t>
            </w:r>
          </w:p>
        </w:tc>
        <w:tc>
          <w:tcPr>
            <w:tcW w:type="dxa" w:w="4706"/>
          </w:tcPr>
          <w:p>
            <w:r>
              <w:rPr>
                <w:sz w:val="20"/>
              </w:rPr>
              <w:t>A reply from the study authors and from the manufacturer about the lot number and the basecalling model tier (the email to the study authors was sent on 19 October; no reply yet); the lot-specific composition certificate; resistance work beyond the pilot (assembly, naming the carrier species outside the mock (A8 tested it only there, where the genomes are known), point mutations, more genes in the database); Nextflow wrapping; a second library or run, which would need its own registered addendum; a base-share view of the 16 GB and full-index Kraken2 runs (decided against, because it would need a repeat cloud run)</w:t>
            </w:r>
          </w:p>
        </w:tc>
      </w:tr>
    </w:tbl>
    <w:p/>
    <w:p>
      <w:r>
        <w:rPr>
          <w:b w:val="0"/>
          <w:i w:val="0"/>
        </w:rPr>
        <w:t>Next, in order: wait for the study authors’ and the manufacturer’s replies about the lot number and the basecalling model tier, and compare any lot certificate with the composition seen in the reads; then decide whether a further test is worth it (a second library or run would need its own registered addendum; so would any resistance work beyond the pilot, including a registered follow-up of why tet(Q) reads lose their species);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