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14)</w:t>
      </w:r>
    </w:p>
    <w:p>
      <w:r>
        <w:rPr>
          <w:b w:val="0"/>
          <w:i/>
        </w:rPr>
        <w:t>Version 13 • 26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it is done, how the project does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they be trusted? Only possible if the project knows</w:t>
      </w:r>
      <w:r>
        <w:t xml:space="preserve">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the project runs it on data where the answer is known, measures how often it is right and wrong, and learns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Can the reads be trusted?</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5. Resistance genes (a separate branch)</w:t>
            </w:r>
          </w:p>
        </w:tc>
        <w:tc>
          <w:tcPr>
            <w:tcW w:type="dxa" w:w="5000"/>
          </w:tcPr>
          <w:p>
            <w:r>
              <w:rPr>
                <w:sz w:val="20"/>
              </w:rPr>
              <w:t>Compare reads with a database of known resistance genes and estimate how many reads should have covered each gene. This needs its own reference list and its own evidence rules.</w:t>
            </w:r>
          </w:p>
        </w:tc>
        <w:tc>
          <w:tcPr>
            <w:tcW w:type="dxa" w:w="2846"/>
          </w:tcPr>
          <w:p>
            <w:r>
              <w:rPr>
                <w:sz w:val="20"/>
              </w:rPr>
              <w:t>Which resistance-gene families do the reads support, could the project have seen them, and can the carrier organism be named?</w:t>
            </w:r>
          </w:p>
        </w:tc>
      </w:tr>
      <w:tr>
        <w:trPr>
          <w:cantSplit/>
        </w:trPr>
        <w:tc>
          <w:tcPr>
            <w:tcW w:type="dxa" w:w="1900"/>
          </w:tcPr>
          <w:p>
            <w:r>
              <w:rPr>
                <w:sz w:val="20"/>
              </w:rPr>
              <w:t>6.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7. Interpretation</w:t>
            </w:r>
          </w:p>
        </w:tc>
        <w:tc>
          <w:tcPr>
            <w:tcW w:type="dxa" w:w="5000"/>
          </w:tcPr>
          <w:p>
            <w:r>
              <w:rPr>
                <w:sz w:val="20"/>
              </w:rPr>
              <w:t xml:space="preserve">Decide what the result does and does not show.</w:t>
            </w:r>
          </w:p>
        </w:tc>
        <w:tc>
          <w:tcPr>
            <w:tcW w:type="dxa" w:w="2846"/>
          </w:tcPr>
          <w:p>
            <w:r>
              <w:rPr>
                <w:sz w:val="20"/>
              </w:rPr>
              <w:t>What can the project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the project always records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the project believes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the project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the project compares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the project re-draws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the project itself) can quietly change them afterwards.</w:t>
            </w:r>
          </w:p>
        </w:tc>
      </w:tr>
      <w:tr>
        <w:trPr>
          <w:cantSplit/>
        </w:trPr>
        <w:tc>
          <w:tcPr>
            <w:tcW w:type="dxa" w:w="2268"/>
          </w:tcPr>
          <w:p>
            <w:r/>
            <w:r>
              <w:rPr>
                <w:sz w:val="20"/>
              </w:rPr>
              <w:t>Control arm</w:t>
            </w:r>
          </w:p>
        </w:tc>
        <w:tc>
          <w:tcPr>
            <w:tcW w:type="dxa" w:w="7087"/>
          </w:tcPr>
          <w:p>
            <w:r/>
            <w:r>
              <w:rPr>
                <w:sz w:val="20"/>
              </w:rPr>
              <w:t>A repeat of a result the project already has,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The project looked for families, not exact variants.</w:t>
            </w:r>
          </w:p>
        </w:tc>
      </w:tr>
      <w:tr>
        <w:trPr>
          <w:cantSplit/>
        </w:trPr>
        <w:tc>
          <w:tcPr>
            <w:tcW w:type="dxa" w:w="2268"/>
          </w:tcPr>
          <w:p>
            <w:r>
              <w:rPr>
                <w:sz w:val="20"/>
              </w:rPr>
              <w:t>Reference catalogue</w:t>
            </w:r>
          </w:p>
        </w:tc>
        <w:tc>
          <w:tcPr>
            <w:tcW w:type="dxa" w:w="7087"/>
          </w:tcPr>
          <w:p>
            <w:r>
              <w:rPr>
                <w:sz w:val="20"/>
              </w:rPr>
              <w:t>The list of resistance genes the project expects,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r>
        <w:trPr>
          <w:cantSplit/>
        </w:trPr>
        <w:tc>
          <w:tcPr>
            <w:tcW w:type="dxa" w:w="2268"/>
          </w:tcPr>
          <w:p>
            <w:r>
              <w:rPr>
                <w:sz w:val="20"/>
              </w:rPr>
              <w:t>Base-level alignment</w:t>
            </w:r>
          </w:p>
        </w:tc>
        <w:tc>
          <w:tcPr>
            <w:tcW w:type="dxa" w:w="7087"/>
          </w:tcPr>
          <w:p>
            <w:r>
              <w:rPr>
                <w:sz w:val="20"/>
              </w:rPr>
              <w:t>A letter-by-letter comparison of a read with a reference that counts matches, mismatches and gaps. A quick mapping can skip it and only estimate identity from a few shared short words, and that estimate can be too low.</w:t>
            </w:r>
          </w:p>
        </w:tc>
      </w:tr>
      <w:tr>
        <w:trPr>
          <w:cantSplit/>
        </w:trPr>
        <w:tc>
          <w:tcPr>
            <w:tcW w:type="dxa" w:w="2268"/>
          </w:tcPr>
          <w:p>
            <w:r>
              <w:rPr>
                <w:sz w:val="20"/>
              </w:rPr>
              <w:t>Approximate identity estimate</w:t>
            </w:r>
          </w:p>
        </w:tc>
        <w:tc>
          <w:tcPr>
            <w:tcW w:type="dxa" w:w="7087"/>
          </w:tcPr>
          <w:p>
            <w:r>
              <w:rPr>
                <w:sz w:val="20"/>
              </w:rPr>
              <w:t>A rough identity figure from a fast mapper’s default output. Fine for deciding where a read belongs, but not safe to use as a measured accuracy or as a filter threshold without checking.</w:t>
            </w:r>
          </w:p>
        </w:tc>
      </w:tr>
      <w:tr>
        <w:trPr>
          <w:cantSplit/>
        </w:trPr>
        <w:tc>
          <w:tcPr>
            <w:tcW w:type="dxa" w:w="2268"/>
          </w:tcPr>
          <w:p>
            <w:r>
              <w:rPr>
                <w:sz w:val="20"/>
              </w:rPr>
              <w:t>Identity (of an alignment)</w:t>
            </w:r>
          </w:p>
        </w:tc>
        <w:tc>
          <w:tcPr>
            <w:tcW w:type="dxa" w:w="7087"/>
          </w:tcPr>
          <w:p>
            <w:r>
              <w:rPr>
                <w:sz w:val="20"/>
              </w:rPr>
              <w:t>Of the letters in the part of a read that lines up with a reference, the share that agree. It mixes sequencing errors with real differences from the reference, so it is not the same as the sequencer’s accuracy.</w:t>
            </w:r>
          </w:p>
        </w:tc>
      </w:tr>
      <w:tr>
        <w:trPr>
          <w:cantSplit/>
        </w:trPr>
        <w:tc>
          <w:tcPr>
            <w:tcW w:type="dxa" w:w="2268"/>
          </w:tcPr>
          <w:p>
            <w:r>
              <w:rPr>
                <w:sz w:val="20"/>
              </w:rPr>
              <w:t>Gene coverage (of a read)</w:t>
            </w:r>
          </w:p>
        </w:tc>
        <w:tc>
          <w:tcPr>
            <w:tcW w:type="dxa" w:w="7087"/>
          </w:tcPr>
          <w:p>
            <w:r>
              <w:rPr>
                <w:sz w:val="20"/>
              </w:rPr>
              <w:t>How much of the reference gene the aligned part of a read spans. A read can match very well over a small fragment and still say little about the whole gene.</w:t>
            </w:r>
          </w:p>
        </w:tc>
      </w:tr>
      <w:tr>
        <w:trPr>
          <w:cantSplit/>
        </w:trPr>
        <w:tc>
          <w:tcPr>
            <w:tcW w:type="dxa" w:w="2268"/>
          </w:tcPr>
          <w:p>
            <w:r>
              <w:rPr>
                <w:sz w:val="20"/>
              </w:rPr>
              <w:t>Attribution (of a read to an organism)</w:t>
            </w:r>
          </w:p>
        </w:tc>
        <w:tc>
          <w:tcPr>
            <w:tcW w:type="dxa" w:w="7087"/>
          </w:tcPr>
          <w:p>
            <w:r>
              <w:rPr>
                <w:sz w:val="20"/>
              </w:rPr>
              <w:t>Naming which organism a read, or the gene on it, comes from. A read can be attributed to a species, to a broader group (genus, family, order) or not at all; broader is safer but less informative.</w:t>
            </w:r>
          </w:p>
        </w:tc>
      </w:tr>
      <w:tr>
        <w:trPr>
          <w:cantSplit/>
        </w:trPr>
        <w:tc>
          <w:tcPr>
            <w:tcW w:type="dxa" w:w="2268"/>
          </w:tcPr>
          <w:p>
            <w:r>
              <w:rPr>
                <w:sz w:val="20"/>
              </w:rPr>
              <w:t>Window (k-mer)</w:t>
            </w:r>
          </w:p>
        </w:tc>
        <w:tc>
          <w:tcPr>
            <w:tcW w:type="dxa" w:w="7087"/>
          </w:tcPr>
          <w:p>
            <w:r>
              <w:rPr>
                <w:sz w:val="20"/>
              </w:rPr>
              <w:t>A short stretch of consecutive letters of a read (35 here) that the classifier looks up in its database. Most windows of a nanopore read contain at least one error and find nothing.</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it is done</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it is done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Its run record, chemistry and read quality have been checked (Steps 1 and 3). Its composition is the manufacturer’s theoretical one; the composition of the lot that was actually sequenced is not known (Step 4 and section 5.7).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it is done</w:t>
      </w:r>
    </w:p>
    <w:p>
      <w:r>
        <w:rPr>
          <w:b w:val="0"/>
          <w:i w:val="0"/>
        </w:rPr>
        <w:t>Summaries, including ones written by people or AI tools, contain errors. If a number matters, it should be read from the primary source. This is the “verify, don’t transcribe” rule.</w:t>
      </w:r>
    </w:p>
    <w:p>
      <w:r>
        <w:rPr>
          <w:b/>
          <w:i w:val="0"/>
        </w:rPr>
        <w:t>How it is done in this project</w:t>
      </w:r>
    </w:p>
    <w:p>
      <w:r>
        <w:rPr>
          <w:b w:val="0"/>
          <w:i w:val="0"/>
        </w:rPr>
        <w:t>The project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The project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it is done</w:t>
      </w:r>
    </w:p>
    <w:p>
      <w:r>
        <w:rPr>
          <w:b w:val="0"/>
          <w:i w:val="0"/>
        </w:rPr>
        <w:t>The full file is 120 GB. The project measured the connection from WSL at about 0.5 MB/s from every server tried, so the full download would take roughly three days. The ENA file is also a single compressed stream with rewritten read IDs, so you cannot jump into the middle of it. Waiting three days for something the project will mostly subsample anyway would be a poor trade.</w:t>
      </w:r>
    </w:p>
    <w:p>
      <w:r>
        <w:rPr>
          <w:b/>
          <w:i w:val="0"/>
        </w:rPr>
        <w:t>How it is done in this project</w:t>
      </w:r>
    </w:p>
    <w:p>
      <w:r>
        <w:rPr>
          <w:b w:val="0"/>
          <w:i w:val="0"/>
        </w:rPr>
        <w:t>NCBI’s SRA allows fetching reads by read number. The project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The project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the project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the project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The project also keeps reads from the same block together in the same pool. Neighbouring reads in a run can be related, and putting some in each pool would let information leak from one pool to the other. Because the SRA read IDs are serial numbers, the project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it is done</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it is done in this project</w:t>
      </w:r>
    </w:p>
    <w:p>
      <w:r>
        <w:rPr>
          <w:b w:val="0"/>
          <w:i w:val="0"/>
        </w:rPr>
        <w:t>Tools such as seqkit stats and NanoPlot, run in pinned Docker images, give read counts, lengths, N50 and quality. This was done on 15 October with the project's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it is done</w:t>
      </w:r>
    </w:p>
    <w:p>
      <w:r>
        <w:rPr>
          <w:b w:val="0"/>
          <w:i w:val="0"/>
        </w:rPr>
        <w:t>Precision and recall only mean something against a correct answer. And the “correct answer” has traps.</w:t>
      </w:r>
    </w:p>
    <w:p>
      <w:r>
        <w:rPr>
          <w:b/>
          <w:i w:val="0"/>
        </w:rPr>
        <w:t>How it is done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the lot number of the sample that was sequenced is unknown. A certificate was obtained on 20 October 2026 for lot 270128, which was assembled in December 2025, after the paper, so it is not the sequenced lot; the theoretical composition stays the reference.</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the project defines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the key was out of date. See section 4. This is why the project compares by taxonomy number and keeps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it is done</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it is done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The project starts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the project checked that all 17 mock species are in it. The project runs it inside Docker with a hard memory limit of 10 GB, to prove it fits in the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the 12 GB of RAM. The project needs a size-capped index, memory-mapped use, or mapping instead. The reduced sensitivity is a documented limitation.</w:t>
      </w:r>
    </w:p>
    <w:p>
      <w:pPr>
        <w:pStyle w:val="ListBullet"/>
      </w:pPr>
      <w:r>
        <w:t>AWS or a bigger machine: tempting, but a bigger database is a different experiment. (The project ran it later as its own registered experiment; see section 5.3.) It is planned for Phase 2, to measure what the size cap costs.</w:t>
      </w:r>
    </w:p>
    <w:p>
      <w:pPr>
        <w:pStyle w:val="ListBullet"/>
      </w:pPr>
      <w:r>
        <w:t>Missing kingdoms: standard Kraken2 indices do not contain fungi. The mock contains two fungi and an archaeon, so the database must include them, or those species are declared out of scope before the project runs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it is done</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it is done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it is done</w:t>
      </w:r>
    </w:p>
    <w:p>
      <w:r>
        <w:rPr>
          <w:b w:val="0"/>
          <w:i w:val="0"/>
        </w:rPr>
        <w:t>Without numbers, “it works well” is an opinion. With the wrong numbers, it is a misleading opinion.</w:t>
      </w:r>
    </w:p>
    <w:p>
      <w:r>
        <w:rPr>
          <w:b/>
          <w:i w:val="0"/>
        </w:rPr>
        <w:t>How it is done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it is done</w:t>
      </w:r>
    </w:p>
    <w:p>
      <w:r>
        <w:rPr>
          <w:b w:val="0"/>
          <w:i w:val="0"/>
        </w:rPr>
        <w:t>Real clinical runs often have far less data than a research run. Knowing at what depth rare organisms stop being found is more useful than a single result at maximum depth.</w:t>
      </w:r>
    </w:p>
    <w:p>
      <w:r>
        <w:rPr>
          <w:b/>
          <w:i w:val="0"/>
        </w:rPr>
        <w:t>How it is done in this project</w:t>
      </w:r>
    </w:p>
    <w:p>
      <w:r>
        <w:rPr>
          <w:b w:val="0"/>
          <w:i w:val="0"/>
        </w:rPr>
        <w:t>From each pool the project draws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it is done</w:t>
      </w:r>
    </w:p>
    <w:p>
      <w:r>
        <w:rPr>
          <w:b w:val="0"/>
          <w:i w:val="0"/>
        </w:rPr>
        <w:t>Resistance information is the clinically interesting output, but also the easiest to over-claim.</w:t>
      </w:r>
    </w:p>
    <w:p>
      <w:r>
        <w:rPr>
          <w:b/>
          <w:i w:val="0"/>
        </w:rPr>
        <w:t>How it is done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was done in practice, as a small pilot at the gene-family level with a test of organism attribution inside the mock community,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it is done</w:t>
      </w:r>
    </w:p>
    <w:p>
      <w:r>
        <w:rPr>
          <w:b w:val="0"/>
          <w:i w:val="0"/>
        </w:rPr>
        <w:t>A result that cannot be reproduced cannot be checked, and a portfolio project that cannot be rerun is much less convincing.</w:t>
      </w:r>
    </w:p>
    <w:p>
      <w:r>
        <w:rPr>
          <w:b/>
          <w:i w:val="0"/>
        </w:rPr>
        <w:t>How it is done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wraps the core path (Kraken2 classification, scoring, summary); the reasoning is recorded as Decision D1: the replicated design means 15 or more classification tasks, containers and resume are valuable, but at one developer and one machine, the first modules were plain scripts that were tested before being wrapped. The wrapper reproduces the plain-script result on the development pool exactly (19 October 2026), refuses the evaluation pool unless it is explicitly allowed, and uses image digests.</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it is done</w:t>
      </w:r>
    </w:p>
    <w:p>
      <w:r>
        <w:rPr>
          <w:b w:val="0"/>
          <w:i w:val="0"/>
        </w:rPr>
        <w:t>The value of this project to a reader, for example a diagnostics R&amp;D team, is whether they can trust and reuse it. Honest limits increase that trust.</w:t>
      </w:r>
    </w:p>
    <w:p>
      <w:r>
        <w:rPr>
          <w:b/>
          <w:i w:val="0"/>
        </w:rPr>
        <w:t>How it is done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The real numbers from the project are used.</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the project needs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the project finds all 14 and has one wrong species. At 1,000 reads the project has no wrong species but loses one real one. The question becomes: which mistake costs more? That depends on the purpose, so the project says in advance how the project judges it.</w:t>
      </w:r>
    </w:p>
    <w:p>
      <w:pPr>
        <w:pStyle w:val="Heading2"/>
      </w:pPr>
      <w:r>
        <w:t>4.3 Precision, recall and F1 in plain words</w:t>
      </w:r>
    </w:p>
    <w:p>
      <w:pPr>
        <w:pStyle w:val="ListBullet"/>
      </w:pPr>
      <w:r>
        <w:rPr>
          <w:b/>
        </w:rPr>
        <w:t>Precision</w:t>
      </w:r>
      <w:r>
        <w:t>: of the species reported, what fraction are really there? At 148 reads: 14 of 15, so 0.93.</w:t>
      </w:r>
    </w:p>
    <w:p>
      <w:pPr>
        <w:pStyle w:val="ListBullet"/>
      </w:pPr>
      <w:r>
        <w:rPr>
          <w:b/>
        </w:rPr>
        <w:t>Recall</w:t>
      </w:r>
      <w:r>
        <w:t>: of the species that are really there (and findable), what fraction was reported? At 148 reads: 14 of 14, so 1.0.</w:t>
      </w:r>
    </w:p>
    <w:p>
      <w:pPr>
        <w:pStyle w:val="ListBullet"/>
      </w:pPr>
      <w:r>
        <w:rPr>
          <w:b/>
        </w:rPr>
        <w:t>F1</w:t>
      </w:r>
      <w:r>
        <w:t>: one number that balances the two (it is low if either is low). At 148 reads: 0.966. A perfect result would be 1.0.</w:t>
      </w:r>
    </w:p>
    <w:p>
      <w:r>
        <w:rPr>
          <w:b w:val="0"/>
          <w:i w:val="0"/>
        </w:rPr>
        <w:t>The project uses F1 to compare thresholds because it punishes both mistakes, but the project always shows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The project plans to test smaller amounts of data (0.1, 0.25, 0.5 Gb), so a percentage is the right choice. On the 185,000-read pools, 0.08% equals 148 reads.</w:t>
      </w:r>
    </w:p>
    <w:p>
      <w:pPr>
        <w:pStyle w:val="Heading2"/>
      </w:pPr>
      <w:r>
        <w:t>4.5 Why “evaluable” species</w:t>
      </w:r>
    </w:p>
    <w:p>
      <w:r>
        <w:rPr>
          <w:b w:val="0"/>
          <w:i w:val="0"/>
        </w:rPr>
        <w:t>Three species in the mock are so rare that the project would hardly expect any reads: Salmonella (about 18 reads expected), Enterococcus faecalis (about 2), Clostridium perfringens (0.2). If the software fails to report them, that is not its fault; the sample simply holds too little of them in 1 Gb. The project therefore counts only the 14 species expected to give at least 20 reads. The cut-off of 20 was fixed before the project saw results (decision D14a). The three rare ones are still listed.</w:t>
      </w:r>
    </w:p>
    <w:p>
      <w:pPr>
        <w:pStyle w:val="Heading2"/>
      </w:pPr>
      <w:r>
        <w:t>4.6 Practice paper and exam paper: why two pools</w:t>
      </w:r>
    </w:p>
    <w:p>
      <w:r>
        <w:rPr>
          <w:b w:val="0"/>
          <w:i w:val="0"/>
        </w:rPr>
        <w:t>The project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the predictions down, commit them to Git and tag it (the tag is called freeze-d14, so the history proves it came first), and only then classify and score the evaluation pool, once.</w:t>
      </w:r>
    </w:p>
    <w:p>
      <w:pPr>
        <w:pStyle w:val="Heading2"/>
      </w:pPr>
      <w:r>
        <w:t>4.7 Why the project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the project used the bootstrap. The development pool is made of 37 blocks of 5,000 reads. The project repeats 1,000 times: draw 37 blocks at random (with repeats allowed), score the result, and record the F1. Each repeat is a slightly different, equally plausible version of the data. Averaging over them shows which threshold does well typically, not just once. It is like judging a footballer over a whole season instead of their best match. The threshold with the highest average F1 was 0.08% of reads (average F1 0.948). The 0.5% threshold was practically tied (0.947), and the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The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the answer key was out of date.</w:t>
      </w:r>
    </w:p>
    <w:p>
      <w:r>
        <w:rPr>
          <w:b w:val="0"/>
          <w:i w:val="0"/>
        </w:rPr>
        <w:t>The project did not just edit the key because it improved the score. The project checked independently: the project cut the manufacturer’s reference genome for that strain into 5,000-base pieces and classified them. 475 of 489 pieces (97%) came out as F. animalis. The project then added a written exception (an “alias” with the evidence) and the scoring script prints every alias it uses. The project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t>The project</w:t>
            </w:r>
            <w:r>
              <w:rPr>
                <w:b/>
                <w:sz w:val="20"/>
              </w:rPr>
              <w:t xml:space="preserv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bl>
    <w:p/>
    <w:p>
      <w:r>
        <w:rPr>
          <w:b w:val="0"/>
          <w:i w:val="0"/>
        </w:rPr>
        <w:t>Everything fell inside the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The project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the project counts it as a false positive and has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The manufacturer’s table gives it 14% of the DNA. The pool has 185,000 reads, so the project expects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The threshold is 0.0008 of all reads = 148 reads. 10,882 is well above it, so the species counts as detected. It is also “evaluable”, because the project expects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the project can claim. </w:t>
      </w:r>
      <w:r>
        <w:t>The method finds the species reliably. Why its abundance sits far below the label is not settled: the tube, its preparation and read length are all candidates, and only a certificate for the sequenced lot could narrow it; that lot is unknown, and the certificate obtained (lot 270128) is for a later lot with a defined-to-measured Bray–Curtis distance of about 0.03.</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was done</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the project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r>
        <w:trPr>
          <w:cantSplit/>
        </w:trPr>
        <w:tc>
          <w:tcPr>
            <w:tcW w:type="dxa" w:w="1361"/>
          </w:tcPr>
          <w:p>
            <w:r>
              <w:rPr>
                <w:sz w:val="20"/>
              </w:rPr>
              <w:t>17 Oct, evening</w:t>
            </w:r>
          </w:p>
        </w:tc>
        <w:tc>
          <w:tcPr>
            <w:tcW w:type="dxa" w:w="4535"/>
          </w:tcPr>
          <w:p>
            <w:r>
              <w:rPr>
                <w:sz w:val="20"/>
              </w:rPr>
              <w:t>Registered a fourth experiment with a different kind of profiler (Sylph); downloaded its 20 GB library; built the first translation table from mock names to its names; first run on the practice pool</w:t>
            </w:r>
          </w:p>
        </w:tc>
        <w:tc>
          <w:tcPr>
            <w:tcW w:type="dxa" w:w="3458"/>
          </w:tcPr>
          <w:p>
            <w:r>
              <w:rPr>
                <w:sz w:val="20"/>
              </w:rPr>
              <w:t>Test whether a different method handles close relatives better</w:t>
            </w:r>
          </w:p>
        </w:tc>
      </w:tr>
      <w:tr>
        <w:trPr>
          <w:cantSplit/>
        </w:trPr>
        <w:tc>
          <w:tcPr>
            <w:tcW w:type="dxa" w:w="1361"/>
          </w:tcPr>
          <w:p>
            <w:r>
              <w:rPr>
                <w:sz w:val="20"/>
              </w:rPr>
              <w:t>17–18 Oct</w:t>
            </w:r>
          </w:p>
        </w:tc>
        <w:tc>
          <w:tcPr>
            <w:tcW w:type="dxa" w:w="4535"/>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458"/>
          </w:tcPr>
          <w:p>
            <w:r>
              <w:rPr>
                <w:sz w:val="20"/>
              </w:rPr>
              <w:t>Correct a flawed design in the open, before touching the exam pool</w:t>
            </w:r>
          </w:p>
        </w:tc>
      </w:tr>
      <w:tr>
        <w:trPr>
          <w:cantSplit/>
        </w:trPr>
        <w:tc>
          <w:tcPr>
            <w:tcW w:type="dxa" w:w="1361"/>
          </w:tcPr>
          <w:p>
            <w:r>
              <w:rPr>
                <w:sz w:val="20"/>
              </w:rPr>
              <w:t>18 Oct</w:t>
            </w:r>
          </w:p>
        </w:tc>
        <w:tc>
          <w:tcPr>
            <w:tcW w:type="dxa" w:w="4535"/>
          </w:tcPr>
          <w:p>
            <w:r>
              <w:rPr>
                <w:sz w:val="20"/>
              </w:rPr>
              <w:t>Committed a rule for genomes that might appear only in the exam profile; scored the exam pool once per arm; compared with the written predictions</w:t>
            </w:r>
          </w:p>
        </w:tc>
        <w:tc>
          <w:tcPr>
            <w:tcW w:type="dxa" w:w="3458"/>
          </w:tcPr>
          <w:p>
            <w:r>
              <w:rPr>
                <w:sz w:val="20"/>
              </w:rPr>
              <w:t>Sit the exam once</w:t>
            </w:r>
          </w:p>
        </w:tc>
      </w:tr>
      <w:tr>
        <w:trPr>
          <w:cantSplit/>
        </w:trPr>
        <w:tc>
          <w:tcPr>
            <w:tcW w:type="dxa" w:w="1361"/>
          </w:tcPr>
          <w:p>
            <w:r>
              <w:rPr>
                <w:sz w:val="20"/>
              </w:rPr>
              <w:t>18 Oct, later</w:t>
            </w:r>
          </w:p>
        </w:tc>
        <w:tc>
          <w:tcPr>
            <w:tcW w:type="dxa" w:w="4535"/>
          </w:tcPr>
          <w:p>
            <w:r>
              <w:rPr>
                <w:sz w:val="20"/>
              </w:rPr>
              <w:t>Investigated why Sylph got two species wrong; found that species differ in read length, so reads and DNA letters give different answers; registered an addendum and re-expressed the Kraken2 results in letters; scored once</w:t>
            </w:r>
          </w:p>
        </w:tc>
        <w:tc>
          <w:tcPr>
            <w:tcW w:type="dxa" w:w="3458"/>
          </w:tcPr>
          <w:p>
            <w:r>
              <w:rPr>
                <w:sz w:val="20"/>
              </w:rPr>
              <w:t>Compare on the same basis as the manufacturer’s label</w:t>
            </w:r>
          </w:p>
        </w:tc>
      </w:tr>
      <w:tr>
        <w:trPr>
          <w:cantSplit/>
        </w:trPr>
        <w:tc>
          <w:tcPr>
            <w:tcW w:type="dxa" w:w="1361"/>
          </w:tcPr>
          <w:p>
            <w:r>
              <w:rPr>
                <w:sz w:val="20"/>
              </w:rPr>
              <w:t>18 Oct, night</w:t>
            </w:r>
          </w:p>
        </w:tc>
        <w:tc>
          <w:tcPr>
            <w:tcW w:type="dxa" w:w="4535"/>
          </w:tcPr>
          <w:p>
            <w:r>
              <w:rPr>
                <w:sz w:val="20"/>
              </w:rPr>
              <w:t>Designed the resistance-gene pilot: annotated the supplier genomes, sorted the hits by rules written before seeing them, and estimated how many reads should cover each gene</w:t>
            </w:r>
          </w:p>
        </w:tc>
        <w:tc>
          <w:tcPr>
            <w:tcW w:type="dxa" w:w="3458"/>
          </w:tcPr>
          <w:p>
            <w:r>
              <w:rPr>
                <w:sz w:val="20"/>
              </w:rPr>
              <w:t>Know what could be found before counting misses</w:t>
            </w:r>
          </w:p>
        </w:tc>
      </w:tr>
      <w:tr>
        <w:trPr>
          <w:cantSplit/>
        </w:trPr>
        <w:tc>
          <w:tcPr>
            <w:tcW w:type="dxa" w:w="1361"/>
          </w:tcPr>
          <w:p>
            <w:r>
              <w:rPr>
                <w:sz w:val="20"/>
              </w:rPr>
              <w:t>18–19 Oct</w:t>
            </w:r>
          </w:p>
        </w:tc>
        <w:tc>
          <w:tcPr>
            <w:tcW w:type="dxa" w:w="4535"/>
          </w:tcPr>
          <w:p>
            <w:r>
              <w:rPr>
                <w:sz w:val="20"/>
              </w:rPr>
              <w:t>Searched the reads against a resistance-gene database; found one gene hidden by a naming problem (cepA) and fixed it with a written addendum; froze everything and scored the exam pool once</w:t>
            </w:r>
          </w:p>
        </w:tc>
        <w:tc>
          <w:tcPr>
            <w:tcW w:type="dxa" w:w="3458"/>
          </w:tcPr>
          <w:p>
            <w:r>
              <w:rPr>
                <w:sz w:val="20"/>
              </w:rPr>
              <w:t>Correct the project's own rule in the open, then sit the exam once</w:t>
            </w:r>
          </w:p>
        </w:tc>
      </w:tr>
      <w:tr>
        <w:trPr>
          <w:cantSplit/>
        </w:trPr>
        <w:tc>
          <w:tcPr>
            <w:tcW w:type="dxa" w:w="1361"/>
          </w:tcPr>
          <w:p>
            <w:r>
              <w:rPr>
                <w:sz w:val="20"/>
              </w:rPr>
              <w:t>19 Oct</w:t>
            </w:r>
          </w:p>
        </w:tc>
        <w:tc>
          <w:tcPr>
            <w:tcW w:type="dxa" w:w="4535"/>
          </w:tcPr>
          <w:p>
            <w:r>
              <w:rPr>
                <w:sz w:val="20"/>
              </w:rPr>
              <w:t>Asked why tet(Q) had fewer reads than expected: three small checks, each with its question written first, showed the identity figure was an approximate estimate; registered a corrected run (letter-by-letter identity) and scored both pools</w:t>
            </w:r>
          </w:p>
        </w:tc>
        <w:tc>
          <w:tcPr>
            <w:tcW w:type="dxa" w:w="3458"/>
          </w:tcPr>
          <w:p>
            <w:r>
              <w:rPr>
                <w:sz w:val="20"/>
              </w:rPr>
              <w:t>Fix a measuring problem without erasing the earlier result</w:t>
            </w:r>
          </w:p>
        </w:tc>
      </w:tr>
      <w:tr>
        <w:trPr>
          <w:cantSplit/>
        </w:trPr>
        <w:tc>
          <w:tcPr>
            <w:tcW w:type="dxa" w:w="1361"/>
          </w:tcPr>
          <w:p>
            <w:r>
              <w:rPr>
                <w:sz w:val="20"/>
              </w:rPr>
              <w:t>19 Oct, later</w:t>
            </w:r>
          </w:p>
        </w:tc>
        <w:tc>
          <w:tcPr>
            <w:tcW w:type="dxa" w:w="4535"/>
          </w:tcPr>
          <w:p>
            <w:r>
              <w:rPr>
                <w:sz w:val="20"/>
              </w:rPr>
              <w:t>Asked whether the organism carrying each resistance gene can be named from the same reads: registered Addendum A8, scored both pools; cepA and tet(W) reads were named correctly, tet(Q) reads often only as a group of related species; a small exploratory check pointed to short or gene-heavy reads</w:t>
            </w:r>
          </w:p>
        </w:tc>
        <w:tc>
          <w:tcPr>
            <w:tcW w:type="dxa" w:w="3458"/>
          </w:tcPr>
          <w:p>
            <w:r>
              <w:rPr>
                <w:sz w:val="20"/>
              </w:rPr>
              <w:t>Report a prediction that failed, and say why</w:t>
            </w:r>
          </w:p>
        </w:tc>
      </w:tr>
      <w:tr>
        <w:trPr>
          <w:cantSplit/>
        </w:trPr>
        <w:tc>
          <w:tcPr>
            <w:tcW w:type="dxa" w:w="1361"/>
          </w:tcPr>
          <w:p>
            <w:r>
              <w:rPr>
                <w:sz w:val="20"/>
              </w:rPr>
              <w:t>19 Oct, evening</w:t>
            </w:r>
          </w:p>
        </w:tc>
        <w:tc>
          <w:tcPr>
            <w:tcW w:type="dxa" w:w="4535"/>
          </w:tcPr>
          <w:p>
            <w:r>
              <w:rPr>
                <w:sz w:val="20"/>
              </w:rPr>
              <w:t>Followed up why tet(Q) reads lose their species by reading the classifier’s evidence along each read: a first measure was too blind (reported as failed, not run on the exam pool), a second showed that the tet(Q) and tet(W) gene letters carry no species-specific signal, and the exam pool agreed with all five predictions</w:t>
            </w:r>
          </w:p>
        </w:tc>
        <w:tc>
          <w:tcPr>
            <w:tcW w:type="dxa" w:w="3458"/>
          </w:tcPr>
          <w:p>
            <w:r>
              <w:rPr>
                <w:sz w:val="20"/>
              </w:rPr>
              <w:t>Test a mechanism, not only a number</w:t>
            </w:r>
          </w:p>
        </w:tc>
      </w:tr>
      <w:tr>
        <w:trPr>
          <w:cantSplit/>
        </w:trPr>
        <w:tc>
          <w:tcPr>
            <w:tcW w:type="dxa" w:w="1361"/>
          </w:tcPr>
          <w:p>
            <w:r>
              <w:rPr>
                <w:sz w:val="20"/>
              </w:rPr>
              <w:t>19 Oct, late</w:t>
            </w:r>
          </w:p>
        </w:tc>
        <w:tc>
          <w:tcPr>
            <w:tcW w:type="dxa" w:w="4535"/>
          </w:tcPr>
          <w:p>
            <w:r>
              <w:rPr>
                <w:sz w:val="20"/>
              </w:rPr>
              <w:t>Looked at the genomes themselves: around tet(Q) two different species share about 20 thousand letters, around cepA nothing is shared; a first run gave a false negative because of a tool setting and was corrected in the open</w:t>
            </w:r>
          </w:p>
        </w:tc>
        <w:tc>
          <w:tcPr>
            <w:tcW w:type="dxa" w:w="3458"/>
          </w:tcPr>
          <w:p>
            <w:r>
              <w:rPr>
                <w:sz w:val="20"/>
              </w:rPr>
              <w:t>Check a negative result against a control before believing it</w:t>
            </w:r>
          </w:p>
        </w:tc>
      </w:tr>
    </w:tbl>
    <w:p/>
    <w:p>
      <w:pPr>
        <w:pStyle w:val="Heading1"/>
      </w:pPr>
      <w:r>
        <w:t>5. What the experiments after the baseline showed</w:t>
      </w:r>
    </w:p>
    <w:p>
      <w:r>
        <w:rPr>
          <w:b w:val="0"/>
          <w:i w:val="0"/>
        </w:rPr>
        <w:t>After the baseline was scored, the project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the project wrote down the arms (the variants), the rule for choosing settings, and the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the project cannot say one is truly better. It says how much the answer depends on which reads happened to be sampled; it does not say how sure the software was.</w:t>
            </w:r>
          </w:p>
        </w:tc>
      </w:tr>
    </w:tbl>
    <w:p/>
    <w:p>
      <w:pPr>
        <w:pStyle w:val="Heading2"/>
      </w:pPr>
      <w:r>
        <w:t>5.1 Experiment 1: how much data does the project need? (depth series)</w:t>
      </w:r>
    </w:p>
    <w:p>
      <w:r>
        <w:rPr>
          <w:b w:val="0"/>
          <w:i w:val="0"/>
        </w:rPr>
        <w:t>The project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the project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most of it is already present in the reads before any software has classified them).</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The predictions. The mechanism was predicted correctly (fewer reads classified as confidence rises). The project</w:t>
      </w:r>
      <w:r>
        <w:t xml:space="preserv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the project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The project suspected this cap caused the under-counting of some species. To test it, the project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the project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the project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The project does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settle this, so on 17 October the project added an independent check. The project aligned every read of the practice pool to the manufacturer’s reference genomes with minimap2 (a mapping tool, not a k-mer classifier). A read that aligns well to the Roseburia genome is, for the purposes, a Roseburia read, whatever Kraken2 later says. The project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the project cannot yet say whether the tube’s composition or its preparation is responsible; and section 5.5 shows one more effect, that species differ in read length. A certificate for the sequenced lot would help and is not available: the certificate obtained (lot 270128) is for a later lot, and its measured composition differs from its defined one by a Bray–Curtis distance of about 0.03.</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Everything so far used Kraken2, which gives a label to each read one at a time. The open question was whether the trouble with species that have close relatives (Escherichia coli, Bifidobacterium adolescentis) belongs to that way of working. On 17 October the project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Kraken2 asks of each read: which species is this? Sylph asks of each genome in a large library (about 200,000 genomes): how much of this genome’s fingerprint can be found in the reads? The fingerprint, called a sketch, is a small random selection of the genome’s k-mers, roughly one in 200. Keeping only a sample of k-mers is what makes it fast: sketching the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the project compares it with the DNA column of the manufacturer’s table. Taxonomic abundance corrects for genome size and approximates its share of the cells; the project compares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the project therefore needs a translation table, which the project calls a crosswalk, from each of the 17 mock species to the GTDB species that represents it.</w:t>
            </w:r>
          </w:p>
        </w:tc>
      </w:tr>
    </w:tbl>
    <w:p/>
    <w:p>
      <w:pPr>
        <w:pStyle w:val="Heading3"/>
      </w:pPr>
      <w:r>
        <w:t xml:space="preserve">The name-translation table (crosswalk) and why it failed first</w:t>
      </w:r>
    </w:p>
    <w:p>
      <w:r>
        <w:rPr>
          <w:b/>
        </w:rPr>
        <w:t>The first crosswalk failed, and the project kept the record. The design registered in advance built the table by feeding each mock genome to Sylph as if it were a set of reads and taking the best-matching library genome. The project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the</w:t>
      </w:r>
      <w:r>
        <w:t xml:space="preserve">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the project had seen the practice-pool profiles, so the project wrote it down as Addendum A1 and said so (tag sylph-crosswalk-v2); the exam pool had not been touched. The project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The verdict rule the project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The project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A difference that small is very likely inside the wobble you would get from which reads happened to be sampled (the project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Against the written predictions. Met: at least 13 of 14 findable species found (the one miss was the yeast, which the project had not foreseen; M. smithii was found and Salmonella was not, as predicted); 0 to 3 wrong species (the project</w:t>
      </w:r>
      <w:r>
        <w:t xml:space="preserv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The paper that produced these data reports, in its supplement, that an older Sylph version (0.6.1), with and without the read-count option, underestimated species-level genome copies on nanopore samples. That is a different version and a different quantity from the shares the project scored, so it supports the caution about the read-count option rather than explaining the results.</w:t>
      </w:r>
    </w:p>
    <w:p>
      <w:pPr>
        <w:pStyle w:val="Heading3"/>
      </w:pPr>
      <w:r>
        <w:t xml:space="preserve">Why Sylph got E. coli and Limosilactobacillus fermentum wrong, and why reads are not DNA (exploratory, practice pool only)</w:t>
      </w:r>
    </w:p>
    <w:p>
      <w:r>
        <w:t>After the exam-pool result the project looked at two odd numbers on the practice pool only, as a side investigation. It is not one of the registered experiments and changes no verdict. As always, the project wrote the guess down before testing it, and the project reports what happened, including that the first guess was wrong.</w:t>
      </w:r>
    </w:p>
    <w:p>
      <w:pPr>
        <w:pStyle w:val="ListBullet"/>
      </w:pPr>
      <w:r>
        <w:rPr>
          <w:b/>
        </w:rPr>
        <w:t xml:space="preserve">Escherichia coli (counted 2.3 times too high). </w:t>
      </w:r>
      <w:r>
        <w:t>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The scoring rule added the three together, so the same reads were counted about 2.5 times. Had the project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The first guess: reads from this species carry more sequencing errors, and Sylph only counts stretches of 31 letters without an error, so it would see less of them. The project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the project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That is what happened with L. fermentum: its reads are short, so there are many reads but less DNA. The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the project's own check, and it is a good reminder to look at how a quantity is spread across groups before building an explanation.</w:t>
      </w:r>
    </w:p>
    <w:p>
      <w:r>
        <w:rPr>
          <w:b/>
        </w:rPr>
        <w:t xml:space="preserve">Kraken2 counted in letters. </w:t>
      </w:r>
      <w:r>
        <w:t>The project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show this.</w:t>
      </w:r>
    </w:p>
    <w:p>
      <w:r>
        <w:rPr>
          <w:b/>
        </w:rPr>
        <w:t xml:space="preserve">Did it hold on the exam pool? </w:t>
      </w:r>
      <w:r>
        <w:t>Before touching the exam pool the project wrote down, with numbers, what the practice pool led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the project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Finding resistance genes is the part of the project closest to medicine, and the part that is easiest to over-claim. So the project kept it small, wrote the rules down first, and let the question be: can the workflow see the resistance genes the project expects, and what would that show</w:t>
      </w:r>
      <w:r>
        <w:rPr>
          <w:i/>
        </w:rPr>
        <w:t>?</w:t>
      </w:r>
    </w:p>
    <w:p>
      <w:r>
        <w:rPr>
          <w:b/>
        </w:rPr>
        <w:t xml:space="preserve">What is a resistance gene, and what does finding one mean?  </w:t>
      </w:r>
      <w:r>
        <w:t xml:space="preserve">A resistance gene is a stretch of DNA with the instructions for something that can make a bacterium less affected by a drug: an enzyme that breaks the drug down, a pump that pushes it out, or a changed target. Finding the gene is not the same as finding resistance. The copy may be incomplete or switched off; the bacterium may not be a pathogen; some genes belong naturally to a species (cepA is usually found in the chromosome of Bacteroides fragilis, so it says little about acquired resistance spreading); and resistance depends on the drug and the dose. Sequence evidence is only the first step.</w:t>
      </w:r>
    </w:p>
    <w:tbl>
      <w:tblPr>
        <w:tblStyle w:val="TableGrid"/>
        <w:tblW w:type="auto" w:w="0"/>
        <w:tblLayout w:type="fixed"/>
        <w:tblLook w:firstColumn="1" w:firstRow="1" w:lastColumn="0" w:lastRow="0" w:noHBand="0" w:noVBand="1" w:val="04A0"/>
      </w:tblPr>
      <w:tblGrid>
        <w:gridCol w:w="3500"/>
        <w:gridCol w:w="6246"/>
      </w:tblGrid>
      <w:tr>
        <w:trPr>
          <w:cantSplit/>
        </w:trPr>
        <w:tc>
          <w:tcPr>
            <w:tcW w:type="dxa" w:w="3500"/>
            <w:shd w:val="clear" w:fill="D9E4F2"/>
          </w:tcPr>
          <w:p>
            <w:r>
              <w:rPr>
                <w:b/>
                <w:sz w:val="20"/>
              </w:rPr>
              <w:t xml:space="preserve">Level of interpretation</w:t>
            </w:r>
          </w:p>
        </w:tc>
        <w:tc>
          <w:tcPr>
            <w:tcW w:type="dxa" w:w="6246"/>
            <w:shd w:val="clear" w:fill="D9E4F2"/>
          </w:tcPr>
          <w:p>
            <w:r>
              <w:rPr>
                <w:b/>
                <w:sz w:val="20"/>
              </w:rPr>
              <w:t xml:space="preserve">What this pilot can establish</w:t>
            </w:r>
          </w:p>
        </w:tc>
      </w:tr>
      <w:tr>
        <w:trPr>
          <w:cantSplit/>
        </w:trPr>
        <w:tc>
          <w:tcPr>
            <w:tcW w:type="dxa" w:w="3500"/>
          </w:tcPr>
          <w:p>
            <w:r>
              <w:rPr>
                <w:sz w:val="20"/>
              </w:rPr>
              <w:t xml:space="preserve">Resistance-gene family detected in the reads</w:t>
            </w:r>
          </w:p>
        </w:tc>
        <w:tc>
          <w:tcPr>
            <w:tcW w:type="dxa" w:w="6246"/>
          </w:tcPr>
          <w:p>
            <w:r>
              <w:rPr>
                <w:sz w:val="20"/>
              </w:rPr>
              <w:t xml:space="preserve">Yes, for three gene families on well-covered species: do sampled reads support a known gene family?</w:t>
            </w:r>
          </w:p>
        </w:tc>
      </w:tr>
      <w:tr>
        <w:trPr>
          <w:cantSplit/>
        </w:trPr>
        <w:tc>
          <w:tcPr>
            <w:tcW w:type="dxa" w:w="3500"/>
          </w:tcPr>
          <w:p>
            <w:r>
              <w:rPr>
                <w:sz w:val="20"/>
              </w:rPr>
              <w:t xml:space="preserve">Organism that carries the gene</w:t>
            </w:r>
          </w:p>
        </w:tc>
        <w:tc>
          <w:tcPr>
            <w:tcW w:type="dxa" w:w="6246"/>
          </w:tcPr>
          <w:p>
            <w:r>
              <w:rPr>
                <w:sz w:val="20"/>
              </w:rPr>
              <w:t>Tested only in the mock community, where the true organism is known (end of section 5.6). Reads of cepA and tet(W) were named to the right species; tet(Q) reads often only to a group of related species. Not possible in a real sample without known genomes.</w:t>
            </w:r>
          </w:p>
        </w:tc>
      </w:tr>
      <w:tr>
        <w:trPr>
          <w:cantSplit/>
        </w:trPr>
        <w:tc>
          <w:tcPr>
            <w:tcW w:type="dxa" w:w="3500"/>
          </w:tcPr>
          <w:p>
            <w:r>
              <w:rPr>
                <w:sz w:val="20"/>
              </w:rPr>
              <w:t xml:space="preserve">Resistant phenotype (would the bacterium survive the drug?)</w:t>
            </w:r>
          </w:p>
        </w:tc>
        <w:tc>
          <w:tcPr>
            <w:tcW w:type="dxa" w:w="6246"/>
          </w:tcPr>
          <w:p>
            <w:r>
              <w:rPr>
                <w:sz w:val="20"/>
              </w:rPr>
              <w:t xml:space="preserve">Not established. This needs laboratory susceptibility testing, not sequence matching.</w:t>
            </w:r>
          </w:p>
        </w:tc>
      </w:tr>
    </w:tbl>
    <w:p/>
    <w:p>
      <w:r>
        <w:rPr>
          <w:b/>
        </w:rPr>
        <w:t xml:space="preserve">What is the “truth”?  </w:t>
      </w:r>
      <w:r>
        <w:t>Nobody measured which resistance genes are in this sequenced tube. What the project does have is the supplier’s genome sequences for the mock community. The project ran a standard annotation tool (AMRFinderPlus) over those genomes and called the result a reference catalogue: genes the project expects to find if the tube matches the genomes. It is a prediction from genomes, not a measurement of the bacteria’s resistance or of the tube. The table shows where every hit went.</w:t>
      </w:r>
    </w:p>
    <w:tbl>
      <w:tblPr>
        <w:tblStyle w:val="TableGrid"/>
        <w:tblW w:type="auto" w:w="0"/>
        <w:tblLayout w:type="fixed"/>
        <w:tblLook w:firstColumn="1" w:firstRow="1" w:lastColumn="0" w:lastRow="0" w:noHBand="0" w:noVBand="1" w:val="04A0"/>
      </w:tblPr>
      <w:tblGrid>
        <w:gridCol w:w="2900"/>
        <w:gridCol w:w="900"/>
        <w:gridCol w:w="5946"/>
      </w:tblGrid>
      <w:tr>
        <w:trPr>
          <w:cantSplit/>
        </w:trPr>
        <w:tc>
          <w:tcPr>
            <w:tcW w:type="dxa" w:w="2900"/>
            <w:shd w:val="clear" w:fill="D9E4F2"/>
          </w:tcPr>
          <w:p>
            <w:r>
              <w:rPr>
                <w:b/>
                <w:sz w:val="20"/>
              </w:rPr>
              <w:t xml:space="preserve">Step</w:t>
            </w:r>
          </w:p>
        </w:tc>
        <w:tc>
          <w:tcPr>
            <w:tcW w:type="dxa" w:w="900"/>
            <w:shd w:val="clear" w:fill="D9E4F2"/>
          </w:tcPr>
          <w:p>
            <w:r>
              <w:rPr>
                <w:b/>
                <w:sz w:val="20"/>
              </w:rPr>
              <w:t xml:space="preserve">Rows</w:t>
            </w:r>
          </w:p>
        </w:tc>
        <w:tc>
          <w:tcPr>
            <w:tcW w:type="dxa" w:w="5946"/>
            <w:shd w:val="clear" w:fill="D9E4F2"/>
          </w:tcPr>
          <w:p>
            <w:r>
              <w:rPr>
                <w:b/>
                <w:sz w:val="20"/>
              </w:rPr>
              <w:t xml:space="preserve">What happened</w:t>
            </w:r>
          </w:p>
        </w:tc>
      </w:tr>
      <w:tr>
        <w:trPr>
          <w:cantSplit/>
        </w:trPr>
        <w:tc>
          <w:tcPr>
            <w:tcW w:type="dxa" w:w="2900"/>
          </w:tcPr>
          <w:p>
            <w:r>
              <w:rPr>
                <w:sz w:val="20"/>
              </w:rPr>
              <w:t xml:space="preserve">Raw annotation hits</w:t>
            </w:r>
          </w:p>
        </w:tc>
        <w:tc>
          <w:tcPr>
            <w:tcW w:type="dxa" w:w="900"/>
          </w:tcPr>
          <w:p>
            <w:r>
              <w:rPr>
                <w:sz w:val="20"/>
              </w:rPr>
              <w:t xml:space="preserve">140</w:t>
            </w:r>
          </w:p>
        </w:tc>
        <w:tc>
          <w:tcPr>
            <w:tcW w:type="dxa" w:w="5946"/>
          </w:tcPr>
          <w:p>
            <w:r>
              <w:rPr>
                <w:sz w:val="20"/>
              </w:rPr>
              <w:t xml:space="preserve">Everything the tool reported across the 19 genome files.</w:t>
            </w:r>
          </w:p>
        </w:tc>
      </w:tr>
      <w:tr>
        <w:trPr>
          <w:cantSplit/>
        </w:trPr>
        <w:tc>
          <w:tcPr>
            <w:tcW w:type="dxa" w:w="2900"/>
          </w:tcPr>
          <w:p>
            <w:r>
              <w:rPr>
                <w:sz w:val="20"/>
              </w:rPr>
              <w:t xml:space="preserve">Set aside: not antibiotic resistance</w:t>
            </w:r>
          </w:p>
        </w:tc>
        <w:tc>
          <w:tcPr>
            <w:tcW w:type="dxa" w:w="900"/>
          </w:tcPr>
          <w:p>
            <w:r>
              <w:rPr>
                <w:sz w:val="20"/>
              </w:rPr>
              <w:t xml:space="preserve">102</w:t>
            </w:r>
          </w:p>
        </w:tc>
        <w:tc>
          <w:tcPr>
            <w:tcW w:type="dxa" w:w="5946"/>
          </w:tcPr>
          <w:p>
            <w:r>
              <w:rPr>
                <w:sz w:val="20"/>
              </w:rPr>
              <w:t xml:space="preserve">52 virulence, 44 metal-resistance, 5 acid-resistance, 1 biocide gene.</w:t>
            </w:r>
          </w:p>
        </w:tc>
      </w:tr>
      <w:tr>
        <w:trPr>
          <w:cantSplit/>
        </w:trPr>
        <w:tc>
          <w:tcPr>
            <w:tcW w:type="dxa" w:w="2900"/>
          </w:tcPr>
          <w:p>
            <w:r>
              <w:rPr>
                <w:sz w:val="20"/>
              </w:rPr>
              <w:t xml:space="preserve">Resistance-type rows kept</w:t>
            </w:r>
          </w:p>
        </w:tc>
        <w:tc>
          <w:tcPr>
            <w:tcW w:type="dxa" w:w="900"/>
          </w:tcPr>
          <w:p>
            <w:r>
              <w:rPr>
                <w:sz w:val="20"/>
              </w:rPr>
              <w:t xml:space="preserve">38</w:t>
            </w:r>
          </w:p>
        </w:tc>
        <w:tc>
          <w:tcPr>
            <w:tcW w:type="dxa" w:w="5946"/>
          </w:tcPr>
          <w:p>
            <w:r>
              <w:rPr>
                <w:sz w:val="20"/>
              </w:rPr>
              <w:t xml:space="preserve">34 resistance genes and 4 point mutations (a single-letter change inside a gene).</w:t>
            </w:r>
          </w:p>
        </w:tc>
      </w:tr>
      <w:tr>
        <w:trPr>
          <w:cantSplit/>
        </w:trPr>
        <w:tc>
          <w:tcPr>
            <w:tcW w:type="dxa" w:w="2900"/>
          </w:tcPr>
          <w:p>
            <w:r>
              <w:rPr>
                <w:sz w:val="20"/>
              </w:rPr>
              <w:t xml:space="preserve">High-confidence</w:t>
            </w:r>
          </w:p>
        </w:tc>
        <w:tc>
          <w:tcPr>
            <w:tcW w:type="dxa" w:w="900"/>
          </w:tcPr>
          <w:p>
            <w:r>
              <w:rPr>
                <w:sz w:val="20"/>
              </w:rPr>
              <w:t xml:space="preserve">8</w:t>
            </w:r>
          </w:p>
        </w:tc>
        <w:tc>
          <w:tcPr>
            <w:tcW w:type="dxa" w:w="5946"/>
          </w:tcPr>
          <w:p>
            <w:r>
              <w:rPr>
                <w:sz w:val="20"/>
              </w:rPr>
              <w:t xml:space="preserve">Complete core resistance genes, at least 90% identity and 90% coverage of the reference gene, not a pump. These are the genes the pilot expects to find. Rules written before seeing the hits.</w:t>
            </w:r>
          </w:p>
        </w:tc>
      </w:tr>
      <w:tr>
        <w:trPr>
          <w:cantSplit/>
        </w:trPr>
        <w:tc>
          <w:tcPr>
            <w:tcW w:type="dxa" w:w="2900"/>
          </w:tcPr>
          <w:p>
            <w:r>
              <w:rPr>
                <w:sz w:val="20"/>
              </w:rPr>
              <w:t xml:space="preserve">Candidate</w:t>
            </w:r>
          </w:p>
        </w:tc>
        <w:tc>
          <w:tcPr>
            <w:tcW w:type="dxa" w:w="900"/>
          </w:tcPr>
          <w:p>
            <w:r>
              <w:rPr>
                <w:sz w:val="20"/>
              </w:rPr>
              <w:t xml:space="preserve">30</w:t>
            </w:r>
          </w:p>
        </w:tc>
        <w:tc>
          <w:tcPr>
            <w:tcW w:type="dxa" w:w="5946"/>
          </w:tcPr>
          <w:p>
            <w:r>
              <w:rPr>
                <w:sz w:val="20"/>
              </w:rPr>
              <w:t xml:space="preserve">Everything else: extended-set genes, pumps (efflux pumps are usually natural features of a species, so they say little about acquired resistance), partial matches (possibly broken fragments) and the 4 point mutations. Reported, but not scored as genes that must be found.</w:t>
            </w:r>
          </w:p>
        </w:tc>
      </w:tr>
      <w:tr>
        <w:trPr>
          <w:cantSplit/>
        </w:trPr>
        <w:tc>
          <w:tcPr>
            <w:tcW w:type="dxa" w:w="2900"/>
          </w:tcPr>
          <w:p>
            <w:r>
              <w:rPr>
                <w:sz w:val="20"/>
              </w:rPr>
              <w:t xml:space="preserve">Units for scoring</w:t>
            </w:r>
          </w:p>
        </w:tc>
        <w:tc>
          <w:tcPr>
            <w:tcW w:type="dxa" w:w="900"/>
          </w:tcPr>
          <w:p>
            <w:r>
              <w:rPr>
                <w:sz w:val="20"/>
              </w:rPr>
              <w:t xml:space="preserve">22</w:t>
            </w:r>
          </w:p>
        </w:tc>
        <w:tc>
          <w:tcPr>
            <w:tcW w:type="dxa" w:w="5946"/>
          </w:tcPr>
          <w:p>
            <w:r>
              <w:rPr>
                <w:sz w:val="20"/>
              </w:rPr>
              <w:t xml:space="preserve">Rows collapsed to one unit per species and gene (five E. coli strains share the same three genes): 8 high-confidence and 14 candidate units. The 4 point mutations are not scored.</w:t>
            </w:r>
          </w:p>
        </w:tc>
      </w:tr>
    </w:tbl>
    <w:p/>
    <w:p>
      <w:r>
        <w:rPr>
          <w:b/>
        </w:rPr>
        <w:t xml:space="preserve">Can a gene even be seen?  </w:t>
      </w:r>
      <w:r>
        <w:t xml:space="preserve">A gene in a species that has almost no reads cannot be found by anyone. So before counting a missed gene as a failure the project estimated how many reads should cover it. The project called this E. It is a model-based expectation, not an observed count, and it assumes the species is covered evenly and uses the carrier’s average read length. Genes with E of at least 10 were called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A worked calculation of E.  </w:t>
      </w:r>
      <w:r>
        <w:t>Coverage is how many times, on average, each letter of a genome is read; here it comes from the practice reads. A read is useful for a gene only if it covers at least 80% of it. Reads start at random places, about coverage ÷ read length starts per letter, and a read longer than the gene covers at least 80% of it when it starts inside a window of (read length − 0.6 × gene length) letters. So E = coverage × (read length − 0.6 × gene length) ÷ read length. For tet(Q) in B. fragilis: coverage 34.58, average read length 7,378, gene length 1,923, so E = 34.58 × (7,378 − 1,154) ÷ 7,378 = 29.2. For tet(Q) in P. corporis: 25.57 × (7,460 − 1,154) ÷ 7,460 = 21.6. The reads cannot be assigned to one species, so tet(Q) is expected to have about 29.2 + 21.6 = 50.8 reads. That is why 15 observed reads was a surprise. For erm(B): coverage 3.93, read length 6,228, gene 735 letters, E = 3.7. With so few expected reads, even a perfect method would see none about one time in 40 by chance, so two reads (what the project found) says very little either way.</w:t>
      </w:r>
    </w:p>
    <w:p>
      <w:r>
        <w:rPr>
          <w:b/>
        </w:rPr>
        <w:t xml:space="preserve">The one method.  </w:t>
      </w:r>
      <w:r>
        <w:t>The project compared every read with a standard database of resistance genes (ResFinder). A read counts as support for a gene family only if two separate tests pass. Identity: of the letters in the aligned part, at least 80% agree with the database gene. Gene coverage: the aligned part spans at least 80% of the database gene. A gene family counts as found if at least three reads support it. A read that matches several different families almost equally is called ambiguous and is not counted. Both 80% thresholds were chosen for this pilot and written down in advance; they are exploratory settings, not validated cut-offs for nanopore resistance detection. The project looked only at gene families (such as “tet(Q)”), not at the exact variant or which species carries it. The project chose the identity threshold when the project thought typical reads were only about 91% accurate; the later paragraphs show how that number arose and why it was misleading.</w:t>
      </w:r>
    </w:p>
    <w:tbl>
      <w:tblPr>
        <w:tblStyle w:val="TableGrid"/>
        <w:tblW w:type="auto" w:w="0"/>
        <w:tblLayout w:type="fixed"/>
        <w:tblLook w:firstColumn="1" w:firstRow="1" w:lastColumn="0" w:lastRow="0" w:noHBand="0" w:noVBand="1" w:val="04A0"/>
      </w:tblPr>
      <w:tblGrid>
        <w:gridCol w:w="3900"/>
        <w:gridCol w:w="1900"/>
        <w:gridCol w:w="1500"/>
        <w:gridCol w:w="2446"/>
      </w:tblGrid>
      <w:tr>
        <w:trPr>
          <w:cantSplit/>
        </w:trPr>
        <w:tc>
          <w:tcPr>
            <w:tcW w:type="dxa" w:w="3900"/>
            <w:shd w:val="clear" w:fill="D9E4F2"/>
          </w:tcPr>
          <w:p>
            <w:r>
              <w:rPr>
                <w:b/>
                <w:sz w:val="20"/>
              </w:rPr>
              <w:t xml:space="preserve">Illustrative read (invented numbers, tet(Q) gene of 1,923 letters)</w:t>
            </w:r>
          </w:p>
        </w:tc>
        <w:tc>
          <w:tcPr>
            <w:tcW w:type="dxa" w:w="1900"/>
            <w:shd w:val="clear" w:fill="D9E4F2"/>
          </w:tcPr>
          <w:p>
            <w:r>
              <w:rPr>
                <w:b/>
                <w:sz w:val="20"/>
              </w:rPr>
              <w:t xml:space="preserve">Identity over the aligned part</w:t>
            </w:r>
          </w:p>
        </w:tc>
        <w:tc>
          <w:tcPr>
            <w:tcW w:type="dxa" w:w="1500"/>
            <w:shd w:val="clear" w:fill="D9E4F2"/>
          </w:tcPr>
          <w:p>
            <w:r>
              <w:rPr>
                <w:b/>
                <w:sz w:val="20"/>
              </w:rPr>
              <w:t xml:space="preserve">Gene covered</w:t>
            </w:r>
          </w:p>
        </w:tc>
        <w:tc>
          <w:tcPr>
            <w:tcW w:type="dxa" w:w="2446"/>
            <w:shd w:val="clear" w:fill="D9E4F2"/>
          </w:tcPr>
          <w:p>
            <w:r>
              <w:rPr>
                <w:b/>
                <w:sz w:val="20"/>
              </w:rPr>
              <w:t xml:space="preserve">Supports?</w:t>
            </w:r>
          </w:p>
        </w:tc>
      </w:tr>
      <w:tr>
        <w:trPr>
          <w:cantSplit/>
        </w:trPr>
        <w:tc>
          <w:tcPr>
            <w:tcW w:type="dxa" w:w="3900"/>
          </w:tcPr>
          <w:p>
            <w:r>
              <w:rPr>
                <w:sz w:val="20"/>
              </w:rPr>
              <w:t xml:space="preserve">A: aligned over 1,900 letters</w:t>
            </w:r>
          </w:p>
        </w:tc>
        <w:tc>
          <w:tcPr>
            <w:tcW w:type="dxa" w:w="1900"/>
          </w:tcPr>
          <w:p>
            <w:r>
              <w:rPr>
                <w:sz w:val="20"/>
              </w:rPr>
              <w:t xml:space="preserve">97%</w:t>
            </w:r>
          </w:p>
        </w:tc>
        <w:tc>
          <w:tcPr>
            <w:tcW w:type="dxa" w:w="1500"/>
          </w:tcPr>
          <w:p>
            <w:r>
              <w:rPr>
                <w:sz w:val="20"/>
              </w:rPr>
              <w:t xml:space="preserve">99%</w:t>
            </w:r>
          </w:p>
        </w:tc>
        <w:tc>
          <w:tcPr>
            <w:tcW w:type="dxa" w:w="2446"/>
          </w:tcPr>
          <w:p>
            <w:r>
              <w:rPr>
                <w:sz w:val="20"/>
              </w:rPr>
              <w:t xml:space="preserve">Yes: both tests pass</w:t>
            </w:r>
          </w:p>
        </w:tc>
      </w:tr>
      <w:tr>
        <w:trPr>
          <w:cantSplit/>
        </w:trPr>
        <w:tc>
          <w:tcPr>
            <w:tcW w:type="dxa" w:w="3900"/>
          </w:tcPr>
          <w:p>
            <w:r>
              <w:rPr>
                <w:sz w:val="20"/>
              </w:rPr>
              <w:t xml:space="preserve">B: aligned over only 600 letters</w:t>
            </w:r>
          </w:p>
        </w:tc>
        <w:tc>
          <w:tcPr>
            <w:tcW w:type="dxa" w:w="1900"/>
          </w:tcPr>
          <w:p>
            <w:r>
              <w:rPr>
                <w:sz w:val="20"/>
              </w:rPr>
              <w:t xml:space="preserve">99%</w:t>
            </w:r>
          </w:p>
        </w:tc>
        <w:tc>
          <w:tcPr>
            <w:tcW w:type="dxa" w:w="1500"/>
          </w:tcPr>
          <w:p>
            <w:r>
              <w:rPr>
                <w:sz w:val="20"/>
              </w:rPr>
              <w:t xml:space="preserve">31%</w:t>
            </w:r>
          </w:p>
        </w:tc>
        <w:tc>
          <w:tcPr>
            <w:tcW w:type="dxa" w:w="2446"/>
          </w:tcPr>
          <w:p>
            <w:r>
              <w:rPr>
                <w:sz w:val="20"/>
              </w:rPr>
              <w:t xml:space="preserve">No: very similar, but only a fragment of the gene</w:t>
            </w:r>
          </w:p>
        </w:tc>
      </w:tr>
      <w:tr>
        <w:trPr>
          <w:cantSplit/>
        </w:trPr>
        <w:tc>
          <w:tcPr>
            <w:tcW w:type="dxa" w:w="3900"/>
          </w:tcPr>
          <w:p>
            <w:r>
              <w:rPr>
                <w:sz w:val="20"/>
              </w:rPr>
              <w:t xml:space="preserve">C: aligned over 1,850 letters</w:t>
            </w:r>
          </w:p>
        </w:tc>
        <w:tc>
          <w:tcPr>
            <w:tcW w:type="dxa" w:w="1900"/>
          </w:tcPr>
          <w:p>
            <w:r>
              <w:rPr>
                <w:sz w:val="20"/>
              </w:rPr>
              <w:t xml:space="preserve">72%</w:t>
            </w:r>
          </w:p>
        </w:tc>
        <w:tc>
          <w:tcPr>
            <w:tcW w:type="dxa" w:w="1500"/>
          </w:tcPr>
          <w:p>
            <w:r>
              <w:rPr>
                <w:sz w:val="20"/>
              </w:rPr>
              <w:t xml:space="preserve">96%</w:t>
            </w:r>
          </w:p>
        </w:tc>
        <w:tc>
          <w:tcPr>
            <w:tcW w:type="dxa" w:w="2446"/>
          </w:tcPr>
          <w:p>
            <w:r>
              <w:rPr>
                <w:sz w:val="20"/>
              </w:rPr>
              <w:t xml:space="preserve">No: spans the gene but is too different (perhaps a relative)</w:t>
            </w:r>
          </w:p>
        </w:tc>
      </w:tr>
    </w:tbl>
    <w:p/>
    <w:p>
      <w:r>
        <w:rPr>
          <w:b/>
        </w:rPr>
        <w:t>What happened on the practice pool, and a mistake in the project's own check.  Two of the three families were found. For cepA only 2 reads counted, while 27 more were ambiguous. The project wrote a guess down before checking it: the database lists the same gene under four names (cepA, cepA-29, cepA-44 and cepA-49), so reads cannot choose between them. The check agreed: the four sequences are 98.8 to 99.7% identical, and 29 different reads matched the group. The miss came from the project's own rule for what counts as one family, not from the data. The project</w:t>
      </w:r>
      <w:r>
        <w:t xml:space="preserv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Before running it the project froze everything and wrote five predictions (for example: all three families found; each within a factor of two of the practice count; nothing found outside the catalogue). All five were met with the first counting rule.</w:t>
      </w:r>
    </w:p>
    <w:p>
      <w:r>
        <w:rPr>
          <w:b/>
        </w:rPr>
        <w:t xml:space="preserve">A puzzle: too few reads.  </w:t>
      </w:r>
      <w:r>
        <w:t>Two of the families, tet(Q) and tet(W), had fewer supporting reads than the estimate E said they should (tet(Q): 15 reads against about 51 expected on the practice pool). Rather than explain it away, the project wrote down three possible causes and tested each in a small exploratory check, with the question written before the run. First, were the genes covered by reads at all? Yes: the number of reads lying over each gene was close to E (for tet(Q), 52 against 51). Second, was the database gene very different from the genome’s gene? No: they were within 2 to 3%. Third, were the reads at those genes simply poor? No. So reads were there and the genes matched, yet one carrier’s reads were being thrown out by the identity rule: for Bacteroides fragilis tet(Q), 33 of 34 reads fell just under the 80% line.</w:t>
      </w:r>
    </w:p>
    <w:p>
      <w:r>
        <w:rPr>
          <w:b/>
        </w:rPr>
        <w:t>The cause was how the project measured identity.  The mapper’s fast output reports an estimate of identity based on a few shared short words, not a letter-by-letter comparison. When the project aligned the same reads letter by letter, their identity to the database gene was about 97%, not 78%. That is the finding: the estimate was unsuitable for applying the 80% line, and for one gene it happened to be low. Be careful about what 97% means. It is the agreement between reads and a reference sequence, which mixes sequencing errors with real differences between the sample’s gene and the reference allele; it is not a direct measurement of the sequencer’s accuracy. Against the supplier genome’s own copy of the gene the agreement was higher (about 98 to 99%), which is in line with the read-quality figures the project measured earlier, but that too is a proxy. The “about 91%” the project</w:t>
      </w:r>
      <w:r>
        <w:t xml:space="preserve"> had used to choose the 80% line was the same kind of rough estimate.</w:t>
      </w:r>
    </w:p>
    <w:p>
      <w:r>
        <w:rPr>
          <w:b/>
        </w:rPr>
        <w:t xml:space="preserve">The correction (Addendum A7).  </w:t>
      </w:r>
      <w:r>
        <w:t>The project wrote a new addendum before running anything: the same rules, but identity from a letter-by-letter alignment, with predictions fixed for both pools. Everything else stayed frozen, including the 80% line, even though it is now generous. All six practice predictions and all five exam predictions were met, and nothing new appeared outside the catalogue. The corrected counts are the ones the project reports; the first counts are kept next to them, because they are what the project registered at the time.</w:t>
      </w:r>
    </w:p>
    <w:tbl>
      <w:tblPr>
        <w:tblStyle w:val="TableGrid"/>
        <w:tblW w:type="auto" w:w="0"/>
        <w:tblLayout w:type="fixed"/>
        <w:tblLook w:firstColumn="1" w:firstRow="1" w:lastColumn="0" w:lastRow="0" w:noHBand="0" w:noVBand="1" w:val="04A0"/>
      </w:tblPr>
      <w:tblGrid>
        <w:gridCol w:w="1300"/>
        <w:gridCol w:w="1800"/>
        <w:gridCol w:w="1900"/>
        <w:gridCol w:w="1500"/>
        <w:gridCol w:w="1500"/>
        <w:gridCol w:w="1746"/>
      </w:tblGrid>
      <w:tr>
        <w:trPr>
          <w:cantSplit/>
        </w:trPr>
        <w:tc>
          <w:tcPr>
            <w:tcW w:type="dxa" w:w="1300"/>
            <w:shd w:val="clear" w:fill="D9E4F2"/>
          </w:tcPr>
          <w:p>
            <w:r>
              <w:rPr>
                <w:b/>
                <w:sz w:val="20"/>
              </w:rPr>
              <w:t xml:space="preserve">Gene family</w:t>
            </w:r>
          </w:p>
        </w:tc>
        <w:tc>
          <w:tcPr>
            <w:tcW w:type="dxa" w:w="1800"/>
            <w:shd w:val="clear" w:fill="D9E4F2"/>
          </w:tcPr>
          <w:p>
            <w:r>
              <w:rPr>
                <w:b/>
                <w:sz w:val="20"/>
              </w:rPr>
              <w:t xml:space="preserve">Expected reads (E)</w:t>
            </w:r>
          </w:p>
        </w:tc>
        <w:tc>
          <w:tcPr>
            <w:tcW w:type="dxa" w:w="1900"/>
            <w:shd w:val="clear" w:fill="D9E4F2"/>
          </w:tcPr>
          <w:p>
            <w:r>
              <w:rPr>
                <w:b/>
                <w:sz w:val="20"/>
              </w:rPr>
              <w:t xml:space="preserve">Practice: first rule</w:t>
            </w:r>
          </w:p>
        </w:tc>
        <w:tc>
          <w:tcPr>
            <w:tcW w:type="dxa" w:w="1500"/>
            <w:shd w:val="clear" w:fill="D9E4F2"/>
          </w:tcPr>
          <w:p>
            <w:r>
              <w:rPr>
                <w:b/>
                <w:sz w:val="20"/>
              </w:rPr>
              <w:t xml:space="preserve">Practice: corrected</w:t>
            </w:r>
          </w:p>
        </w:tc>
        <w:tc>
          <w:tcPr>
            <w:tcW w:type="dxa" w:w="1500"/>
            <w:shd w:val="clear" w:fill="D9E4F2"/>
          </w:tcPr>
          <w:p>
            <w:r>
              <w:rPr>
                <w:b/>
                <w:sz w:val="20"/>
              </w:rPr>
              <w:t xml:space="preserve">Exam: first rule</w:t>
            </w:r>
          </w:p>
        </w:tc>
        <w:tc>
          <w:tcPr>
            <w:tcW w:type="dxa" w:w="1746"/>
            <w:shd w:val="clear" w:fill="D9E4F2"/>
          </w:tcPr>
          <w:p>
            <w:r>
              <w:rPr>
                <w:b/>
                <w:sz w:val="20"/>
              </w:rPr>
              <w:t xml:space="preserve">Exam: corrected</w:t>
            </w:r>
          </w:p>
        </w:tc>
      </w:tr>
      <w:tr>
        <w:trPr>
          <w:cantSplit/>
        </w:trPr>
        <w:tc>
          <w:tcPr>
            <w:tcW w:type="dxa" w:w="1300"/>
          </w:tcPr>
          <w:p>
            <w:r>
              <w:rPr>
                <w:sz w:val="20"/>
              </w:rPr>
              <w:t xml:space="preserve">cepA</w:t>
            </w:r>
          </w:p>
        </w:tc>
        <w:tc>
          <w:tcPr>
            <w:tcW w:type="dxa" w:w="1800"/>
          </w:tcPr>
          <w:p>
            <w:r>
              <w:rPr>
                <w:sz w:val="20"/>
              </w:rPr>
              <w:t xml:space="preserve">about 32</w:t>
            </w:r>
          </w:p>
        </w:tc>
        <w:tc>
          <w:tcPr>
            <w:tcW w:type="dxa" w:w="1900"/>
          </w:tcPr>
          <w:p>
            <w:r>
              <w:rPr>
                <w:sz w:val="20"/>
              </w:rPr>
              <w:t xml:space="preserve">29 (after merging the four names)</w:t>
            </w:r>
          </w:p>
        </w:tc>
        <w:tc>
          <w:tcPr>
            <w:tcW w:type="dxa" w:w="1500"/>
          </w:tcPr>
          <w:p>
            <w:r>
              <w:rPr>
                <w:sz w:val="20"/>
              </w:rPr>
              <w:t xml:space="preserve">36</w:t>
            </w:r>
          </w:p>
        </w:tc>
        <w:tc>
          <w:tcPr>
            <w:tcW w:type="dxa" w:w="1500"/>
          </w:tcPr>
          <w:p>
            <w:r>
              <w:rPr>
                <w:sz w:val="20"/>
              </w:rPr>
              <w:t xml:space="preserve">17</w:t>
            </w:r>
          </w:p>
        </w:tc>
        <w:tc>
          <w:tcPr>
            <w:tcW w:type="dxa" w:w="1746"/>
          </w:tcPr>
          <w:p>
            <w:r>
              <w:rPr>
                <w:sz w:val="20"/>
              </w:rPr>
              <w:t xml:space="preserve">22</w:t>
            </w:r>
          </w:p>
        </w:tc>
      </w:tr>
      <w:tr>
        <w:trPr>
          <w:cantSplit/>
        </w:trPr>
        <w:tc>
          <w:tcPr>
            <w:tcW w:type="dxa" w:w="1300"/>
          </w:tcPr>
          <w:p>
            <w:r>
              <w:rPr>
                <w:sz w:val="20"/>
              </w:rPr>
              <w:t xml:space="preserve">tet(Q)</w:t>
            </w:r>
          </w:p>
        </w:tc>
        <w:tc>
          <w:tcPr>
            <w:tcW w:type="dxa" w:w="1800"/>
          </w:tcPr>
          <w:p>
            <w:r>
              <w:rPr>
                <w:sz w:val="20"/>
              </w:rPr>
              <w:t xml:space="preserve">about 29 + 22</w:t>
            </w:r>
          </w:p>
        </w:tc>
        <w:tc>
          <w:tcPr>
            <w:tcW w:type="dxa" w:w="1900"/>
          </w:tcPr>
          <w:p>
            <w:r>
              <w:rPr>
                <w:sz w:val="20"/>
              </w:rPr>
              <w:t xml:space="preserve">15</w:t>
            </w:r>
          </w:p>
        </w:tc>
        <w:tc>
          <w:tcPr>
            <w:tcW w:type="dxa" w:w="1500"/>
          </w:tcPr>
          <w:p>
            <w:r>
              <w:rPr>
                <w:sz w:val="20"/>
              </w:rPr>
              <w:t xml:space="preserve">47</w:t>
            </w:r>
          </w:p>
        </w:tc>
        <w:tc>
          <w:tcPr>
            <w:tcW w:type="dxa" w:w="1500"/>
          </w:tcPr>
          <w:p>
            <w:r>
              <w:rPr>
                <w:sz w:val="20"/>
              </w:rPr>
              <w:t xml:space="preserve">22</w:t>
            </w:r>
          </w:p>
        </w:tc>
        <w:tc>
          <w:tcPr>
            <w:tcW w:type="dxa" w:w="1746"/>
          </w:tcPr>
          <w:p>
            <w:r>
              <w:rPr>
                <w:sz w:val="20"/>
              </w:rPr>
              <w:t xml:space="preserve">51</w:t>
            </w:r>
          </w:p>
        </w:tc>
      </w:tr>
      <w:tr>
        <w:trPr>
          <w:cantSplit/>
        </w:trPr>
        <w:tc>
          <w:tcPr>
            <w:tcW w:type="dxa" w:w="1300"/>
          </w:tcPr>
          <w:p>
            <w:r>
              <w:rPr>
                <w:sz w:val="20"/>
              </w:rPr>
              <w:t xml:space="preserve">tet(W)</w:t>
            </w:r>
          </w:p>
        </w:tc>
        <w:tc>
          <w:tcPr>
            <w:tcW w:type="dxa" w:w="1800"/>
          </w:tcPr>
          <w:p>
            <w:r>
              <w:rPr>
                <w:sz w:val="20"/>
              </w:rPr>
              <w:t xml:space="preserve">about 22</w:t>
            </w:r>
          </w:p>
        </w:tc>
        <w:tc>
          <w:tcPr>
            <w:tcW w:type="dxa" w:w="1900"/>
          </w:tcPr>
          <w:p>
            <w:r>
              <w:rPr>
                <w:sz w:val="20"/>
              </w:rPr>
              <w:t xml:space="preserve">14</w:t>
            </w:r>
          </w:p>
        </w:tc>
        <w:tc>
          <w:tcPr>
            <w:tcW w:type="dxa" w:w="1500"/>
          </w:tcPr>
          <w:p>
            <w:r>
              <w:rPr>
                <w:sz w:val="20"/>
              </w:rPr>
              <w:t xml:space="preserve">18</w:t>
            </w:r>
          </w:p>
        </w:tc>
        <w:tc>
          <w:tcPr>
            <w:tcW w:type="dxa" w:w="1500"/>
          </w:tcPr>
          <w:p>
            <w:r>
              <w:rPr>
                <w:sz w:val="20"/>
              </w:rPr>
              <w:t xml:space="preserve">14</w:t>
            </w:r>
          </w:p>
        </w:tc>
        <w:tc>
          <w:tcPr>
            <w:tcW w:type="dxa" w:w="1746"/>
          </w:tcPr>
          <w:p>
            <w:r>
              <w:rPr>
                <w:sz w:val="20"/>
              </w:rPr>
              <w:t xml:space="preserve">16</w:t>
            </w:r>
          </w:p>
        </w:tc>
      </w:tr>
      <w:tr>
        <w:trPr>
          <w:cantSplit/>
        </w:trPr>
        <w:tc>
          <w:tcPr>
            <w:tcW w:type="dxa" w:w="1300"/>
          </w:tcPr>
          <w:p>
            <w:r>
              <w:rPr>
                <w:sz w:val="20"/>
              </w:rPr>
              <w:t xml:space="preserve">erm(B)</w:t>
            </w:r>
          </w:p>
        </w:tc>
        <w:tc>
          <w:tcPr>
            <w:tcW w:type="dxa" w:w="1800"/>
          </w:tcPr>
          <w:p>
            <w:r>
              <w:rPr>
                <w:sz w:val="20"/>
              </w:rPr>
              <w:t xml:space="preserve">about 4 (too few to score)</w:t>
            </w:r>
          </w:p>
        </w:tc>
        <w:tc>
          <w:tcPr>
            <w:tcW w:type="dxa" w:w="1900"/>
          </w:tcPr>
          <w:p>
            <w:r>
              <w:rPr>
                <w:sz w:val="20"/>
              </w:rPr>
              <w:t xml:space="preserve">1</w:t>
            </w:r>
          </w:p>
        </w:tc>
        <w:tc>
          <w:tcPr>
            <w:tcW w:type="dxa" w:w="1500"/>
          </w:tcPr>
          <w:p>
            <w:r>
              <w:rPr>
                <w:sz w:val="20"/>
              </w:rPr>
              <w:t xml:space="preserve">2</w:t>
            </w:r>
          </w:p>
        </w:tc>
        <w:tc>
          <w:tcPr>
            <w:tcW w:type="dxa" w:w="1500"/>
          </w:tcPr>
          <w:p>
            <w:r>
              <w:rPr>
                <w:sz w:val="20"/>
              </w:rPr>
              <w:t xml:space="preserve">2</w:t>
            </w:r>
          </w:p>
        </w:tc>
        <w:tc>
          <w:tcPr>
            <w:tcW w:type="dxa" w:w="1746"/>
          </w:tcPr>
          <w:p>
            <w:r>
              <w:rPr>
                <w:sz w:val="20"/>
              </w:rPr>
              <w:t xml:space="preserve">2</w:t>
            </w:r>
          </w:p>
        </w:tc>
      </w:tr>
    </w:tbl>
    <w:p>
      <w:r>
        <w:t xml:space="preserve"/>
      </w:r>
    </w:p>
    <w:p>
      <w:r>
        <w:rPr>
          <w:b/>
        </w:rPr>
        <w:t xml:space="preserve">Naming the organism (Addendum A8).  </w:t>
      </w:r>
      <w:r>
        <w:t>Finding a gene family is one thing; saying which organism carries it is another. For each read that supported a gene family the project took the species that the main classifier (Kraken2) had already given to the same read, and compared it with the true organism. The true organism is known only because this is a mock: the project mapped just those reads to the supplier’s genomes. Before running anything the project wrote down what the project expected and committed it (Addendum A8), then ran the practice pool, then the exam pool once. A gene counted as “named” if at least three of its reads carried the right species.</w:t>
      </w:r>
    </w:p>
    <w:tbl>
      <w:tblPr>
        <w:tblStyle w:val="TableGrid"/>
        <w:tblW w:type="auto" w:w="0"/>
        <w:tblLayout w:type="fixed"/>
        <w:tblLook w:firstColumn="1" w:firstRow="1" w:lastColumn="0" w:lastRow="0" w:noHBand="0" w:noVBand="1" w:val="04A0"/>
      </w:tblPr>
      <w:tblGrid>
        <w:gridCol w:w="3900"/>
        <w:gridCol w:w="2900"/>
        <w:gridCol w:w="2946"/>
      </w:tblGrid>
      <w:tr>
        <w:trPr>
          <w:cantSplit/>
        </w:trPr>
        <w:tc>
          <w:tcPr>
            <w:tcW w:type="dxa" w:w="3900"/>
            <w:shd w:val="clear" w:fill="D9E4F2"/>
          </w:tcPr>
          <w:p>
            <w:r>
              <w:rPr>
                <w:b/>
                <w:sz w:val="20"/>
              </w:rPr>
              <w:t xml:space="preserve">Gene and true carrier</w:t>
            </w:r>
          </w:p>
        </w:tc>
        <w:tc>
          <w:tcPr>
            <w:tcW w:type="dxa" w:w="2900"/>
            <w:shd w:val="clear" w:fill="D9E4F2"/>
          </w:tcPr>
          <w:p>
            <w:r>
              <w:rPr>
                <w:b/>
                <w:sz w:val="20"/>
              </w:rPr>
              <w:t xml:space="preserve">Practice pool: reads with the right species</w:t>
            </w:r>
          </w:p>
        </w:tc>
        <w:tc>
          <w:tcPr>
            <w:tcW w:type="dxa" w:w="2946"/>
            <w:shd w:val="clear" w:fill="D9E4F2"/>
          </w:tcPr>
          <w:p>
            <w:r>
              <w:rPr>
                <w:b/>
                <w:sz w:val="20"/>
              </w:rPr>
              <w:t xml:space="preserve">Exam pool: reads with the right species</w:t>
            </w:r>
          </w:p>
        </w:tc>
      </w:tr>
      <w:tr>
        <w:trPr>
          <w:cantSplit/>
        </w:trPr>
        <w:tc>
          <w:tcPr>
            <w:tcW w:type="dxa" w:w="3900"/>
          </w:tcPr>
          <w:p>
            <w:r>
              <w:rPr>
                <w:sz w:val="20"/>
              </w:rPr>
              <w:t xml:space="preserve">cepA, Bacteroides fragilis</w:t>
            </w:r>
          </w:p>
        </w:tc>
        <w:tc>
          <w:tcPr>
            <w:tcW w:type="dxa" w:w="2900"/>
          </w:tcPr>
          <w:p>
            <w:r>
              <w:rPr>
                <w:sz w:val="20"/>
              </w:rPr>
              <w:t xml:space="preserve">34 of 34</w:t>
            </w:r>
          </w:p>
        </w:tc>
        <w:tc>
          <w:tcPr>
            <w:tcW w:type="dxa" w:w="2946"/>
          </w:tcPr>
          <w:p>
            <w:r>
              <w:rPr>
                <w:sz w:val="20"/>
              </w:rPr>
              <w:t xml:space="preserve">22 of 22</w:t>
            </w:r>
          </w:p>
        </w:tc>
      </w:tr>
      <w:tr>
        <w:trPr>
          <w:cantSplit/>
        </w:trPr>
        <w:tc>
          <w:tcPr>
            <w:tcW w:type="dxa" w:w="3900"/>
          </w:tcPr>
          <w:p>
            <w:r>
              <w:rPr>
                <w:sz w:val="20"/>
              </w:rPr>
              <w:t xml:space="preserve">tet(W), Faecalibacterium prausnitzii</w:t>
            </w:r>
          </w:p>
        </w:tc>
        <w:tc>
          <w:tcPr>
            <w:tcW w:type="dxa" w:w="2900"/>
          </w:tcPr>
          <w:p>
            <w:r>
              <w:rPr>
                <w:sz w:val="20"/>
              </w:rPr>
              <w:t xml:space="preserve">16 of 18</w:t>
            </w:r>
          </w:p>
        </w:tc>
        <w:tc>
          <w:tcPr>
            <w:tcW w:type="dxa" w:w="2946"/>
          </w:tcPr>
          <w:p>
            <w:r>
              <w:rPr>
                <w:sz w:val="20"/>
              </w:rPr>
              <w:t xml:space="preserve">16 of 16</w:t>
            </w:r>
          </w:p>
        </w:tc>
      </w:tr>
      <w:tr>
        <w:trPr>
          <w:cantSplit/>
        </w:trPr>
        <w:tc>
          <w:tcPr>
            <w:tcW w:type="dxa" w:w="3900"/>
          </w:tcPr>
          <w:p>
            <w:r>
              <w:rPr>
                <w:sz w:val="20"/>
              </w:rPr>
              <w:t xml:space="preserve">tet(Q), Bacteroides fragilis</w:t>
            </w:r>
          </w:p>
        </w:tc>
        <w:tc>
          <w:tcPr>
            <w:tcW w:type="dxa" w:w="2900"/>
          </w:tcPr>
          <w:p>
            <w:r>
              <w:rPr>
                <w:sz w:val="20"/>
              </w:rPr>
              <w:t xml:space="preserve">12 of 30</w:t>
            </w:r>
          </w:p>
        </w:tc>
        <w:tc>
          <w:tcPr>
            <w:tcW w:type="dxa" w:w="2946"/>
          </w:tcPr>
          <w:p>
            <w:r>
              <w:rPr>
                <w:sz w:val="20"/>
              </w:rPr>
              <w:t xml:space="preserve">7 of 25</w:t>
            </w:r>
          </w:p>
        </w:tc>
      </w:tr>
      <w:tr>
        <w:trPr>
          <w:cantSplit/>
        </w:trPr>
        <w:tc>
          <w:tcPr>
            <w:tcW w:type="dxa" w:w="3900"/>
          </w:tcPr>
          <w:p>
            <w:r>
              <w:rPr>
                <w:sz w:val="20"/>
              </w:rPr>
              <w:t xml:space="preserve">tet(Q), Prevotella corporis</w:t>
            </w:r>
          </w:p>
        </w:tc>
        <w:tc>
          <w:tcPr>
            <w:tcW w:type="dxa" w:w="2900"/>
          </w:tcPr>
          <w:p>
            <w:r>
              <w:rPr>
                <w:sz w:val="20"/>
              </w:rPr>
              <w:t xml:space="preserve">5 of 16</w:t>
            </w:r>
          </w:p>
        </w:tc>
        <w:tc>
          <w:tcPr>
            <w:tcW w:type="dxa" w:w="2946"/>
          </w:tcPr>
          <w:p>
            <w:r>
              <w:rPr>
                <w:sz w:val="20"/>
              </w:rPr>
              <w:t xml:space="preserve">5 of 22</w:t>
            </w:r>
          </w:p>
        </w:tc>
      </w:tr>
    </w:tbl>
    <w:p/>
    <w:p>
      <w:r>
        <w:rPr>
          <w:b/>
        </w:rPr>
        <w:t xml:space="preserve">What came out.  </w:t>
      </w:r>
      <w:r>
        <w:t>All four gene-and-species pairs were named on both pools, but the number that matters is how many individual reads were right. For cepA and tet(W) nearly every read was right. For tet(Q) most were not: the classifier often stopped at a group (the genus Bacteroides, a family or the order Bacteroidales) instead of the species, and for P. corporis some reads went to other related species (never to the other tet(Q) carrier, and never to a species outside the catalogue three or more times). Overall 68% of reads on the practice pool and 59% on the exam pool had the right species, against the stated expectations of 90% and 85%, so those predictions failed and the project says so. The other predictions (all four pairs named, no swaps between the two tet(Q) carriers, no invented carriers) held.</w:t>
      </w:r>
    </w:p>
    <w:p>
      <w:r>
        <w:rPr>
          <w:b/>
        </w:rPr>
        <w:t xml:space="preserve">Why tet(Q) loses its species (exploratory, practice pool only).  </w:t>
      </w:r>
      <w:r>
        <w:t>The project then asked what distinguished the tet(Q) reads that kept their species. Reads that stopped above species were shorter (median 8,164 letters against 13,926) and a larger share of each was gene (0.24 against 0.14). The simplest reading is that a read made mostly of a gene that sits in sequence shared by related species has little species-specific sequence left for the classifier. But it is not the whole story: among reads with a small gene share, tet(Q) reads still reached species less often (45%) than cepA reads (100%), so the sequence around tet(Q) carries less species signal than the sequence around cepA. Read length and gene share go together, so the project cannot separate them with these data. This is a pointer, from 40 reads on one pool, not a result.</w:t>
      </w:r>
    </w:p>
    <w:p>
      <w:r>
        <w:rPr>
          <w:b/>
        </w:rPr>
        <w:t xml:space="preserve">A direct look inside the reads (Addenda A9 and A10).  </w:t>
      </w:r>
      <w:r>
        <w:t>The classifier does not look at a read as a whole. It cuts it into overlapping windows of 35 letters, looks each one up in its database, and writes down what it found, in order along the read. The project combined that record with the place where the resistance gene sits on the read. The first measure the project registered, the share of all windows that point to the right species, failed all four of its predictions on the practice pool. The reason was simple once the project looked: 93 to 96% of the windows of a nanopore read find nothing at all, because most windows contain at least one sequencing error. The measure was almost zero everywhere, so it could not tell anything apart. The project kept it as failed, did not change it, and did not run it on the exam pool: running a measure the project already knew was blind would have added nothing and would have exposed the exam pool’s data before the project had a better question.</w:t>
      </w:r>
    </w:p>
    <w:p>
      <w:r>
        <w:rPr>
          <w:b/>
        </w:rPr>
        <w:t xml:space="preserve">A better question, answered on the exam pool.  </w:t>
      </w:r>
      <w:r>
        <w:t>Among the windows that do find something, what do they point to? On the practice pool the answer differed by gene. Inside cepA every window that found something pointed to the species. Inside tet(Q) and tet(W) none did: they pointed only to a wider group (a shared ancestor). That suggested a mechanism: the classifier adds up what its windows find along each branch of the tree, so a read reaches its species if it contains even a few species-specific windows, and stops at the wider group if it contains none. The project wrote this down as five predictions (Addendum A10), knew they would fit the practice pool because the project had built them from it, and scored them once on the exam pool. All five were met: the rule “reaches species if and only if the read holds at least one species-specific window” was right for 85 of 86 reads; 34 of 48 tet(Q) reads held none, against 0 of 22 cepA reads; and the species-specific share of the windows that found something was as follows.</w:t>
      </w:r>
    </w:p>
    <w:tbl>
      <w:tblPr>
        <w:tblStyle w:val="TableGrid"/>
        <w:tblW w:type="auto" w:w="0"/>
        <w:tblLayout w:type="fixed"/>
        <w:tblLook w:firstColumn="1" w:firstRow="1" w:lastColumn="0" w:lastRow="0" w:noHBand="0" w:noVBand="1" w:val="04A0"/>
      </w:tblPr>
      <w:tblGrid>
        <w:gridCol w:w="5000"/>
        <w:gridCol w:w="1500"/>
        <w:gridCol w:w="1500"/>
        <w:gridCol w:w="1746"/>
      </w:tblGrid>
      <w:tr>
        <w:trPr>
          <w:cantSplit/>
        </w:trPr>
        <w:tc>
          <w:tcPr>
            <w:tcW w:type="dxa" w:w="5000"/>
            <w:shd w:val="clear" w:fill="D9E4F2"/>
          </w:tcPr>
          <w:p>
            <w:r>
              <w:rPr>
                <w:b/>
                <w:sz w:val="20"/>
              </w:rPr>
              <w:t xml:space="preserve">Species-specific share of windows that found something (exam pool)</w:t>
            </w:r>
          </w:p>
        </w:tc>
        <w:tc>
          <w:tcPr>
            <w:tcW w:type="dxa" w:w="1500"/>
            <w:shd w:val="clear" w:fill="D9E4F2"/>
          </w:tcPr>
          <w:p>
            <w:r>
              <w:rPr>
                <w:b/>
                <w:sz w:val="20"/>
              </w:rPr>
              <w:t xml:space="preserve">cepA</w:t>
            </w:r>
          </w:p>
        </w:tc>
        <w:tc>
          <w:tcPr>
            <w:tcW w:type="dxa" w:w="1500"/>
            <w:shd w:val="clear" w:fill="D9E4F2"/>
          </w:tcPr>
          <w:p>
            <w:r>
              <w:rPr>
                <w:b/>
                <w:sz w:val="20"/>
              </w:rPr>
              <w:t xml:space="preserve">tet(Q)</w:t>
            </w:r>
          </w:p>
        </w:tc>
        <w:tc>
          <w:tcPr>
            <w:tcW w:type="dxa" w:w="1746"/>
            <w:shd w:val="clear" w:fill="D9E4F2"/>
          </w:tcPr>
          <w:p>
            <w:r>
              <w:rPr>
                <w:b/>
                <w:sz w:val="20"/>
              </w:rPr>
              <w:t xml:space="preserve">tet(W)</w:t>
            </w:r>
          </w:p>
        </w:tc>
      </w:tr>
      <w:tr>
        <w:trPr>
          <w:cantSplit/>
        </w:trPr>
        <w:tc>
          <w:tcPr>
            <w:tcW w:type="dxa" w:w="5000"/>
          </w:tcPr>
          <w:p>
            <w:r>
              <w:rPr>
                <w:sz w:val="20"/>
              </w:rPr>
              <w:t xml:space="preserve">Inside the gene</w:t>
            </w:r>
          </w:p>
        </w:tc>
        <w:tc>
          <w:tcPr>
            <w:tcW w:type="dxa" w:w="1500"/>
          </w:tcPr>
          <w:p>
            <w:r>
              <w:rPr>
                <w:sz w:val="20"/>
              </w:rPr>
              <w:t xml:space="preserve">1.000</w:t>
            </w:r>
          </w:p>
        </w:tc>
        <w:tc>
          <w:tcPr>
            <w:tcW w:type="dxa" w:w="1500"/>
          </w:tcPr>
          <w:p>
            <w:r>
              <w:rPr>
                <w:sz w:val="20"/>
              </w:rPr>
              <w:t xml:space="preserve">0.000</w:t>
            </w:r>
          </w:p>
        </w:tc>
        <w:tc>
          <w:tcPr>
            <w:tcW w:type="dxa" w:w="1746"/>
          </w:tcPr>
          <w:p>
            <w:r>
              <w:rPr>
                <w:sz w:val="20"/>
              </w:rPr>
              <w:t xml:space="preserve">0.000</w:t>
            </w:r>
          </w:p>
        </w:tc>
      </w:tr>
      <w:tr>
        <w:trPr>
          <w:cantSplit/>
        </w:trPr>
        <w:tc>
          <w:tcPr>
            <w:tcW w:type="dxa" w:w="5000"/>
          </w:tcPr>
          <w:p>
            <w:r>
              <w:rPr>
                <w:sz w:val="20"/>
              </w:rPr>
              <w:t xml:space="preserve">Within 2,000 windows of the gene</w:t>
            </w:r>
          </w:p>
        </w:tc>
        <w:tc>
          <w:tcPr>
            <w:tcW w:type="dxa" w:w="1500"/>
          </w:tcPr>
          <w:p>
            <w:r>
              <w:rPr>
                <w:sz w:val="20"/>
              </w:rPr>
              <w:t xml:space="preserve">0.976</w:t>
            </w:r>
          </w:p>
        </w:tc>
        <w:tc>
          <w:tcPr>
            <w:tcW w:type="dxa" w:w="1500"/>
          </w:tcPr>
          <w:p>
            <w:r>
              <w:rPr>
                <w:sz w:val="20"/>
              </w:rPr>
              <w:t xml:space="preserve">0.000</w:t>
            </w:r>
          </w:p>
        </w:tc>
        <w:tc>
          <w:tcPr>
            <w:tcW w:type="dxa" w:w="1746"/>
          </w:tcPr>
          <w:p>
            <w:r>
              <w:rPr>
                <w:sz w:val="20"/>
              </w:rPr>
              <w:t xml:space="preserve">0.103</w:t>
            </w:r>
          </w:p>
        </w:tc>
      </w:tr>
      <w:tr>
        <w:trPr>
          <w:cantSplit/>
        </w:trPr>
        <w:tc>
          <w:tcPr>
            <w:tcW w:type="dxa" w:w="5000"/>
          </w:tcPr>
          <w:p>
            <w:r>
              <w:rPr>
                <w:sz w:val="20"/>
              </w:rPr>
              <w:t xml:space="preserve">Further away</w:t>
            </w:r>
          </w:p>
        </w:tc>
        <w:tc>
          <w:tcPr>
            <w:tcW w:type="dxa" w:w="1500"/>
          </w:tcPr>
          <w:p>
            <w:r>
              <w:rPr>
                <w:sz w:val="20"/>
              </w:rPr>
              <w:t xml:space="preserve">0.857</w:t>
            </w:r>
          </w:p>
        </w:tc>
        <w:tc>
          <w:tcPr>
            <w:tcW w:type="dxa" w:w="1500"/>
          </w:tcPr>
          <w:p>
            <w:r>
              <w:rPr>
                <w:sz w:val="20"/>
              </w:rPr>
              <w:t xml:space="preserve">0.097</w:t>
            </w:r>
          </w:p>
        </w:tc>
        <w:tc>
          <w:tcPr>
            <w:tcW w:type="dxa" w:w="1746"/>
          </w:tcPr>
          <w:p>
            <w:r>
              <w:rPr>
                <w:sz w:val="20"/>
              </w:rPr>
              <w:t xml:space="preserve">0.242</w:t>
            </w:r>
          </w:p>
        </w:tc>
      </w:tr>
    </w:tbl>
    <w:p/>
    <w:p>
      <w:r>
        <w:rPr>
          <w:b/>
        </w:rPr>
        <w:t xml:space="preserve">What this means, and what it does not.  </w:t>
      </w:r>
      <w:r>
        <w:t>In this mock community, whether a read can be named to its species depends on the gene: cepA, a gene that belongs to Bacteroides fragilis, carries its own species’ signal, while the letters of tet(Q) and tet(W), genes that are shared between related bacteria, do not. For tet(Q) the missing signal reaches at least 2,000 windows on both sides of the gene and comes back only far away, which fits a gene sitting inside a larger stretch of DNA shared between species, such as a mobile element. The project then checked in the genomes themselves (an exploratory look that uses no reads): around tet(Q), the Bacteroides fragilis and Prevotella corporis genomes share about 20 thousand letters at about 95% identity, nothing around cepA is shared with any other genome, and the stretch around tet(Q) has a different GC content (about 50%) from its host genomes (43 and 44%). That supports a gene sitting inside DNA shared between species. The project did not look for the genes that make DNA mobile (such as integrases), so it is still not shown that this is a mobile element. For tet(W) nothing in the mock is shared, so its missing signal must come from other organisms in the classifier’s database, which the project did not examine. The exam-pool result is a replication of an idea built from practice-pool data, not an independent discovery; the two pools come from one run, the numbers are small, and the answer for a real sample, with no known genomes, is not tested.</w:t>
      </w:r>
    </w:p>
    <w:p>
      <w:r>
        <w:rPr>
          <w:b/>
        </w:rPr>
        <w:t xml:space="preserve">What this adds, and its limits.  </w:t>
      </w:r>
      <w:r>
        <w:t>In a mock community with known genomes, the species of the read can name the carrier of some genes (cepA, tet(W)) and not reliably of others (tet(Q)). A real sample has no supplier genomes to give the answer, and a mock of 21 genomes is easier than a real sample. One tet(Q) read on the exam pool truly came from Veillonella rogosae, which is not a catalogue carrier. The project looked at it afterwards (an exploratory check on that one read): the read is 25 thousand letters long, its first 12 thousand match the Prevotella corporis genome at 99% and carry tet(Q) itself, and the rest matches the Veillonella genome at 97%, with no gap where the two parts meet. The Veillonella reference genome has no tet(Q), so the catalogue did not miss a copy. To tell an element inserted in the sampled strain from a chimera made when two DNA molecules were joined during library preparation, the project looked at the same spot of the Veillonella genome in both pools: 152 other reads run straight through it and none is broken there. So the read is most probably a chimera. The project had first predicted an insertion, and that prediction was not met as the project had defined it; the second prediction, a chimera, was met. A chimeric read is not surprising in a large library, and it changes no count. Three families make this a worked example, not an accuracy figure.</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first counts for tet(Q) and tet(W) were well below what the project expected, and the corrected counts are much closer (the paragraphs above say why). The corrected run on the exam pool was planned around results the project had already seen on the practice pool, so it shows that the corrected procedure behaves consistently within the same sequencing run. It is not an independent test, and three gene families are not a representative accuracy test. Most importantly, finding sequence that matches a resistance gene does not tell you which organism carries it (the organism test above works only because the mock’s genomes are known),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Can you say, for any resistance result, what the truth was, whether the gene could be seen at all (E), and what level it is (family, variant, or carrier organism)? And what did the project's own naming rule do to the cepA result?</w:t>
            </w:r>
          </w:p>
        </w:tc>
      </w:tr>
    </w:tbl>
    <w:p>
      <w:r>
        <w:t xml:space="preserve"/>
      </w:r>
    </w:p>
    <w:p>
      <w:pPr>
        <w:pStyle w:val="Heading2"/>
      </w:pPr>
      <w:r>
        <w:t>5.7 What the project takes away, and what the project still does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in the reads differs from the label. </w:t>
      </w:r>
      <w:r>
        <w:t>Species counts depart from the manufacturer’s theoretical composition, and the read-by-read comparison (5.4) shows that most of that is already present in the reads themselves, before classification, so it is not mainly a software effect. Whether it reflects the true composition of the tube, the DNA extraction or the library preparation cannot be separated with one sample.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(the composition of the sequenced lot, which is unknown,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worked example, not a representative accuracy test), a naming rule and an identity measure that the project had to correct after seeing the practice results, and the same one-run pools.</w:t>
      </w:r>
    </w:p>
    <w:p>
      <w:pPr>
        <w:pStyle w:val="ListBullet"/>
      </w:pPr>
      <w:r>
        <w:rPr>
          <w:b/>
        </w:rPr>
        <w:t>A quick estimate is not a measurement. In the resistance pilot a number from a mapper’s fast output looked like a measurement and set a threshold. Three small exploratory checks, each with its question written first, found the cause; a registered addendum corrected it without erasing the earlier result. The habit to keep: check what a number really is before building a rule on it.</w:t>
      </w:r>
    </w:p>
    <w:p>
      <w:pPr>
        <w:pStyle w:val="ListBullet"/>
      </w:pPr>
      <w:r>
        <w:rPr>
          <w:b/>
        </w:rPr>
        <w:t xml:space="preserve">Finding a gene is easier than naming its carrier.  </w:t>
      </w:r>
      <w:r>
        <w:t xml:space="preserve">In the mock the species of the read named the carrier for cepA and tet(W) but often stopped at a group of related species for tet(Q), a gene that sits in shared sequence. Report detection and attribution as separate levels, and expect attribution to depend on the gene.</w:t>
      </w:r>
      <w:r>
        <w:t xml:space="preserve"> The project could see why inside the reads: the gene’s own letters carried no species-specific signal. And a lesson from the same work: a measure that looks sensible can be blind (the first one, counting all windows, was); look at what it is made of before you predict anything with it.</w:t>
      </w:r>
    </w:p>
    <w:p>
      <w:pPr>
        <w:pStyle w:val="ListBullet"/>
      </w:pPr>
      <w:r>
        <w:rPr>
          <w:b/>
        </w:rPr>
        <w:t xml:space="preserve">A negative result needs a positive control.  </w:t>
      </w:r>
      <w:r>
        <w:t>When the project looked at the genomes, the first run reported that nothing around tet(Q) was shared with any other genome, not even the gene itself, which cannot be true: both species carry it. A default setting of the alignment tool had hidden every short alignment beneath a long one. The project kept the first run, fixed the setting, repeated the run and reported both.</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A7): a reference catalogue from the supplier genomes, one read-level search, a naming problem found and fixed in the open, the exam pool scored once with all five predictions met, then a measuring problem (read identity) found by three small checks and corrected in Addendum A7, again with every prediction met (19 October); Addendum A8, registered before the run and scored once on the exam pool (four of five predictions met), asking whether the carrier organism can be named from the same reads in the mock, and a small exploratory check of why tet(Q) reads lose their species (19 October); then Addendum A10 on why tet(Q) reads lose their species (a first measure, A9, failed because it was insensitive and was reported as failed; A10 was scored once on the exam pool with all five predictions met); an exploratory look at the genomes around tet(Q), cepA and tet(W) (a first run was void because of a tool setting and was corrected in the open); plan at revision 14; a Nextflow wrapper of the core path checked against the plain scripts (19 October); a certificate of analysis for a later lot obtained (20 October); decisions D1–D27 recorded</w:t>
            </w:r>
          </w:p>
        </w:tc>
        <w:tc>
          <w:tcPr>
            <w:tcW w:type="dxa" w:w="4706"/>
          </w:tcPr>
          <w:p>
            <w:r>
              <w:rPr>
                <w:sz w:val="20"/>
              </w:rPr>
              <w:t>The lot number and the basecalling model tier (the study authors did not reply to the email of 19 October; the certificate obtained, for lot 270128, is for a later lot, so the sequenced lot stays unknown); resistance work beyond the pilot (assembly, naming the carrier species outside the mock (A8 tested it only there, where the genomes are known), point mutations, more genes in the database); Nextflow wrapping of the Sylph, database and resistance-gene steps (only the core path is wrapped); a second library or run, which would need its own registered addendum; a base-share view of the 16 GB and full-index Kraken2 runs (decided against, because it would need a repeat cloud run)</w:t>
            </w:r>
          </w:p>
        </w:tc>
      </w:tr>
    </w:tbl>
    <w:p/>
    <w:p>
      <w:r>
        <w:rPr>
          <w:b w:val="0"/>
          <w:i w:val="0"/>
        </w:rPr>
        <w:t>Next: no further step is needed to close the project. The study authors did not reply about the lot number and the basecalling model tier by 26 October 2026, and the question is treated as closed; whether a further test is worth it is a separate decision (a second library or run would need its own registered addendum; so would any resistance work beyond the pilot, including a search for the genes that make DNA mobile in the stretch shared around tet(Q)); the core path is already wrapped in Nextflow.</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Gizynski</dc:creator>
  <cp:keywords/>
  <dc:description>generated by python-docx</dc:description>
  <cp:lastModifiedBy/>
  <cp:revision>1</cp:revision>
  <dcterms:created xsi:type="dcterms:W3CDTF">2013-12-23T23:15:00Z</dcterms:created>
  <dcterms:modified xsi:type="dcterms:W3CDTF">2013-12-23T23:15:00Z</dcterms:modified>
  <cp:category/>
</cp:coreProperties>
</file>