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8"/>
        </w:rPr>
        <w:t>Nanopore Metagenomics: A Beginner’s Workflow Guide</w:t>
      </w:r>
    </w:p>
    <w:p>
      <w:r>
        <w:rPr>
          <w:b w:val="0"/>
          <w:i/>
        </w:rPr>
        <w:t>Companion to the project plan “Nanopore Metagenomics for Pathogen and AMR Profiling” (revision 9)</w:t>
      </w:r>
    </w:p>
    <w:p>
      <w:r>
        <w:rPr>
          <w:b w:val="0"/>
          <w:i/>
        </w:rPr>
        <w:t>Version 7 • 19 October 2026 • Research use only; not clinically validated</w:t>
      </w:r>
    </w:p>
    <w:p>
      <w:pPr>
        <w:pStyle w:val="Heading1"/>
      </w:pPr>
      <w:r>
        <w:t>How to use this guide</w:t>
      </w:r>
    </w:p>
    <w:p>
      <w:r>
        <w:rPr>
          <w:b w:val="0"/>
          <w:i w:val="0"/>
        </w:rPr>
        <w:t>This guide explains, step by step, how a nanopore metagenomics analysis works and why each step is done the way it is in this project. It assumes you are comfortable with basic biology (DNA, species, genes) but have never analysed sequencing data. You do not need to know the command line to follow the reasoning; the commands live in the project repository, and this guide explains what they are doing. This is a conceptual guide: it explains what is done and why. To repeat the analysis, use the README and the scripts in the repository; each script documents its arguments in its header and with --help.</w:t>
      </w:r>
    </w:p>
    <w:p>
      <w:r>
        <w:rPr>
          <w:b w:val="0"/>
          <w:i w:val="0"/>
        </w:rPr>
        <w:t>Each step has the same layout: what the step is, why we do it, how we do it here, what can go wrong, and a check before moving on. If you only have ten minutes, read “The big picture”, the glossary, section 4 (thresholds explained from scratch), section 5 (what the experiments showed) and “Nine habits that prevent most mistakes”.</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note on honesty.  </w:t>
            </w:r>
            <w:r>
              <w:t>Where a fact in this project has been checked against a primary record (for example the ENA run record), the guide says so. Where it has not (for example the exact composition of the mock community, or the chemistry and basecaller), the guide says “unverified”. That habit, separating what is checked from what is assumed, is the most important skill in this work.</w:t>
            </w:r>
          </w:p>
        </w:tc>
      </w:tr>
    </w:tbl>
    <w:p/>
    <w:p>
      <w:pPr>
        <w:pStyle w:val="Heading1"/>
      </w:pPr>
      <w:r>
        <w:t>1. The big picture</w:t>
      </w:r>
    </w:p>
    <w:p>
      <w:r>
        <w:rPr>
          <w:b w:val="0"/>
          <w:i w:val="0"/>
        </w:rPr>
        <w:t>Imagine you have a sample, for example a tube containing a mixture of microbes, and you want to know who is in it and whether any of them carry antibiotic-resistance genes. Metagenomics means sequencing all the DNA in the sample without first isolating or targeting any one organism, then working out from the DNA what was there.</w:t>
      </w:r>
    </w:p>
    <w:p>
      <w:r>
        <w:rPr>
          <w:b w:val="0"/>
          <w:i w:val="0"/>
        </w:rPr>
        <w:t>The workflow has a simple shape:</w:t>
      </w:r>
    </w:p>
    <w:p>
      <w:pPr>
        <w:pStyle w:val="ListBullet"/>
      </w:pPr>
      <w:r>
        <w:rPr>
          <w:b/>
        </w:rPr>
        <w:t>Sample → DNA → reads.</w:t>
      </w:r>
      <w:r>
        <w:t xml:space="preserve"> A sequencer reads the DNA in many pieces. Each piece’s sequence is called a read. A nanopore sequencer produces long reads (here about 5,500 bases on average), which is useful because a long read contains more information about where it came from.</w:t>
      </w:r>
    </w:p>
    <w:p>
      <w:pPr>
        <w:pStyle w:val="ListBullet"/>
      </w:pPr>
      <w:r>
        <w:rPr>
          <w:b/>
        </w:rPr>
        <w:t>Reads → who is there.</w:t>
      </w:r>
      <w:r>
        <w:t xml:space="preserve"> Software compares each read with a reference database of known genomes and assigns it to a species (taxonomic classification).</w:t>
      </w:r>
    </w:p>
    <w:p>
      <w:pPr>
        <w:pStyle w:val="ListBullet"/>
      </w:pPr>
      <w:r>
        <w:rPr>
          <w:b/>
        </w:rPr>
        <w:t>Reads → what resistance is there.</w:t>
      </w:r>
      <w:r>
        <w:t xml:space="preserve"> Software looks for known resistance genes (AMR detection) and, harder, tries to say which organism carries them.</w:t>
      </w:r>
    </w:p>
    <w:p>
      <w:pPr>
        <w:pStyle w:val="ListBullet"/>
      </w:pPr>
      <w:r>
        <w:rPr>
          <w:b/>
        </w:rPr>
        <w:t>Results → how much can we trust them?</w:t>
      </w:r>
      <w:r>
        <w:t xml:space="preserve"> Only possible if we know the right answer in advance. That is why this project uses a mock community: a mixture made from known organisms in known proportions.</w:t>
      </w:r>
    </w:p>
    <w:p>
      <w:r>
        <w:rPr>
          <w:b w:val="0"/>
          <w:i w:val="0"/>
        </w:rPr>
        <w:t>The central idea of the project is benchmarking. Rather than just running a pipeline and trusting the output, we run it on data where the answer is known, measure how often it is right and wrong, and learn where it fails. The project’s goal is a defensible picture of performance and its limits, not a clinical assay.</w:t>
      </w:r>
    </w:p>
    <w:p>
      <w:r>
        <w:rPr>
          <w:b/>
        </w:rPr>
        <w:t xml:space="preserve">The whole workflow on one page</w:t>
      </w:r>
    </w:p>
    <w:tbl>
      <w:tblPr>
        <w:tblStyle w:val="TableGrid"/>
        <w:tblW w:type="auto" w:w="0"/>
        <w:tblLayout w:type="fixed"/>
        <w:tblLook w:firstColumn="1" w:firstRow="1" w:lastColumn="0" w:lastRow="0" w:noHBand="0" w:noVBand="1" w:val="04A0"/>
      </w:tblPr>
      <w:tblGrid>
        <w:gridCol w:w="1900"/>
        <w:gridCol w:w="5000"/>
        <w:gridCol w:w="2846"/>
      </w:tblGrid>
      <w:tr>
        <w:trPr>
          <w:cantSplit/>
        </w:trPr>
        <w:tc>
          <w:tcPr>
            <w:tcW w:type="dxa" w:w="1900"/>
            <w:shd w:val="clear" w:fill="D9E4F2"/>
          </w:tcPr>
          <w:p>
            <w:r>
              <w:rPr>
                <w:b/>
                <w:sz w:val="20"/>
              </w:rPr>
              <w:t xml:space="preserve">Stage</w:t>
            </w:r>
          </w:p>
        </w:tc>
        <w:tc>
          <w:tcPr>
            <w:tcW w:type="dxa" w:w="5000"/>
            <w:shd w:val="clear" w:fill="D9E4F2"/>
          </w:tcPr>
          <w:p>
            <w:r>
              <w:rPr>
                <w:b/>
                <w:sz w:val="20"/>
              </w:rPr>
              <w:t xml:space="preserve">What happens</w:t>
            </w:r>
          </w:p>
        </w:tc>
        <w:tc>
          <w:tcPr>
            <w:tcW w:type="dxa" w:w="2846"/>
            <w:shd w:val="clear" w:fill="D9E4F2"/>
          </w:tcPr>
          <w:p>
            <w:r>
              <w:rPr>
                <w:b/>
                <w:sz w:val="20"/>
              </w:rPr>
              <w:t xml:space="preserve">The question it answers</w:t>
            </w:r>
          </w:p>
        </w:tc>
      </w:tr>
      <w:tr>
        <w:trPr>
          <w:cantSplit/>
        </w:trPr>
        <w:tc>
          <w:tcPr>
            <w:tcW w:type="dxa" w:w="1900"/>
          </w:tcPr>
          <w:p>
            <w:r>
              <w:rPr>
                <w:sz w:val="20"/>
              </w:rPr>
              <w:t xml:space="preserve">1. Sample</w:t>
            </w:r>
          </w:p>
        </w:tc>
        <w:tc>
          <w:tcPr>
            <w:tcW w:type="dxa" w:w="5000"/>
          </w:tcPr>
          <w:p>
            <w:r>
              <w:rPr>
                <w:sz w:val="20"/>
              </w:rPr>
              <w:t xml:space="preserve">A tube of DNA from a mock community whose recipe is published.</w:t>
            </w:r>
          </w:p>
        </w:tc>
        <w:tc>
          <w:tcPr>
            <w:tcW w:type="dxa" w:w="2846"/>
          </w:tcPr>
          <w:p>
            <w:r>
              <w:rPr>
                <w:sz w:val="20"/>
              </w:rPr>
              <w:t xml:space="preserve">What should be in it?</w:t>
            </w:r>
          </w:p>
        </w:tc>
      </w:tr>
      <w:tr>
        <w:trPr>
          <w:cantSplit/>
        </w:trPr>
        <w:tc>
          <w:tcPr>
            <w:tcW w:type="dxa" w:w="1900"/>
          </w:tcPr>
          <w:p>
            <w:r>
              <w:rPr>
                <w:sz w:val="20"/>
              </w:rPr>
              <w:t xml:space="preserve">2. Sequencing</w:t>
            </w:r>
          </w:p>
        </w:tc>
        <w:tc>
          <w:tcPr>
            <w:tcW w:type="dxa" w:w="5000"/>
          </w:tcPr>
          <w:p>
            <w:r>
              <w:rPr>
                <w:sz w:val="20"/>
              </w:rPr>
              <w:t xml:space="preserve">Nanopore reads: long strings of letters (A, C, G, T), one per DNA fragment.</w:t>
            </w:r>
          </w:p>
        </w:tc>
        <w:tc>
          <w:tcPr>
            <w:tcW w:type="dxa" w:w="2846"/>
          </w:tcPr>
          <w:p>
            <w:r>
              <w:rPr>
                <w:sz w:val="20"/>
              </w:rPr>
              <w:t xml:space="preserve">What did the instrument actually read?</w:t>
            </w:r>
          </w:p>
        </w:tc>
      </w:tr>
      <w:tr>
        <w:trPr>
          <w:cantSplit/>
        </w:trPr>
        <w:tc>
          <w:tcPr>
            <w:tcW w:type="dxa" w:w="1900"/>
          </w:tcPr>
          <w:p>
            <w:r>
              <w:rPr>
                <w:sz w:val="20"/>
              </w:rPr>
              <w:t xml:space="preserve">3. Quality control</w:t>
            </w:r>
          </w:p>
        </w:tc>
        <w:tc>
          <w:tcPr>
            <w:tcW w:type="dxa" w:w="5000"/>
          </w:tcPr>
          <w:p>
            <w:r>
              <w:rPr>
                <w:sz w:val="20"/>
              </w:rPr>
              <w:t xml:space="preserve">Check read length, accuracy and that the two sets of reads are alike.</w:t>
            </w:r>
          </w:p>
        </w:tc>
        <w:tc>
          <w:tcPr>
            <w:tcW w:type="dxa" w:w="2846"/>
          </w:tcPr>
          <w:p>
            <w:r>
              <w:rPr>
                <w:sz w:val="20"/>
              </w:rPr>
              <w:t xml:space="preserve">Can we trust the reads?</w:t>
            </w:r>
          </w:p>
        </w:tc>
      </w:tr>
      <w:tr>
        <w:trPr>
          <w:cantSplit/>
        </w:trPr>
        <w:tc>
          <w:tcPr>
            <w:tcW w:type="dxa" w:w="1900"/>
          </w:tcPr>
          <w:p>
            <w:r>
              <w:rPr>
                <w:sz w:val="20"/>
              </w:rPr>
              <w:t xml:space="preserve">4. Classification</w:t>
            </w:r>
          </w:p>
        </w:tc>
        <w:tc>
          <w:tcPr>
            <w:tcW w:type="dxa" w:w="5000"/>
          </w:tcPr>
          <w:p>
            <w:r>
              <w:rPr>
                <w:sz w:val="20"/>
              </w:rPr>
              <w:t xml:space="preserve">Compare reads with a library of known genomes and give each a species name.</w:t>
            </w:r>
          </w:p>
        </w:tc>
        <w:tc>
          <w:tcPr>
            <w:tcW w:type="dxa" w:w="2846"/>
          </w:tcPr>
          <w:p>
            <w:r>
              <w:rPr>
                <w:sz w:val="20"/>
              </w:rPr>
              <w:t xml:space="preserve">Who is there?</w:t>
            </w:r>
          </w:p>
        </w:tc>
      </w:tr>
      <w:tr>
        <w:trPr>
          <w:cantSplit/>
        </w:trPr>
        <w:tc>
          <w:tcPr>
            <w:tcW w:type="dxa" w:w="1900"/>
          </w:tcPr>
          <w:p>
            <w:r>
              <w:rPr>
                <w:sz w:val="20"/>
              </w:rPr>
              <w:t xml:space="preserve">5. Benchmarking</w:t>
            </w:r>
          </w:p>
        </w:tc>
        <w:tc>
          <w:tcPr>
            <w:tcW w:type="dxa" w:w="5000"/>
          </w:tcPr>
          <w:p>
            <w:r>
              <w:rPr>
                <w:sz w:val="20"/>
              </w:rPr>
              <w:t xml:space="preserve">Compare the answer with the recipe: precision, recall, F1, Bray–Curtis.</w:t>
            </w:r>
          </w:p>
        </w:tc>
        <w:tc>
          <w:tcPr>
            <w:tcW w:type="dxa" w:w="2846"/>
          </w:tcPr>
          <w:p>
            <w:r>
              <w:rPr>
                <w:sz w:val="20"/>
              </w:rPr>
              <w:t xml:space="preserve">How right is it?</w:t>
            </w:r>
          </w:p>
        </w:tc>
      </w:tr>
      <w:tr>
        <w:trPr>
          <w:cantSplit/>
        </w:trPr>
        <w:tc>
          <w:tcPr>
            <w:tcW w:type="dxa" w:w="1900"/>
          </w:tcPr>
          <w:p>
            <w:r>
              <w:rPr>
                <w:sz w:val="20"/>
              </w:rPr>
              <w:t xml:space="preserve">6. Interpretation</w:t>
            </w:r>
          </w:p>
        </w:tc>
        <w:tc>
          <w:tcPr>
            <w:tcW w:type="dxa" w:w="5000"/>
          </w:tcPr>
          <w:p>
            <w:r>
              <w:rPr>
                <w:sz w:val="20"/>
              </w:rPr>
              <w:t xml:space="preserve">Decide what the result does and does not show.</w:t>
            </w:r>
          </w:p>
        </w:tc>
        <w:tc>
          <w:tcPr>
            <w:tcW w:type="dxa" w:w="2846"/>
          </w:tcPr>
          <w:p>
            <w:r>
              <w:rPr>
                <w:sz w:val="20"/>
              </w:rPr>
              <w:t xml:space="preserve">What can we safely claim?</w:t>
            </w:r>
          </w:p>
        </w:tc>
      </w:tr>
    </w:tbl>
    <w:p/>
    <w:p>
      <w:pPr>
        <w:pStyle w:val="Heading2"/>
      </w:pPr>
      <w:r>
        <w:t>What this project does not claim</w:t>
      </w:r>
    </w:p>
    <w:p>
      <w:pPr>
        <w:pStyle w:val="ListBullet"/>
      </w:pPr>
      <w:r>
        <w:t>It does not show clinical sensitivity or specificity, or usefulness for patients.</w:t>
      </w:r>
    </w:p>
    <w:p>
      <w:pPr>
        <w:pStyle w:val="ListBullet"/>
      </w:pPr>
      <w:r>
        <w:t>It does not test laboratory enrichment chemistry; it is a computational study.</w:t>
      </w:r>
    </w:p>
    <w:p>
      <w:pPr>
        <w:pStyle w:val="ListBullet"/>
      </w:pPr>
      <w:r>
        <w:t>It does not generalise beyond the chemistry and basecaller of the data used.</w:t>
      </w:r>
    </w:p>
    <w:p>
      <w:pPr>
        <w:pStyle w:val="ListBullet"/>
      </w:pPr>
      <w:r>
        <w:t>It does not link a resistance gene to an organism just because they appear together.</w:t>
      </w:r>
    </w:p>
    <w:p>
      <w:pPr>
        <w:pStyle w:val="Heading1"/>
      </w:pPr>
      <w:r>
        <w:t>2. Glossary</w:t>
      </w:r>
    </w:p>
    <w:tbl>
      <w:tblPr>
        <w:tblStyle w:val="TableGrid"/>
        <w:tblW w:type="auto" w:w="0"/>
        <w:tblLayout w:type="fixed"/>
        <w:tblLook w:firstColumn="1" w:firstRow="1" w:lastColumn="0" w:lastRow="0" w:noHBand="0" w:noVBand="1" w:val="04A0"/>
      </w:tblPr>
      <w:tblGrid>
        <w:gridCol w:w="4873"/>
        <w:gridCol w:w="4873"/>
      </w:tblGrid>
      <w:tr>
        <w:trPr>
          <w:cantSplit/>
        </w:trPr>
        <w:tc>
          <w:tcPr>
            <w:tcW w:type="dxa" w:w="2268"/>
            <w:shd w:val="clear" w:fill="D9E4F2"/>
          </w:tcPr>
          <w:p>
            <w:r/>
            <w:r>
              <w:rPr>
                <w:b/>
                <w:sz w:val="20"/>
              </w:rPr>
              <w:t>Term</w:t>
            </w:r>
          </w:p>
        </w:tc>
        <w:tc>
          <w:tcPr>
            <w:tcW w:type="dxa" w:w="7087"/>
            <w:shd w:val="clear" w:fill="D9E4F2"/>
          </w:tcPr>
          <w:p>
            <w:r/>
            <w:r>
              <w:rPr>
                <w:b/>
                <w:sz w:val="20"/>
              </w:rPr>
              <w:t>Plain meaning</w:t>
            </w:r>
          </w:p>
        </w:tc>
      </w:tr>
      <w:tr>
        <w:trPr>
          <w:cantSplit/>
        </w:trPr>
        <w:tc>
          <w:tcPr>
            <w:tcW w:type="dxa" w:w="2268"/>
          </w:tcPr>
          <w:p>
            <w:r/>
            <w:r>
              <w:rPr>
                <w:sz w:val="20"/>
              </w:rPr>
              <w:t>Read</w:t>
            </w:r>
          </w:p>
        </w:tc>
        <w:tc>
          <w:tcPr>
            <w:tcW w:type="dxa" w:w="7087"/>
          </w:tcPr>
          <w:p>
            <w:r/>
            <w:r>
              <w:rPr>
                <w:sz w:val="20"/>
              </w:rPr>
              <w:t>One continuous sequence produced by the sequencer for one DNA molecule (or fragment).</w:t>
            </w:r>
          </w:p>
        </w:tc>
      </w:tr>
      <w:tr>
        <w:trPr>
          <w:cantSplit/>
        </w:trPr>
        <w:tc>
          <w:tcPr>
            <w:tcW w:type="dxa" w:w="2268"/>
          </w:tcPr>
          <w:p>
            <w:r/>
            <w:r>
              <w:rPr>
                <w:sz w:val="20"/>
              </w:rPr>
              <w:t>FASTQ</w:t>
            </w:r>
          </w:p>
        </w:tc>
        <w:tc>
          <w:tcPr>
            <w:tcW w:type="dxa" w:w="7087"/>
          </w:tcPr>
          <w:p>
            <w:r/>
            <w:r>
              <w:rPr>
                <w:sz w:val="20"/>
              </w:rPr>
              <w:t>Text file format holding reads: an ID, the sequence, and a quality score for each base.</w:t>
            </w:r>
          </w:p>
        </w:tc>
      </w:tr>
      <w:tr>
        <w:trPr>
          <w:cantSplit/>
        </w:trPr>
        <w:tc>
          <w:tcPr>
            <w:tcW w:type="dxa" w:w="2268"/>
          </w:tcPr>
          <w:p>
            <w:r/>
            <w:r>
              <w:rPr>
                <w:sz w:val="20"/>
              </w:rPr>
              <w:t>Quality score (Q)</w:t>
            </w:r>
          </w:p>
        </w:tc>
        <w:tc>
          <w:tcPr>
            <w:tcW w:type="dxa" w:w="7087"/>
          </w:tcPr>
          <w:p>
            <w:r/>
            <w:r>
              <w:rPr>
                <w:sz w:val="20"/>
              </w:rPr>
              <w:t>A number per base saying how likely the base call is wrong. Q10 means about 1 error in 10; Q20 about 1 in 100.</w:t>
            </w:r>
          </w:p>
        </w:tc>
      </w:tr>
      <w:tr>
        <w:trPr>
          <w:cantSplit/>
        </w:trPr>
        <w:tc>
          <w:tcPr>
            <w:tcW w:type="dxa" w:w="2268"/>
          </w:tcPr>
          <w:p>
            <w:r/>
            <w:r>
              <w:rPr>
                <w:sz w:val="20"/>
              </w:rPr>
              <w:t>Basecaller</w:t>
            </w:r>
          </w:p>
        </w:tc>
        <w:tc>
          <w:tcPr>
            <w:tcW w:type="dxa" w:w="7087"/>
          </w:tcPr>
          <w:p>
            <w:r/>
            <w:r>
              <w:rPr>
                <w:sz w:val="20"/>
              </w:rPr>
              <w:t>Software that turns the raw electrical signal from the nanopore into bases. Different versions give different accuracy.</w:t>
            </w:r>
          </w:p>
        </w:tc>
      </w:tr>
      <w:tr>
        <w:trPr>
          <w:cantSplit/>
        </w:trPr>
        <w:tc>
          <w:tcPr>
            <w:tcW w:type="dxa" w:w="2268"/>
          </w:tcPr>
          <w:p>
            <w:r/>
            <w:r>
              <w:rPr>
                <w:sz w:val="20"/>
              </w:rPr>
              <w:t>Chemistry / kit / flow cell</w:t>
            </w:r>
          </w:p>
        </w:tc>
        <w:tc>
          <w:tcPr>
            <w:tcW w:type="dxa" w:w="7087"/>
          </w:tcPr>
          <w:p>
            <w:r/>
            <w:r>
              <w:rPr>
                <w:sz w:val="20"/>
              </w:rPr>
              <w:t>The library-preparation kit and the nanopore flow cell used. Both affect read accuracy, so we always record them.</w:t>
            </w:r>
          </w:p>
        </w:tc>
      </w:tr>
      <w:tr>
        <w:trPr>
          <w:cantSplit/>
        </w:trPr>
        <w:tc>
          <w:tcPr>
            <w:tcW w:type="dxa" w:w="2268"/>
          </w:tcPr>
          <w:p>
            <w:r/>
            <w:r>
              <w:rPr>
                <w:sz w:val="20"/>
              </w:rPr>
              <w:t>Depth / yield</w:t>
            </w:r>
          </w:p>
        </w:tc>
        <w:tc>
          <w:tcPr>
            <w:tcW w:type="dxa" w:w="7087"/>
          </w:tcPr>
          <w:p>
            <w:r>
              <w:rPr>
                <w:sz w:val="20"/>
              </w:rPr>
              <w:t>How much sequence you have in total, here measured in gigabases (Gb). It is not the same as the coverage of one genome (see Coverage). More depth means more reads from rare organisms.</w:t>
            </w:r>
          </w:p>
        </w:tc>
      </w:tr>
      <w:tr>
        <w:trPr>
          <w:cantSplit/>
        </w:trPr>
        <w:tc>
          <w:tcPr>
            <w:tcW w:type="dxa" w:w="2268"/>
          </w:tcPr>
          <w:p>
            <w:r/>
            <w:r>
              <w:rPr>
                <w:sz w:val="20"/>
              </w:rPr>
              <w:t>Mock community</w:t>
            </w:r>
          </w:p>
        </w:tc>
        <w:tc>
          <w:tcPr>
            <w:tcW w:type="dxa" w:w="7087"/>
          </w:tcPr>
          <w:p>
            <w:r/>
            <w:r>
              <w:rPr>
                <w:sz w:val="20"/>
              </w:rPr>
              <w:t>A mixture of known organisms in known proportions, sold as a standard. Used here as the “answer key”.</w:t>
            </w:r>
          </w:p>
        </w:tc>
      </w:tr>
      <w:tr>
        <w:trPr>
          <w:cantSplit/>
        </w:trPr>
        <w:tc>
          <w:tcPr>
            <w:tcW w:type="dxa" w:w="2268"/>
          </w:tcPr>
          <w:p>
            <w:r/>
            <w:r>
              <w:rPr>
                <w:sz w:val="20"/>
              </w:rPr>
              <w:t>Ground truth</w:t>
            </w:r>
          </w:p>
        </w:tc>
        <w:tc>
          <w:tcPr>
            <w:tcW w:type="dxa" w:w="7087"/>
          </w:tcPr>
          <w:p>
            <w:r>
              <w:rPr>
                <w:sz w:val="20"/>
              </w:rPr>
              <w:t>What is really in the sample, as established independently of the software being tested. Here the identities of the organisms are known; their exact relative amounts in this particular tube are not (only the manufacturer’s theoretical values are).</w:t>
            </w:r>
          </w:p>
        </w:tc>
      </w:tr>
      <w:tr>
        <w:trPr>
          <w:cantSplit/>
        </w:trPr>
        <w:tc>
          <w:tcPr>
            <w:tcW w:type="dxa" w:w="2268"/>
          </w:tcPr>
          <w:p>
            <w:r/>
            <w:r>
              <w:rPr>
                <w:sz w:val="20"/>
              </w:rPr>
              <w:t>Reference database</w:t>
            </w:r>
          </w:p>
        </w:tc>
        <w:tc>
          <w:tcPr>
            <w:tcW w:type="dxa" w:w="7087"/>
          </w:tcPr>
          <w:p>
            <w:r/>
            <w:r>
              <w:rPr>
                <w:sz w:val="20"/>
              </w:rPr>
              <w:t>The collection of known genomes (or genes) that reads are compared against. A species missing from it cannot be found.</w:t>
            </w:r>
          </w:p>
        </w:tc>
      </w:tr>
      <w:tr>
        <w:trPr>
          <w:cantSplit/>
        </w:trPr>
        <w:tc>
          <w:tcPr>
            <w:tcW w:type="dxa" w:w="2268"/>
          </w:tcPr>
          <w:p>
            <w:r/>
            <w:r>
              <w:rPr>
                <w:sz w:val="20"/>
              </w:rPr>
              <w:t>k-mer</w:t>
            </w:r>
          </w:p>
        </w:tc>
        <w:tc>
          <w:tcPr>
            <w:tcW w:type="dxa" w:w="7087"/>
          </w:tcPr>
          <w:p>
            <w:r/>
            <w:r>
              <w:rPr>
                <w:sz w:val="20"/>
              </w:rPr>
              <w:t>A short stretch of k bases. Kraken2 classifies reads by matching their k-mers against the database.</w:t>
            </w:r>
          </w:p>
        </w:tc>
      </w:tr>
      <w:tr>
        <w:trPr>
          <w:cantSplit/>
        </w:trPr>
        <w:tc>
          <w:tcPr>
            <w:tcW w:type="dxa" w:w="2268"/>
          </w:tcPr>
          <w:p>
            <w:r/>
            <w:r>
              <w:rPr>
                <w:sz w:val="20"/>
              </w:rPr>
              <w:t>Mapping / alignment</w:t>
            </w:r>
          </w:p>
        </w:tc>
        <w:tc>
          <w:tcPr>
            <w:tcW w:type="dxa" w:w="7087"/>
          </w:tcPr>
          <w:p>
            <w:r/>
            <w:r>
              <w:rPr>
                <w:sz w:val="20"/>
              </w:rPr>
              <w:t>Placing a read against a reference genome and recording where and how well it matches (minimap2 does this).</w:t>
            </w:r>
          </w:p>
        </w:tc>
      </w:tr>
      <w:tr>
        <w:trPr>
          <w:cantSplit/>
        </w:trPr>
        <w:tc>
          <w:tcPr>
            <w:tcW w:type="dxa" w:w="2268"/>
          </w:tcPr>
          <w:p>
            <w:r/>
            <w:r>
              <w:rPr>
                <w:sz w:val="20"/>
              </w:rPr>
              <w:t>Precision</w:t>
            </w:r>
          </w:p>
        </w:tc>
        <w:tc>
          <w:tcPr>
            <w:tcW w:type="dxa" w:w="7087"/>
          </w:tcPr>
          <w:p>
            <w:r/>
            <w:r>
              <w:rPr>
                <w:sz w:val="20"/>
              </w:rPr>
              <w:t>Of the species reported, the fraction that are really present. Low precision means many false positives.</w:t>
            </w:r>
          </w:p>
        </w:tc>
      </w:tr>
      <w:tr>
        <w:trPr>
          <w:cantSplit/>
        </w:trPr>
        <w:tc>
          <w:tcPr>
            <w:tcW w:type="dxa" w:w="2268"/>
          </w:tcPr>
          <w:p>
            <w:r/>
            <w:r>
              <w:rPr>
                <w:sz w:val="20"/>
              </w:rPr>
              <w:t>Recall (sensitivity)</w:t>
            </w:r>
          </w:p>
        </w:tc>
        <w:tc>
          <w:tcPr>
            <w:tcW w:type="dxa" w:w="7087"/>
          </w:tcPr>
          <w:p>
            <w:r/>
            <w:r>
              <w:rPr>
                <w:sz w:val="20"/>
              </w:rPr>
              <w:t>Of the species really present, the fraction that were reported.</w:t>
            </w:r>
          </w:p>
        </w:tc>
      </w:tr>
      <w:tr>
        <w:trPr>
          <w:cantSplit/>
        </w:trPr>
        <w:tc>
          <w:tcPr>
            <w:tcW w:type="dxa" w:w="2268"/>
          </w:tcPr>
          <w:p>
            <w:r/>
            <w:r>
              <w:rPr>
                <w:sz w:val="20"/>
              </w:rPr>
              <w:t>F1</w:t>
            </w:r>
          </w:p>
        </w:tc>
        <w:tc>
          <w:tcPr>
            <w:tcW w:type="dxa" w:w="7087"/>
          </w:tcPr>
          <w:p>
            <w:r/>
            <w:r>
              <w:rPr>
                <w:sz w:val="20"/>
              </w:rPr>
              <w:t>A single score combining precision and recall.</w:t>
            </w:r>
          </w:p>
        </w:tc>
      </w:tr>
      <w:tr>
        <w:trPr>
          <w:cantSplit/>
        </w:trPr>
        <w:tc>
          <w:tcPr>
            <w:tcW w:type="dxa" w:w="2268"/>
          </w:tcPr>
          <w:p>
            <w:r/>
            <w:r>
              <w:rPr>
                <w:sz w:val="20"/>
              </w:rPr>
              <w:t>False positive</w:t>
            </w:r>
          </w:p>
        </w:tc>
        <w:tc>
          <w:tcPr>
            <w:tcW w:type="dxa" w:w="7087"/>
          </w:tcPr>
          <w:p>
            <w:r>
              <w:rPr>
                <w:sz w:val="20"/>
              </w:rPr>
              <w:t>A species reported as present that is not really in the sample. A wrong abundance for a species that is present is an estimation error, not a false positive.</w:t>
            </w:r>
          </w:p>
        </w:tc>
      </w:tr>
      <w:tr>
        <w:trPr>
          <w:cantSplit/>
        </w:trPr>
        <w:tc>
          <w:tcPr>
            <w:tcW w:type="dxa" w:w="2268"/>
          </w:tcPr>
          <w:p>
            <w:r/>
            <w:r>
              <w:rPr>
                <w:sz w:val="20"/>
              </w:rPr>
              <w:t>AMR</w:t>
            </w:r>
          </w:p>
        </w:tc>
        <w:tc>
          <w:tcPr>
            <w:tcW w:type="dxa" w:w="7087"/>
          </w:tcPr>
          <w:p>
            <w:r/>
            <w:r>
              <w:rPr>
                <w:sz w:val="20"/>
              </w:rPr>
              <w:t>Antimicrobial resistance: genes or mutations that let a microbe survive an antibiotic.</w:t>
            </w:r>
          </w:p>
        </w:tc>
      </w:tr>
      <w:tr>
        <w:trPr>
          <w:cantSplit/>
        </w:trPr>
        <w:tc>
          <w:tcPr>
            <w:tcW w:type="dxa" w:w="2268"/>
          </w:tcPr>
          <w:p>
            <w:r/>
            <w:r>
              <w:rPr>
                <w:sz w:val="20"/>
              </w:rPr>
              <w:t>Gene family vs allele</w:t>
            </w:r>
          </w:p>
        </w:tc>
        <w:tc>
          <w:tcPr>
            <w:tcW w:type="dxa" w:w="7087"/>
          </w:tcPr>
          <w:p>
            <w:r/>
            <w:r>
              <w:rPr>
                <w:sz w:val="20"/>
              </w:rPr>
              <w:t>A family (for example a β-lactamase group) is a broad class; an allele is a specific variant, which may matter for which drugs it affects. Long reads make allele calls harder because of sequencing errors.</w:t>
            </w:r>
          </w:p>
        </w:tc>
      </w:tr>
      <w:tr>
        <w:trPr>
          <w:cantSplit/>
        </w:trPr>
        <w:tc>
          <w:tcPr>
            <w:tcW w:type="dxa" w:w="2268"/>
          </w:tcPr>
          <w:p>
            <w:r/>
            <w:r>
              <w:rPr>
                <w:sz w:val="20"/>
              </w:rPr>
              <w:t>Threshold</w:t>
            </w:r>
          </w:p>
        </w:tc>
        <w:tc>
          <w:tcPr>
            <w:tcW w:type="dxa" w:w="7087"/>
          </w:tcPr>
          <w:p>
            <w:r/>
            <w:r>
              <w:rPr>
                <w:sz w:val="20"/>
              </w:rPr>
              <w:t>The minimum evidence needed before we believe a species is really present. Here: at least a set share of all reads (0.08%). See section 4.</w:t>
            </w:r>
          </w:p>
        </w:tc>
      </w:tr>
      <w:tr>
        <w:trPr>
          <w:cantSplit/>
        </w:trPr>
        <w:tc>
          <w:tcPr>
            <w:tcW w:type="dxa" w:w="2268"/>
          </w:tcPr>
          <w:p>
            <w:r/>
            <w:r>
              <w:rPr>
                <w:sz w:val="20"/>
              </w:rPr>
              <w:t>Evaluable species</w:t>
            </w:r>
          </w:p>
        </w:tc>
        <w:tc>
          <w:tcPr>
            <w:tcW w:type="dxa" w:w="7087"/>
          </w:tcPr>
          <w:p>
            <w:r/>
            <w:r>
              <w:rPr>
                <w:sz w:val="20"/>
              </w:rPr>
              <w:t>A species expected to give enough reads at this depth (here at least 20) that we can fairly expect to see it. Rarer ones are listed separately, not counted as misses.</w:t>
            </w:r>
          </w:p>
        </w:tc>
      </w:tr>
      <w:tr>
        <w:trPr>
          <w:cantSplit/>
        </w:trPr>
        <w:tc>
          <w:tcPr>
            <w:tcW w:type="dxa" w:w="2268"/>
          </w:tcPr>
          <w:p>
            <w:r/>
            <w:r>
              <w:rPr>
                <w:sz w:val="20"/>
              </w:rPr>
              <w:t>Taxonomy ID (taxid)</w:t>
            </w:r>
          </w:p>
        </w:tc>
        <w:tc>
          <w:tcPr>
            <w:tcW w:type="dxa" w:w="7087"/>
          </w:tcPr>
          <w:p>
            <w:r/>
            <w:r>
              <w:rPr>
                <w:sz w:val="20"/>
              </w:rPr>
              <w:t>A number NCBI gives each taxon. Names change over time; the number is steadier, so we compare by taxid.</w:t>
            </w:r>
          </w:p>
        </w:tc>
      </w:tr>
      <w:tr>
        <w:trPr>
          <w:cantSplit/>
        </w:trPr>
        <w:tc>
          <w:tcPr>
            <w:tcW w:type="dxa" w:w="2268"/>
          </w:tcPr>
          <w:p>
            <w:r/>
            <w:r>
              <w:rPr>
                <w:sz w:val="20"/>
              </w:rPr>
              <w:t>Bootstrap</w:t>
            </w:r>
          </w:p>
        </w:tc>
        <w:tc>
          <w:tcPr>
            <w:tcW w:type="dxa" w:w="7087"/>
          </w:tcPr>
          <w:p>
            <w:r/>
            <w:r>
              <w:rPr>
                <w:sz w:val="20"/>
              </w:rPr>
              <w:t>Re-drawing the data many times (with replacement) to see how much a result would wobble by chance. Here we re-draw whole blocks of reads.</w:t>
            </w:r>
          </w:p>
        </w:tc>
      </w:tr>
      <w:tr>
        <w:trPr>
          <w:cantSplit/>
        </w:trPr>
        <w:tc>
          <w:tcPr>
            <w:tcW w:type="dxa" w:w="2268"/>
          </w:tcPr>
          <w:p>
            <w:r/>
            <w:r>
              <w:rPr>
                <w:sz w:val="20"/>
              </w:rPr>
              <w:t>False-positive audit</w:t>
            </w:r>
          </w:p>
        </w:tc>
        <w:tc>
          <w:tcPr>
            <w:tcW w:type="dxa" w:w="7087"/>
          </w:tcPr>
          <w:p>
            <w:r/>
            <w:r>
              <w:rPr>
                <w:sz w:val="20"/>
              </w:rPr>
              <w:t>Looking at every wrongly reported species by name and asking why it appeared.</w:t>
            </w:r>
          </w:p>
        </w:tc>
      </w:tr>
      <w:tr>
        <w:trPr>
          <w:cantSplit/>
        </w:trPr>
        <w:tc>
          <w:tcPr>
            <w:tcW w:type="dxa" w:w="2268"/>
          </w:tcPr>
          <w:p>
            <w:r/>
            <w:r>
              <w:rPr>
                <w:sz w:val="20"/>
              </w:rPr>
              <w:t>Held-out set</w:t>
            </w:r>
          </w:p>
        </w:tc>
        <w:tc>
          <w:tcPr>
            <w:tcW w:type="dxa" w:w="7087"/>
          </w:tcPr>
          <w:p>
            <w:r>
              <w:rPr>
                <w:sz w:val="20"/>
              </w:rPr>
              <w:t>Data kept aside and untouched while settings are tuned, then used once to report performance. In this project the exam pool was later reused by further registered experiments, so it is held out from tuning but no longer untouched.</w:t>
            </w:r>
          </w:p>
        </w:tc>
      </w:tr>
      <w:tr>
        <w:trPr>
          <w:cantSplit/>
        </w:trPr>
        <w:tc>
          <w:tcPr>
            <w:tcW w:type="dxa" w:w="2268"/>
          </w:tcPr>
          <w:p>
            <w:r/>
            <w:r>
              <w:rPr>
                <w:sz w:val="20"/>
              </w:rPr>
              <w:t>Container (Docker)</w:t>
            </w:r>
          </w:p>
        </w:tc>
        <w:tc>
          <w:tcPr>
            <w:tcW w:type="dxa" w:w="7087"/>
          </w:tcPr>
          <w:p>
            <w:r/>
            <w:r>
              <w:rPr>
                <w:sz w:val="20"/>
              </w:rPr>
              <w:t>A packaged copy of a tool with its exact version, so anyone can run the same thing.</w:t>
            </w:r>
          </w:p>
        </w:tc>
      </w:tr>
      <w:tr>
        <w:trPr>
          <w:cantSplit/>
        </w:trPr>
        <w:tc>
          <w:tcPr>
            <w:tcW w:type="dxa" w:w="2268"/>
          </w:tcPr>
          <w:p>
            <w:r/>
            <w:r>
              <w:rPr>
                <w:sz w:val="20"/>
              </w:rPr>
              <w:t>Nextflow</w:t>
            </w:r>
          </w:p>
        </w:tc>
        <w:tc>
          <w:tcPr>
            <w:tcW w:type="dxa" w:w="7087"/>
          </w:tcPr>
          <w:p>
            <w:r/>
            <w:r>
              <w:rPr>
                <w:sz w:val="20"/>
              </w:rPr>
              <w:t>A workflow manager that runs many steps, in containers, and can resume after interruption.</w:t>
            </w:r>
          </w:p>
        </w:tc>
      </w:tr>
      <w:tr>
        <w:trPr>
          <w:cantSplit/>
        </w:trPr>
        <w:tc>
          <w:tcPr>
            <w:tcW w:type="dxa" w:w="2268"/>
          </w:tcPr>
          <w:p>
            <w:r/>
            <w:r>
              <w:rPr>
                <w:sz w:val="20"/>
              </w:rPr>
              <w:t>Kraken2 confidence</w:t>
            </w:r>
          </w:p>
        </w:tc>
        <w:tc>
          <w:tcPr>
            <w:tcW w:type="dxa" w:w="7087"/>
          </w:tcPr>
          <w:p>
            <w:r>
              <w:rPr>
                <w:sz w:val="20"/>
              </w:rPr>
              <w:t>A strictness setting for classifying one read: the share of the read’s k-mers that must point to the called species or to a group below it. Higher means stricter. Not the same as a confidence interval.</w:t>
            </w:r>
          </w:p>
        </w:tc>
      </w:tr>
      <w:tr>
        <w:trPr>
          <w:cantSplit/>
        </w:trPr>
        <w:tc>
          <w:tcPr>
            <w:tcW w:type="dxa" w:w="2268"/>
          </w:tcPr>
          <w:p>
            <w:r/>
            <w:r>
              <w:rPr>
                <w:sz w:val="20"/>
              </w:rPr>
              <w:t>Confidence interval (95%)</w:t>
            </w:r>
          </w:p>
        </w:tc>
        <w:tc>
          <w:tcPr>
            <w:tcW w:type="dxa" w:w="7087"/>
          </w:tcPr>
          <w:p>
            <w:r/>
            <w:r>
              <w:rPr>
                <w:sz w:val="20"/>
              </w:rPr>
              <w:t>A range showing how much a result would wobble if the sample were drawn again. Here it comes from the block bootstrap. It measures uncertainty from sampling, not how sure the software was.</w:t>
            </w:r>
          </w:p>
        </w:tc>
      </w:tr>
      <w:tr>
        <w:trPr>
          <w:cantSplit/>
        </w:trPr>
        <w:tc>
          <w:tcPr>
            <w:tcW w:type="dxa" w:w="2268"/>
          </w:tcPr>
          <w:p>
            <w:r/>
            <w:r>
              <w:rPr>
                <w:sz w:val="20"/>
              </w:rPr>
              <w:t>Observed / expected</w:t>
            </w:r>
          </w:p>
        </w:tc>
        <w:tc>
          <w:tcPr>
            <w:tcW w:type="dxa" w:w="7087"/>
          </w:tcPr>
          <w:p>
            <w:r>
              <w:rPr>
                <w:sz w:val="20"/>
              </w:rPr>
              <w:t>Reads (or, where stated, bases) counted for a species divided by the amount its share of the DNA predicts. 1 is perfect; 0.4 means only 40% of the expected amount was found.</w:t>
            </w:r>
          </w:p>
        </w:tc>
      </w:tr>
      <w:tr>
        <w:trPr>
          <w:cantSplit/>
        </w:trPr>
        <w:tc>
          <w:tcPr>
            <w:tcW w:type="dxa" w:w="2268"/>
          </w:tcPr>
          <w:p>
            <w:r/>
            <w:r>
              <w:rPr>
                <w:sz w:val="20"/>
              </w:rPr>
              <w:t>Registration</w:t>
            </w:r>
          </w:p>
        </w:tc>
        <w:tc>
          <w:tcPr>
            <w:tcW w:type="dxa" w:w="7087"/>
          </w:tcPr>
          <w:p>
            <w:r/>
            <w:r>
              <w:rPr>
                <w:sz w:val="20"/>
              </w:rPr>
              <w:t>Writing down the experiment, the rules and the predictions, then committing and tagging them in Git before running, so nobody (including us) can quietly change them afterwards.</w:t>
            </w:r>
          </w:p>
        </w:tc>
      </w:tr>
      <w:tr>
        <w:trPr>
          <w:cantSplit/>
        </w:trPr>
        <w:tc>
          <w:tcPr>
            <w:tcW w:type="dxa" w:w="2268"/>
          </w:tcPr>
          <w:p>
            <w:r/>
            <w:r>
              <w:rPr>
                <w:sz w:val="20"/>
              </w:rPr>
              <w:t>Control arm</w:t>
            </w:r>
          </w:p>
        </w:tc>
        <w:tc>
          <w:tcPr>
            <w:tcW w:type="dxa" w:w="7087"/>
          </w:tcPr>
          <w:p>
            <w:r/>
            <w:r>
              <w:rPr>
                <w:sz w:val="20"/>
              </w:rPr>
              <w:t>A repeat of a result we already have, run under the new conditions, to show that the new conditions do not change the answer by themselves.</w:t>
            </w:r>
          </w:p>
        </w:tc>
      </w:tr>
      <w:tr>
        <w:trPr>
          <w:cantSplit/>
        </w:trPr>
        <w:tc>
          <w:tcPr>
            <w:tcW w:type="dxa" w:w="2268"/>
          </w:tcPr>
          <w:p>
            <w:r/>
            <w:r>
              <w:rPr>
                <w:sz w:val="20"/>
              </w:rPr>
              <w:t>Arm</w:t>
            </w:r>
          </w:p>
        </w:tc>
        <w:tc>
          <w:tcPr>
            <w:tcW w:type="dxa" w:w="7087"/>
          </w:tcPr>
          <w:p>
            <w:r/>
            <w:r>
              <w:rPr>
                <w:sz w:val="20"/>
              </w:rPr>
              <w:t>One variant in an experiment, for example one confidence setting or one database size.</w:t>
            </w:r>
          </w:p>
        </w:tc>
      </w:tr>
      <w:tr>
        <w:trPr>
          <w:cantSplit/>
        </w:trPr>
        <w:tc>
          <w:tcPr>
            <w:tcW w:type="dxa" w:w="2268"/>
          </w:tcPr>
          <w:p>
            <w:r>
              <w:rPr>
                <w:sz w:val="20"/>
              </w:rPr>
              <w:t>Bray–Curtis dissimilarity</w:t>
            </w:r>
          </w:p>
        </w:tc>
        <w:tc>
          <w:tcPr>
            <w:tcW w:type="dxa" w:w="7087"/>
          </w:tcPr>
          <w:p>
            <w:r>
              <w:rPr>
                <w:sz w:val="20"/>
              </w:rPr>
              <w:t>A score from 0 to 1 for how different two compositions are: 0 means identical, 1 means nothing in common. For each species keep the smaller of the two percentages, add these up (the overlap) and subtract from 1. See the box in Step 7.</w:t>
            </w:r>
          </w:p>
        </w:tc>
      </w:tr>
      <w:tr>
        <w:trPr>
          <w:cantSplit/>
        </w:trPr>
        <w:tc>
          <w:tcPr>
            <w:tcW w:type="dxa" w:w="2268"/>
          </w:tcPr>
          <w:p>
            <w:r>
              <w:rPr>
                <w:sz w:val="20"/>
              </w:rPr>
              <w:t>L1 error</w:t>
            </w:r>
          </w:p>
        </w:tc>
        <w:tc>
          <w:tcPr>
            <w:tcW w:type="dxa" w:w="7087"/>
          </w:tcPr>
          <w:p>
            <w:r>
              <w:rPr>
                <w:sz w:val="20"/>
              </w:rPr>
              <w:t>The sum, species by species, of the absolute differences between two compositions. For two lists that each add to 100%, Bray–Curtis is exactly half of it.</w:t>
            </w:r>
          </w:p>
        </w:tc>
      </w:tr>
      <w:tr>
        <w:trPr>
          <w:cantSplit/>
        </w:trPr>
        <w:tc>
          <w:tcPr>
            <w:tcW w:type="dxa" w:w="2268"/>
          </w:tcPr>
          <w:p>
            <w:r>
              <w:rPr>
                <w:sz w:val="20"/>
              </w:rPr>
              <w:t>Profiler</w:t>
            </w:r>
          </w:p>
        </w:tc>
        <w:tc>
          <w:tcPr>
            <w:tcW w:type="dxa" w:w="7087"/>
          </w:tcPr>
          <w:p>
            <w:r>
              <w:rPr>
                <w:sz w:val="20"/>
              </w:rPr>
              <w:t>A tool that estimates which organisms are present, and how much of each, for the whole sample, instead of giving a label to every read. Sylph is one.</w:t>
            </w:r>
          </w:p>
        </w:tc>
      </w:tr>
      <w:tr>
        <w:trPr>
          <w:cantSplit/>
        </w:trPr>
        <w:tc>
          <w:tcPr>
            <w:tcW w:type="dxa" w:w="2268"/>
          </w:tcPr>
          <w:p>
            <w:r>
              <w:rPr>
                <w:sz w:val="20"/>
              </w:rPr>
              <w:t>Sketch</w:t>
            </w:r>
          </w:p>
        </w:tc>
        <w:tc>
          <w:tcPr>
            <w:tcW w:type="dxa" w:w="7087"/>
          </w:tcPr>
          <w:p>
            <w:r>
              <w:rPr>
                <w:sz w:val="20"/>
              </w:rPr>
              <w:t>A small random sample of the k-mers of a genome (or of a set of reads), used as a fingerprint. Comparing fingerprints is much faster than comparing whole sequences.</w:t>
            </w:r>
          </w:p>
        </w:tc>
      </w:tr>
      <w:tr>
        <w:trPr>
          <w:cantSplit/>
        </w:trPr>
        <w:tc>
          <w:tcPr>
            <w:tcW w:type="dxa" w:w="2268"/>
          </w:tcPr>
          <w:p>
            <w:r>
              <w:rPr>
                <w:sz w:val="20"/>
              </w:rPr>
              <w:t>Containment</w:t>
            </w:r>
          </w:p>
        </w:tc>
        <w:tc>
          <w:tcPr>
            <w:tcW w:type="dxa" w:w="7087"/>
          </w:tcPr>
          <w:p>
            <w:r>
              <w:rPr>
                <w:sz w:val="20"/>
              </w:rPr>
              <w:t>The share of a genome’s fingerprint that is found in the reads. High containment means most of the genome’s k-mers are present in the sample.</w:t>
            </w:r>
          </w:p>
        </w:tc>
      </w:tr>
      <w:tr>
        <w:trPr>
          <w:cantSplit/>
        </w:trPr>
        <w:tc>
          <w:tcPr>
            <w:tcW w:type="dxa" w:w="2268"/>
          </w:tcPr>
          <w:p>
            <w:r>
              <w:rPr>
                <w:sz w:val="20"/>
              </w:rPr>
              <w:t>Coverage</w:t>
            </w:r>
          </w:p>
        </w:tc>
        <w:tc>
          <w:tcPr>
            <w:tcW w:type="dxa" w:w="7087"/>
          </w:tcPr>
          <w:p>
            <w:r>
              <w:rPr>
                <w:sz w:val="20"/>
              </w:rPr>
              <w:t>How many times, on average, each position of a genome is covered by aligned bases. Coverage 25 means the aligned bases add up to about 25 times the genome’s length, not exactly 25 reads at every position.</w:t>
            </w:r>
          </w:p>
        </w:tc>
      </w:tr>
      <w:tr>
        <w:trPr>
          <w:cantSplit/>
        </w:trPr>
        <w:tc>
          <w:tcPr>
            <w:tcW w:type="dxa" w:w="2268"/>
          </w:tcPr>
          <w:p>
            <w:r>
              <w:rPr>
                <w:sz w:val="20"/>
              </w:rPr>
              <w:t>ANI (average nucleotide identity)</w:t>
            </w:r>
          </w:p>
        </w:tc>
        <w:tc>
          <w:tcPr>
            <w:tcW w:type="dxa" w:w="7087"/>
          </w:tcPr>
          <w:p>
            <w:r>
              <w:rPr>
                <w:sz w:val="20"/>
              </w:rPr>
              <w:t>How closely two genomes match: the percentage of letters that agree over the parts that can be lined up. About 95% or more is the usual line for “same species”.</w:t>
            </w:r>
          </w:p>
        </w:tc>
      </w:tr>
      <w:tr>
        <w:trPr>
          <w:cantSplit/>
        </w:trPr>
        <w:tc>
          <w:tcPr>
            <w:tcW w:type="dxa" w:w="2268"/>
          </w:tcPr>
          <w:p>
            <w:r>
              <w:rPr>
                <w:sz w:val="20"/>
              </w:rPr>
              <w:t>GTDB</w:t>
            </w:r>
          </w:p>
        </w:tc>
        <w:tc>
          <w:tcPr>
            <w:tcW w:type="dxa" w:w="7087"/>
          </w:tcPr>
          <w:p>
            <w:r>
              <w:rPr>
                <w:sz w:val="20"/>
              </w:rPr>
              <w:t>Genome Taxonomy Database: a taxonomy built from genome similarity. It splits and renames many species, so its names differ from NCBI’s (for example Methanocatella smithii for Methanobrevibacter smithii). Sylph uses it.</w:t>
            </w:r>
          </w:p>
        </w:tc>
      </w:tr>
      <w:tr>
        <w:trPr>
          <w:cantSplit/>
        </w:trPr>
        <w:tc>
          <w:tcPr>
            <w:tcW w:type="dxa" w:w="2268"/>
          </w:tcPr>
          <w:p>
            <w:r>
              <w:rPr>
                <w:sz w:val="20"/>
              </w:rPr>
              <w:t>Crosswalk</w:t>
            </w:r>
          </w:p>
        </w:tc>
        <w:tc>
          <w:tcPr>
            <w:tcW w:type="dxa" w:w="7087"/>
          </w:tcPr>
          <w:p>
            <w:r>
              <w:rPr>
                <w:sz w:val="20"/>
              </w:rPr>
              <w:t>A translation table between two naming systems. Here: from each mock species (NCBI name) to the GTDB species that represents it, with the evidence for each row.</w:t>
            </w:r>
          </w:p>
        </w:tc>
      </w:tr>
      <w:tr>
        <w:trPr>
          <w:cantSplit/>
        </w:trPr>
        <w:tc>
          <w:tcPr>
            <w:tcW w:type="dxa" w:w="2268"/>
          </w:tcPr>
          <w:p>
            <w:r>
              <w:rPr>
                <w:sz w:val="20"/>
              </w:rPr>
              <w:t>fastANI</w:t>
            </w:r>
          </w:p>
        </w:tc>
        <w:tc>
          <w:tcPr>
            <w:tcW w:type="dxa" w:w="7087"/>
          </w:tcPr>
          <w:p>
            <w:r>
              <w:rPr>
                <w:sz w:val="20"/>
              </w:rPr>
              <w:t>A tool that measures ANI between two whole genomes. Used to build the crosswalk from the genomes alone, without looking at any reads.</w:t>
            </w:r>
          </w:p>
        </w:tc>
      </w:tr>
      <w:tr>
        <w:trPr>
          <w:cantSplit/>
        </w:trPr>
        <w:tc>
          <w:tcPr>
            <w:tcW w:type="dxa" w:w="2268"/>
          </w:tcPr>
          <w:p>
            <w:r>
              <w:rPr>
                <w:sz w:val="20"/>
              </w:rPr>
              <w:t>Sequence abundance and taxonomic abundance</w:t>
            </w:r>
          </w:p>
        </w:tc>
        <w:tc>
          <w:tcPr>
            <w:tcW w:type="dxa" w:w="7087"/>
          </w:tcPr>
          <w:p>
            <w:r>
              <w:rPr>
                <w:sz w:val="20"/>
              </w:rPr>
              <w:t>Sylph’s two measures. Sequence abundance is each genome’s share of the sequenced DNA (roughly its coverage times its genome length), so it is a share of bases, not of reads. Taxonomic abundance divides out genome size, so it approximates each genome’s share of genome copies (a stand-in for cells, since a cell can carry more than one copy). They differ for species with unusually large or small genomes.</w:t>
            </w:r>
          </w:p>
        </w:tc>
      </w:tr>
      <w:tr>
        <w:trPr>
          <w:cantSplit/>
        </w:trPr>
        <w:tc>
          <w:tcPr>
            <w:tcW w:type="dxa" w:w="2268"/>
          </w:tcPr>
          <w:p>
            <w:r>
              <w:rPr>
                <w:sz w:val="20"/>
              </w:rPr>
              <w:t>Share-basis observed / expected</w:t>
            </w:r>
          </w:p>
        </w:tc>
        <w:tc>
          <w:tcPr>
            <w:tcW w:type="dxa" w:w="7087"/>
          </w:tcPr>
          <w:p>
            <w:r>
              <w:rPr>
                <w:sz w:val="20"/>
              </w:rPr>
              <w:t>Sylph reports shares, not read counts. So observed/expected is a species’ share among the species called, divided by the share expected among those same species. If one species is over-counted, every other species’ value is pushed down.</w:t>
            </w:r>
          </w:p>
        </w:tc>
      </w:tr>
      <w:tr>
        <w:trPr>
          <w:cantSplit/>
        </w:trPr>
        <w:tc>
          <w:tcPr>
            <w:tcW w:type="dxa" w:w="2268"/>
          </w:tcPr>
          <w:p>
            <w:r>
              <w:rPr>
                <w:sz w:val="20"/>
              </w:rPr>
              <w:t>Prospective follow-up</w:t>
            </w:r>
          </w:p>
        </w:tc>
        <w:tc>
          <w:tcPr>
            <w:tcW w:type="dxa" w:w="7087"/>
          </w:tcPr>
          <w:p>
            <w:r>
              <w:rPr>
                <w:sz w:val="20"/>
              </w:rPr>
              <w:t>A test whose rules are written down before it is run, but on data that earlier tests have already used. Stronger than tuning on the data, weaker than fresh data.</w:t>
            </w:r>
          </w:p>
        </w:tc>
      </w:tr>
      <w:tr>
        <w:trPr>
          <w:cantSplit/>
        </w:trPr>
        <w:tc>
          <w:tcPr>
            <w:tcW w:type="dxa" w:w="2268"/>
          </w:tcPr>
          <w:p>
            <w:r>
              <w:rPr>
                <w:sz w:val="20"/>
              </w:rPr>
              <w:t>Bases (letters) and DNA share</w:t>
            </w:r>
          </w:p>
        </w:tc>
        <w:tc>
          <w:tcPr>
            <w:tcW w:type="dxa" w:w="7087"/>
          </w:tcPr>
          <w:p>
            <w:r>
              <w:rPr>
                <w:sz w:val="20"/>
              </w:rPr>
              <w:t>A read is a string of letters (A, C, G, T); its length in letters is the number of bases. A species’ share of the DNA is the total letters it contributes, not the number of reads. Counting reads and counting bases agree only if all species give reads of the same length.</w:t>
            </w:r>
          </w:p>
        </w:tc>
      </w:tr>
      <w:tr>
        <w:trPr>
          <w:cantSplit/>
        </w:trPr>
        <w:tc>
          <w:tcPr>
            <w:tcW w:type="dxa" w:w="2268"/>
          </w:tcPr>
          <w:p>
            <w:r>
              <w:rPr>
                <w:sz w:val="20"/>
              </w:rPr>
              <w:t>Read length</w:t>
            </w:r>
          </w:p>
        </w:tc>
        <w:tc>
          <w:tcPr>
            <w:tcW w:type="dxa" w:w="7087"/>
          </w:tcPr>
          <w:p>
            <w:r>
              <w:rPr>
                <w:sz w:val="20"/>
              </w:rPr>
              <w:t>The number of bases in a read. It varies from read to read and, in this data set, by species (about 1.9 thousand for L. fermentum to about 8 thousand for several others).</w:t>
            </w:r>
          </w:p>
        </w:tc>
      </w:tr>
      <w:tr>
        <w:trPr>
          <w:cantSplit/>
        </w:trPr>
        <w:tc>
          <w:tcPr>
            <w:tcW w:type="dxa" w:w="2268"/>
          </w:tcPr>
          <w:p>
            <w:r>
              <w:rPr>
                <w:sz w:val="20"/>
              </w:rPr>
              <w:t>Replication (within the same run)</w:t>
            </w:r>
          </w:p>
        </w:tc>
        <w:tc>
          <w:tcPr>
            <w:tcW w:type="dxa" w:w="7087"/>
          </w:tcPr>
          <w:p>
            <w:r>
              <w:rPr>
                <w:sz w:val="20"/>
              </w:rPr>
              <w:t>Repeating a check on a second sample taken from the same sequencing run. Agreement shows the result is not a fluke of one subsample, but it cannot show that the result holds for a different run, kit or laboratory.</w:t>
            </w:r>
          </w:p>
        </w:tc>
      </w:tr>
      <w:tr>
        <w:trPr>
          <w:cantSplit/>
        </w:trPr>
        <w:tc>
          <w:tcPr>
            <w:tcW w:type="dxa" w:w="2268"/>
          </w:tcPr>
          <w:p>
            <w:r>
              <w:rPr>
                <w:sz w:val="20"/>
              </w:rPr>
              <w:t>Resistance gene family</w:t>
            </w:r>
          </w:p>
        </w:tc>
        <w:tc>
          <w:tcPr>
            <w:tcW w:type="dxa" w:w="7087"/>
          </w:tcPr>
          <w:p>
            <w:r>
              <w:rPr>
                <w:sz w:val="20"/>
              </w:rPr>
              <w:t>A group of closely related genes that do the same job, named by a common label (for example tet(Q), a tetracycline-resistance gene). We looked for families, not exact variants.</w:t>
            </w:r>
          </w:p>
        </w:tc>
      </w:tr>
      <w:tr>
        <w:trPr>
          <w:cantSplit/>
        </w:trPr>
        <w:tc>
          <w:tcPr>
            <w:tcW w:type="dxa" w:w="2268"/>
          </w:tcPr>
          <w:p>
            <w:r>
              <w:rPr>
                <w:sz w:val="20"/>
              </w:rPr>
              <w:t>Reference catalogue</w:t>
            </w:r>
          </w:p>
        </w:tc>
        <w:tc>
          <w:tcPr>
            <w:tcW w:type="dxa" w:w="7087"/>
          </w:tcPr>
          <w:p>
            <w:r>
              <w:rPr>
                <w:sz w:val="20"/>
              </w:rPr>
              <w:t>The list of resistance genes we expect, made by running an annotation tool over the supplier’s genome sequences. It is a prediction from genomes, not a measurement of the sequenced tube.</w:t>
            </w:r>
          </w:p>
        </w:tc>
      </w:tr>
      <w:tr>
        <w:trPr>
          <w:cantSplit/>
        </w:trPr>
        <w:tc>
          <w:tcPr>
            <w:tcW w:type="dxa" w:w="2268"/>
          </w:tcPr>
          <w:p>
            <w:r>
              <w:rPr>
                <w:sz w:val="20"/>
              </w:rPr>
              <w:t>Expected supporting reads (E)</w:t>
            </w:r>
          </w:p>
        </w:tc>
        <w:tc>
          <w:tcPr>
            <w:tcW w:type="dxa" w:w="7087"/>
          </w:tcPr>
          <w:p>
            <w:r>
              <w:rPr>
                <w:sz w:val="20"/>
              </w:rPr>
              <w:t>An estimate of how many reads should overlap most of a gene, from how well the carrier species is covered. If E is small, missing the gene is not a failure of the method.</w:t>
            </w:r>
          </w:p>
        </w:tc>
      </w:tr>
      <w:tr>
        <w:trPr>
          <w:cantSplit/>
        </w:trPr>
        <w:tc>
          <w:tcPr>
            <w:tcW w:type="dxa" w:w="2268"/>
          </w:tcPr>
          <w:p>
            <w:r>
              <w:rPr>
                <w:sz w:val="20"/>
              </w:rPr>
              <w:t>Ambiguous read</w:t>
            </w:r>
          </w:p>
        </w:tc>
        <w:tc>
          <w:tcPr>
            <w:tcW w:type="dxa" w:w="7087"/>
          </w:tcPr>
          <w:p>
            <w:r>
              <w:rPr>
                <w:sz w:val="20"/>
              </w:rPr>
              <w:t>A read that matches two or more references almost equally well, so it cannot be given to one of them. It is counted separately and does not count as support.</w:t>
            </w:r>
          </w:p>
        </w:tc>
      </w:tr>
      <w:tr>
        <w:trPr>
          <w:cantSplit/>
        </w:trPr>
        <w:tc>
          <w:tcPr>
            <w:tcW w:type="dxa" w:w="2268"/>
          </w:tcPr>
          <w:p>
            <w:r>
              <w:rPr>
                <w:sz w:val="20"/>
              </w:rPr>
              <w:t>Naming artefact</w:t>
            </w:r>
          </w:p>
        </w:tc>
        <w:tc>
          <w:tcPr>
            <w:tcW w:type="dxa" w:w="7087"/>
          </w:tcPr>
          <w:p>
            <w:r>
              <w:rPr>
                <w:sz w:val="20"/>
              </w:rPr>
              <w:t>A result that comes from how things are labelled rather than from the biology. Here, one gene listed under four names split its reads into four groups.</w:t>
            </w:r>
          </w:p>
        </w:tc>
      </w:tr>
      <w:tr>
        <w:trPr>
          <w:cantSplit/>
        </w:trPr>
        <w:tc>
          <w:tcPr>
            <w:tcW w:type="dxa" w:w="2268"/>
          </w:tcPr>
          <w:p>
            <w:r>
              <w:rPr>
                <w:sz w:val="20"/>
              </w:rPr>
              <w:t>Worked example</w:t>
            </w:r>
          </w:p>
        </w:tc>
        <w:tc>
          <w:tcPr>
            <w:tcW w:type="dxa" w:w="7087"/>
          </w:tcPr>
          <w:p>
            <w:r>
              <w:rPr>
                <w:sz w:val="20"/>
              </w:rPr>
              <w:t>A result from so few cases that it shows how the method works but cannot be turned into a percentage or a general claim.</w:t>
            </w:r>
          </w:p>
        </w:tc>
      </w:tr>
    </w:tbl>
    <w:p/>
    <w:p>
      <w:pPr>
        <w:pStyle w:val="Heading1"/>
      </w:pPr>
      <w:r>
        <w:t>3. The workflow, step by step</w:t>
      </w:r>
    </w:p>
    <w:p>
      <w:pPr>
        <w:pStyle w:val="Heading2"/>
      </w:pPr>
      <w:r>
        <w:t>Step 0. Decide the question and choose a dataset</w:t>
      </w:r>
    </w:p>
    <w:p>
      <w:r>
        <w:rPr>
          <w:b/>
          <w:i w:val="0"/>
        </w:rPr>
        <w:t>What this step is</w:t>
      </w:r>
    </w:p>
    <w:p>
      <w:r>
        <w:rPr>
          <w:b w:val="0"/>
          <w:i w:val="0"/>
        </w:rPr>
        <w:t>Before touching data, write down what you want to learn and which dataset can answer it.</w:t>
      </w:r>
    </w:p>
    <w:p>
      <w:r>
        <w:rPr>
          <w:b/>
          <w:i w:val="0"/>
        </w:rPr>
        <w:t>Why we do it</w:t>
      </w:r>
    </w:p>
    <w:p>
      <w:r>
        <w:rPr>
          <w:b w:val="0"/>
          <w:i w:val="0"/>
        </w:rPr>
        <w:t>A pipeline can be built for any data, but a benchmark is only meaningful if the correct answer is known. If you pick data first and ask questions later, you tend to find whatever the data happens to show.</w:t>
      </w:r>
    </w:p>
    <w:p>
      <w:r>
        <w:rPr>
          <w:b/>
          <w:i w:val="0"/>
        </w:rPr>
        <w:t>How we do it in this project</w:t>
      </w:r>
    </w:p>
    <w:p>
      <w:r>
        <w:rPr>
          <w:b w:val="0"/>
          <w:i w:val="0"/>
        </w:rPr>
        <w:t>The questions are in the plan: how accurately can organisms be identified in a defined mixture, how do depth, quality and database choice affect false positives and abundance estimates, and which AMR determinants can be detected and attributed. The dataset chosen so far is PRJNA1181840, run SRR31222153: a Zymo D6331 gut-microbiome mock community sequenced on a PromethION. It is provisional until its composition is verified and its quality is checked. A second dataset (the LomanLab mock communities) is a fallback, but it uses older chemistry, so comparing the two mixes up “different dataset” with “different chemistry”.</w:t>
      </w:r>
    </w:p>
    <w:p>
      <w:r>
        <w:rPr>
          <w:b/>
          <w:i w:val="0"/>
        </w:rPr>
        <w:t>What can go wrong</w:t>
      </w:r>
    </w:p>
    <w:p>
      <w:pPr>
        <w:pStyle w:val="ListBullet"/>
      </w:pPr>
      <w:r>
        <w:t>Choosing a dataset that is too easy (few, abundant organisms) gives near-perfect results that say nothing useful.</w:t>
      </w:r>
    </w:p>
    <w:p>
      <w:pPr>
        <w:pStyle w:val="ListBullet"/>
      </w:pPr>
      <w:r>
        <w:t>Choosing data with no independent truth, then claiming sensitivity and specificity.</w:t>
      </w:r>
    </w:p>
    <w:p>
      <w:pPr>
        <w:pStyle w:val="ListBullet"/>
      </w:pPr>
      <w:r>
        <w:t>Treating a dataset you have only read about as if you had checked it.</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Can you state, in one sentence each, the question, the dataset, and what the “correct answer” is and where it comes from?</w:t>
            </w:r>
          </w:p>
        </w:tc>
      </w:tr>
    </w:tbl>
    <w:p/>
    <w:p>
      <w:pPr>
        <w:pStyle w:val="Heading2"/>
      </w:pPr>
      <w:r>
        <w:t>Step 1. Verify the data’s provenance</w:t>
      </w:r>
    </w:p>
    <w:p>
      <w:r>
        <w:rPr>
          <w:b/>
          <w:i w:val="0"/>
        </w:rPr>
        <w:t>What this step is</w:t>
      </w:r>
    </w:p>
    <w:p>
      <w:r>
        <w:rPr>
          <w:b w:val="0"/>
          <w:i w:val="0"/>
        </w:rPr>
        <w:t>Check, from the public record itself, what the dataset actually is: accession, instrument, number of reads, bases, file size, dates, and sample description.</w:t>
      </w:r>
    </w:p>
    <w:p>
      <w:r>
        <w:rPr>
          <w:b/>
          <w:i w:val="0"/>
        </w:rPr>
        <w:t>Why we do it</w:t>
      </w:r>
    </w:p>
    <w:p>
      <w:r>
        <w:rPr>
          <w:b w:val="0"/>
          <w:i w:val="0"/>
        </w:rPr>
        <w:t>Summaries, including ones written by people or AI tools, contain errors. If a number matters, it should be read from the primary source. This is the “verify, don’t transcribe” rule.</w:t>
      </w:r>
    </w:p>
    <w:p>
      <w:r>
        <w:rPr>
          <w:b/>
          <w:i w:val="0"/>
        </w:rPr>
        <w:t>How we do it in this project</w:t>
      </w:r>
    </w:p>
    <w:p>
      <w:r>
        <w:rPr>
          <w:b w:val="0"/>
          <w:i w:val="0"/>
        </w:rPr>
        <w:t>We queried the ENA record for the run and confirmed: one run (SRR31222153), PromethION, 23,429,059 reads, 128.37 billion bases (mean read about 5.5 kb), compressed FASTQ about 120 GB, study title “Deep Nanopore Q20+ sequencing of Zymo D6331”. The script bin/00_ena_metadata.sh fetches this record and keeps the checksum.</w:t>
      </w:r>
    </w:p>
    <w:p>
      <w:r>
        <w:rPr>
          <w:b/>
          <w:i w:val="0"/>
        </w:rPr>
        <w:t>What can go wrong</w:t>
      </w:r>
    </w:p>
    <w:p>
      <w:pPr>
        <w:pStyle w:val="ListBullet"/>
      </w:pPr>
      <w:r>
        <w:t>Mixing up accessions (project vs experiment vs run).</w:t>
      </w:r>
    </w:p>
    <w:p>
      <w:pPr>
        <w:pStyle w:val="ListBullet"/>
      </w:pPr>
      <w:r>
        <w:t>Assuming the chemistry from the study title. We later read it from the ENA experiment record: SQK-LSK114 (Kit 14), FLO-PRO114M flow cell, Dorado v7.2.13. That is the submitter’s free text, so it is “recorded”, not independently proven, and the basecalling model tier (fast, hac or sup) is still not stated.</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Is every number in your notes traceable to a record you read, with the date? Anything not traceable is labelled “unverified”.</w:t>
            </w:r>
          </w:p>
        </w:tc>
      </w:tr>
    </w:tbl>
    <w:p/>
    <w:p>
      <w:pPr>
        <w:pStyle w:val="Heading2"/>
      </w:pPr>
      <w:r>
        <w:t>Step 2. Get the data without downloading all of it</w:t>
      </w:r>
    </w:p>
    <w:p>
      <w:r>
        <w:rPr>
          <w:b/>
          <w:i w:val="0"/>
        </w:rPr>
        <w:t>What this step is</w:t>
      </w:r>
    </w:p>
    <w:p>
      <w:r>
        <w:rPr>
          <w:b w:val="0"/>
          <w:i w:val="0"/>
        </w:rPr>
        <w:t>Obtain reads in a way that is practical on this machine and that you can repeat exactly.</w:t>
      </w:r>
    </w:p>
    <w:p>
      <w:r>
        <w:rPr>
          <w:b/>
          <w:i w:val="0"/>
        </w:rPr>
        <w:t>Why we do it</w:t>
      </w:r>
    </w:p>
    <w:p>
      <w:r>
        <w:rPr>
          <w:b w:val="0"/>
          <w:i w:val="0"/>
        </w:rPr>
        <w:t>The full file is 120 GB. We measured the connection from WSL at about 0.5 MB/s from every server tried, so the full download would take roughly three days. The ENA file is also a single compressed stream with rewritten read IDs, so you cannot jump into the middle of it. Waiting three days for something we will mostly subsample anyway would be a poor trade.</w:t>
      </w:r>
    </w:p>
    <w:p>
      <w:r>
        <w:rPr>
          <w:b/>
          <w:i w:val="0"/>
        </w:rPr>
        <w:t>How we do it in this project</w:t>
      </w:r>
    </w:p>
    <w:p>
      <w:r>
        <w:rPr>
          <w:b w:val="0"/>
          <w:i w:val="0"/>
        </w:rPr>
        <w:t>NCBI’s SRA allows fetching reads by read number. We cut the run into 74 equal stretches (strata) and, in each, took one block of 5,000 consecutive reads at a position chosen with a fixed random seed (20261012). Even-numbered stretches form a development pool, odd-numbered ones an evaluation pool: 37 blocks each, 185,000 reads, about 1 Gb per pool. The script (bin/01_sra_block_sample.py) is resumable and checks every block. It ran in 168.6 minutes. We confirmed that the first 200 reads from SRA are identical to the ENA file, so the two routes agree.</w:t>
      </w:r>
    </w:p>
    <w:p>
      <w:r>
        <w:rPr>
          <w:b/>
          <w:i w:val="0"/>
        </w:rPr>
        <w:t>What can go wrong</w:t>
      </w:r>
    </w:p>
    <w:p>
      <w:pPr>
        <w:pStyle w:val="ListBullet"/>
      </w:pPr>
      <w:r>
        <w:t>Taking only the start of the file: reads at the start of a run can differ from the end, so we spread blocks over the whole run (and measured the mean length drift: about −0.5%).</w:t>
      </w:r>
    </w:p>
    <w:p>
      <w:pPr>
        <w:pStyle w:val="ListBullet"/>
      </w:pPr>
      <w:r>
        <w:t>Forgetting the seed. A random sample you cannot regenerate is not reproducible.</w:t>
      </w:r>
    </w:p>
    <w:p>
      <w:pPr>
        <w:pStyle w:val="ListBullet"/>
      </w:pPr>
      <w:r>
        <w:t>Disk space: always check free space before large downloads.</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Does the manifest (the record of what was fetched, with checksums) match the files on disk? Are both pools the expected size?</w:t>
            </w:r>
          </w:p>
        </w:tc>
      </w:tr>
    </w:tbl>
    <w:p/>
    <w:p>
      <w:pPr>
        <w:pStyle w:val="Heading3"/>
      </w:pPr>
      <w:r>
        <w:t>Why two pools, and what “held-out” really means</w:t>
      </w:r>
    </w:p>
    <w:p>
      <w:r>
        <w:rPr>
          <w:b w:val="0"/>
          <w:i w:val="0"/>
        </w:rPr>
        <w:t>If you adjust a classifier’s settings until it looks good on a dataset, then report how good it looks on the same dataset, you have measured how well you tuned it, not how well it works. So we split the data: the development pool is used to choose settings and thresholds, then those settings are frozen, and the evaluation pool is used once to report performance.</w:t>
      </w:r>
    </w:p>
    <w:p>
      <w:r>
        <w:rPr>
          <w:b w:val="0"/>
          <w:i w:val="0"/>
        </w:rPr>
        <w:t>There is an important limit. Both pools come from the same single run, same library, same flow cell. So this is a held-out test within one run, not an independent experiment. It guards against over-tuning, but it cannot show that the result would repeat on a different run, preparation or chemistry. Every result should say so.</w:t>
      </w:r>
    </w:p>
    <w:p>
      <w:r>
        <w:rPr>
          <w:b w:val="0"/>
          <w:i w:val="0"/>
        </w:rPr>
        <w:t>We also keep reads from the same block together in the same pool. Neighbouring reads in a run can be related, and putting some in each pool would let information leak from one pool to the other. Because the SRA read IDs are serial numbers, we cannot identify every related read, so this reduces the problem but does not remove it.</w:t>
      </w:r>
    </w:p>
    <w:p>
      <w:pPr>
        <w:pStyle w:val="Heading2"/>
      </w:pPr>
      <w:r>
        <w:t>Step 3. Quality control of the reads</w:t>
      </w:r>
    </w:p>
    <w:p>
      <w:r>
        <w:rPr>
          <w:b/>
          <w:i w:val="0"/>
        </w:rPr>
        <w:t>What this step is</w:t>
      </w:r>
    </w:p>
    <w:p>
      <w:r>
        <w:rPr>
          <w:b w:val="0"/>
          <w:i w:val="0"/>
        </w:rPr>
        <w:t>Measure the length and quality distributions of the reads, and compare the two pools.</w:t>
      </w:r>
    </w:p>
    <w:p>
      <w:r>
        <w:rPr>
          <w:b/>
          <w:i w:val="0"/>
        </w:rPr>
        <w:t>Why we do it</w:t>
      </w:r>
    </w:p>
    <w:p>
      <w:r>
        <w:rPr>
          <w:b w:val="0"/>
          <w:i w:val="0"/>
        </w:rPr>
        <w:t>Everything downstream assumes the reads are what you think they are. QC catches problems early: many very short reads, unexpectedly low quality, or two pools that differ from each other (which would make the evaluation unfair).</w:t>
      </w:r>
    </w:p>
    <w:p>
      <w:r>
        <w:rPr>
          <w:b/>
          <w:i w:val="0"/>
        </w:rPr>
        <w:t>How we do it in this project</w:t>
      </w:r>
    </w:p>
    <w:p>
      <w:r>
        <w:rPr>
          <w:b w:val="0"/>
          <w:i w:val="0"/>
        </w:rPr>
        <w:t>Tools such as seqkit stats and NanoPlot, run in pinned Docker images, give read counts, lengths, N50 and quality. This was done on 15 October with our own script (bin/02_pool_qc.py). Result: the two pools are practically identical. Mean length 5,491 bp (development) against 5,473 bp (evaluation); median read quality Q17.9 against Q17.9; about 28% of reads reach Q20 in both. Statistical tests on the 37 blocks per pool found no difference and no drift along the run. So the evaluation is fair. One lesson: “Q20+” in the study title describes the chemistry, not every read; the typical read here is about Q18.</w:t>
      </w:r>
    </w:p>
    <w:p>
      <w:r>
        <w:rPr>
          <w:b/>
          <w:i w:val="0"/>
        </w:rPr>
        <w:t>What can go wrong</w:t>
      </w:r>
    </w:p>
    <w:p>
      <w:pPr>
        <w:pStyle w:val="ListBullet"/>
      </w:pPr>
      <w:r>
        <w:t>Filtering reads before you know what filtering does to the result. Any filtering must be recorded and its effect measured.</w:t>
      </w:r>
    </w:p>
    <w:p>
      <w:pPr>
        <w:pStyle w:val="ListBullet"/>
      </w:pPr>
      <w:r>
        <w:t>Assuming “Q20+” means every read is Q20. It describes the data type, not each read.</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 the two pools look alike in length and quality? (Here: yes.) If not, can you explain why before going on?</w:t>
            </w:r>
          </w:p>
        </w:tc>
      </w:tr>
    </w:tbl>
    <w:p/>
    <w:p>
      <w:pPr>
        <w:pStyle w:val="Heading2"/>
      </w:pPr>
      <w:r>
        <w:t>Step 4. Know the truth: the expected composition</w:t>
      </w:r>
    </w:p>
    <w:p>
      <w:r>
        <w:rPr>
          <w:b/>
          <w:i w:val="0"/>
        </w:rPr>
        <w:t>What this step is</w:t>
      </w:r>
    </w:p>
    <w:p>
      <w:r>
        <w:rPr>
          <w:b w:val="0"/>
          <w:i w:val="0"/>
        </w:rPr>
        <w:t>Write down which organisms are in the mock community and how much of each you should expect to see.</w:t>
      </w:r>
    </w:p>
    <w:p>
      <w:r>
        <w:rPr>
          <w:b/>
          <w:i w:val="0"/>
        </w:rPr>
        <w:t>Why we do it</w:t>
      </w:r>
    </w:p>
    <w:p>
      <w:r>
        <w:rPr>
          <w:b w:val="0"/>
          <w:i w:val="0"/>
        </w:rPr>
        <w:t>Precision and recall only mean something against a correct answer. And the “correct answer” has traps.</w:t>
      </w:r>
    </w:p>
    <w:p>
      <w:r>
        <w:rPr>
          <w:b/>
          <w:i w:val="0"/>
        </w:rPr>
        <w:t>How we do it in this project</w:t>
      </w:r>
    </w:p>
    <w:p>
      <w:r>
        <w:rPr>
          <w:b w:val="0"/>
          <w:i w:val="0"/>
        </w:rPr>
        <w:t>The manufacturer’s manual lists 21 strains (18 bacteria including 5 E. coli, 1 archaeon, 2 fungi) which collapse to 17 species, with abundances from about 14% down to 0.0001%. This was checked on 13 October against the manufacturer’s instruction manual (Tables 1 and 2). It is the theoretical composition: Zymo also measures each lot and publishes a lot-specific certificate of analysis, but we do not yet know the lot number of the sample that was sequenced, so that certificate has not been obtained.</w:t>
      </w:r>
    </w:p>
    <w:p>
      <w:r>
        <w:rPr>
          <w:b/>
          <w:i w:val="0"/>
        </w:rPr>
        <w:t>What can go wrong</w:t>
      </w:r>
    </w:p>
    <w:p>
      <w:pPr>
        <w:pStyle w:val="ListBullet"/>
      </w:pPr>
      <w:r>
        <w:t>Which column to use: the manual gives several “theoretical” columns (genomic DNA, 16S, genome copy, cell number). Reads come from DNA, so the share of reads a species yields should follow its DNA share, provided the DNA fragments are of similar length (see the worked example below and section 5.5); the coverage each genome receives follows the genome-copy column, which is the DNA share divided by genome size. A tool that reports read fractions should be compared with the DNA column; one that reports coverage-based abundance with the genome-copy column. Real read shares still differ from theory through extraction efficiency and sequencing bias, so state which column and which assumption you use.</w:t>
      </w:r>
    </w:p>
    <w:p>
      <w:pPr>
        <w:pStyle w:val="ListBullet"/>
      </w:pPr>
      <w:r>
        <w:t>Species too rare to see: in 1 Gb of sequence, a species at 0.0001% would give almost no reads. Counting that as a miss would blame the software for a sampling limit. So we define evaluable species: those whose expected read count at a given depth is above a pre-specified minimum. Others are reported in a separate list, not counted in recall.</w:t>
      </w:r>
    </w:p>
    <w:p>
      <w:pPr>
        <w:pStyle w:val="ListBullet"/>
      </w:pPr>
      <w:r>
        <w:t>Names change: the answer key says “Fusobacterium nucleatum”, but the current NCBI taxonomy files that strain under Fusobacterium animalis. The classifier was right and our key was out of date. See section 4. This is why we compare by taxonomy number and keep a written list of exceptions with evidence.</w:t>
      </w:r>
    </w:p>
    <w:p>
      <w:pPr>
        <w:pStyle w:val="ListBullet"/>
      </w:pPr>
      <w:r>
        <w:t>Strains vs species: five E. coli strains are one species. That is a useful natural test of whether the classifier can cope with near-identical genomes, but it also means “E. coli detected” does not tell you which strain.</w:t>
      </w:r>
    </w:p>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worked example: equal DNA is not equal reads.  </w:t>
            </w:r>
            <w:r>
              <w:t xml:space="preserve">Two species each contribute exactly 20,000 letters of DNA to a sample. Species A is cut into long fragments of 5,000 letters, so it gives 4 reads. Species B is cut into short fragments of 2,000 letters, so it gives 10 reads. Each species is 50% of the DNA, but A is only 4 of 14 reads (29%) and B is 10 of 14 (71%). The manufacturer’s percentages describe DNA, while a classifier counts reads, so the two agree only when the fragments are about the same length. In this data set they are not (section 5.5), which is why abundance comparisons need care.</w:t>
            </w:r>
          </w:p>
        </w:tc>
      </w:tr>
    </w:tbl>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 you have a table of species, expected proportions and expected read counts at each depth, with the source and the column used stated? (See reference/d6331_composition.csv in the repository.)</w:t>
            </w:r>
          </w:p>
        </w:tc>
      </w:tr>
    </w:tbl>
    <w:p/>
    <w:p>
      <w:pPr>
        <w:pStyle w:val="Heading2"/>
      </w:pPr>
      <w:r>
        <w:t>Step 5. Classify the reads: who is there?</w:t>
      </w:r>
    </w:p>
    <w:p>
      <w:r>
        <w:rPr>
          <w:b/>
          <w:i w:val="0"/>
        </w:rPr>
        <w:t>What this step is</w:t>
      </w:r>
    </w:p>
    <w:p>
      <w:r>
        <w:rPr>
          <w:b w:val="0"/>
          <w:i w:val="0"/>
        </w:rPr>
        <w:t>Assign each read, or each species, to a taxon by comparing against a reference database.</w:t>
      </w:r>
    </w:p>
    <w:p>
      <w:r>
        <w:rPr>
          <w:b/>
          <w:i w:val="0"/>
        </w:rPr>
        <w:t>Why we do it</w:t>
      </w:r>
    </w:p>
    <w:p>
      <w:r>
        <w:rPr>
          <w:b w:val="0"/>
          <w:i w:val="0"/>
        </w:rPr>
        <w:t>This is the core question of the project. The choices made here (tool, database, thresholds) can change the answer a lot, which is why they are benchmarked rather than assumed.</w:t>
      </w:r>
    </w:p>
    <w:p>
      <w:r>
        <w:rPr>
          <w:b/>
        </w:rPr>
        <w:t xml:space="preserve">Two ideas you need here. </w:t>
      </w:r>
      <w:r>
        <w:t xml:space="preserve">First, the reference database is the library of known genomes the reads are compared with; a species that is not in it cannot be named, and two databases can give different answers for the same reads. Second, when a read’s pieces match several related species, Kraken2 does not guess: it gives the read to the lowest common ancestor of those species, which is the nearest group that contains them all, usually the genus or the family. That is why reads from species with close relatives (E. coli, Bifidobacterium adolescentis) often “stop above species” later in this guide.</w:t>
      </w:r>
    </w:p>
    <w:p>
      <w:r>
        <w:rPr>
          <w:b/>
          <w:i w:val="0"/>
        </w:rPr>
        <w:t>How we do it in this project</w:t>
      </w:r>
    </w:p>
    <w:p>
      <w:r>
        <w:rPr>
          <w:b w:val="0"/>
          <w:i w:val="0"/>
        </w:rPr>
        <w:t>Two common approaches. K-mer classifiers such as Kraken2 break each read into short pieces and look them up in a database; they are fast but need a lot of memory. Bracken then re-estimates abundances from Kraken2’s output, but its short-read defaults must not be assumed to work for long reads. Mapping approaches such as minimap2 align reads to reference genomes; they are slower but give evidence you can inspect (how much of the genome is covered, how well reads match). We start with one classifier and one frozen database as the baseline. The choice (decision D12, 15 October): Kraken2 version 2.17.2, pinned by its image digest, with the PlusPF-8 index dated 26 June 2026. “8” means it is capped to fit in 8 GB; it holds bacteria, archaea, viruses, human, protozoa and fungi, and we checked that all 17 mock species are in it. We run it inside Docker with a hard memory limit of 10 GB, to prove it fits in our 12 GB machine; it ran in about 17 seconds for 185,000 reads and classified 94% of them. A different kind of tool, the profiler Sylph, which works on whole-sample k-mer fingerprints instead of single reads, was tested later as a fourth experiment (section 5.5); Centrifuger and minimap2-based profiling remain untested. Emu is not suitable here: it is designed for 16S/ITS amplicon data, not shotgun metagenomes.</w:t>
      </w:r>
    </w:p>
    <w:p>
      <w:r>
        <w:rPr>
          <w:b/>
          <w:i w:val="0"/>
        </w:rPr>
        <w:t>What can go wrong</w:t>
      </w:r>
    </w:p>
    <w:p>
      <w:pPr>
        <w:pStyle w:val="ListBullet"/>
      </w:pPr>
      <w:r>
        <w:t>Memory: the full standard Kraken2 database needs far more than our 12 GB of RAM. We need a size-capped index, memory-mapped use, or mapping instead. The reduced sensitivity is a documented limitation.</w:t>
      </w:r>
    </w:p>
    <w:p>
      <w:pPr>
        <w:pStyle w:val="ListBullet"/>
      </w:pPr>
      <w:r>
        <w:t>AWS or a bigger machine: tempting, but a bigger database is a different experiment. (We ran it later as its own registered experiment; see section 5.3.) It is planned for Phase 2, to measure what the size cap costs us.</w:t>
      </w:r>
    </w:p>
    <w:p>
      <w:pPr>
        <w:pStyle w:val="ListBullet"/>
      </w:pPr>
      <w:r>
        <w:t>Missing kingdoms: standard Kraken2 indices do not contain fungi. The mock contains two fungi and an archaeon, so the database must include them, or those species are declared out of scope before we run anything. Otherwise recall would look poor for reasons unrelated to the classifier.</w:t>
      </w:r>
    </w:p>
    <w:p>
      <w:pPr>
        <w:pStyle w:val="ListBullet"/>
      </w:pPr>
      <w:r>
        <w:t>Changing several things at once: the second database or second tool is a separate, controlled experiment, not something to tweak while tuning.</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Is the database version, date and size recorded? Have you checked that every expected species has a reference in it?</w:t>
            </w:r>
          </w:p>
        </w:tc>
      </w:tr>
    </w:tbl>
    <w:p/>
    <w:p>
      <w:pPr>
        <w:pStyle w:val="Heading2"/>
      </w:pPr>
      <w:r>
        <w:t>Step 6. Review the calls for false positives</w:t>
      </w:r>
    </w:p>
    <w:p>
      <w:r>
        <w:rPr>
          <w:b/>
          <w:i w:val="0"/>
        </w:rPr>
        <w:t>What this step is</w:t>
      </w:r>
    </w:p>
    <w:p>
      <w:r>
        <w:rPr>
          <w:b w:val="0"/>
          <w:i w:val="0"/>
        </w:rPr>
        <w:t>Look critically at what the classifier reported, especially low-support calls.</w:t>
      </w:r>
    </w:p>
    <w:p>
      <w:r>
        <w:rPr>
          <w:b/>
          <w:i w:val="0"/>
        </w:rPr>
        <w:t>Why we do it</w:t>
      </w:r>
    </w:p>
    <w:p>
      <w:r>
        <w:rPr>
          <w:b w:val="0"/>
          <w:i w:val="0"/>
        </w:rPr>
        <w:t>A classifier will happily report species supported by a handful of reads, caused by shared sequence between related species or contamination. Reporting those as real is the commonest way to overstate a result. In diagnostics, a false positive is not a rounding error.</w:t>
      </w:r>
    </w:p>
    <w:p>
      <w:r>
        <w:rPr>
          <w:b/>
          <w:i w:val="0"/>
        </w:rPr>
        <w:t>How we do it in this project</w:t>
      </w:r>
    </w:p>
    <w:p>
      <w:r>
        <w:rPr>
          <w:b w:val="0"/>
          <w:i w:val="0"/>
        </w:rPr>
        <w:t>For each reported species, look at the number of supporting reads, how much of its genome they cover, and how well they align. Apply a pre-specified threshold, chosen on the development pool only (section 4 explains this from scratch, with the real numbers). Then list every false positive in the evaluation pool by name and ask why it arose (a close relative of a real member? a database artefact?). This false-positive audit is a primary result, not an afterthought.</w:t>
      </w:r>
    </w:p>
    <w:p>
      <w:r>
        <w:rPr>
          <w:b/>
          <w:i w:val="0"/>
        </w:rPr>
        <w:t>What can go wrong</w:t>
      </w:r>
    </w:p>
    <w:p>
      <w:pPr>
        <w:pStyle w:val="ListBullet"/>
      </w:pPr>
      <w:r>
        <w:t>Choosing the threshold after seeing the evaluation result.</w:t>
      </w:r>
    </w:p>
    <w:p>
      <w:pPr>
        <w:pStyle w:val="ListBullet"/>
      </w:pPr>
      <w:r>
        <w:t>Removing a false positive that you “know” is wrong, using knowledge the real analysis would not have.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For each false positive, is there a recorded explanation or an honest “unexplained”?</w:t>
            </w:r>
          </w:p>
        </w:tc>
      </w:tr>
    </w:tbl>
    <w:p/>
    <w:p>
      <w:pPr>
        <w:pStyle w:val="Heading2"/>
      </w:pPr>
      <w:r>
        <w:t>Step 7. Measure performance</w:t>
      </w:r>
    </w:p>
    <w:p>
      <w:r>
        <w:rPr>
          <w:b/>
          <w:i w:val="0"/>
        </w:rPr>
        <w:t>What this step is</w:t>
      </w:r>
    </w:p>
    <w:p>
      <w:r>
        <w:rPr>
          <w:b w:val="0"/>
          <w:i w:val="0"/>
        </w:rPr>
        <w:t>Turn the comparison between the calls and the truth into numbers.</w:t>
      </w:r>
    </w:p>
    <w:p>
      <w:r>
        <w:rPr>
          <w:b/>
          <w:i w:val="0"/>
        </w:rPr>
        <w:t>Why we do it</w:t>
      </w:r>
    </w:p>
    <w:p>
      <w:r>
        <w:rPr>
          <w:b w:val="0"/>
          <w:i w:val="0"/>
        </w:rPr>
        <w:t>Without numbers, “it works well” is an opinion. With the wrong numbers, it is a misleading opinion.</w:t>
      </w:r>
    </w:p>
    <w:p>
      <w:r>
        <w:rPr>
          <w:b/>
          <w:i w:val="0"/>
        </w:rPr>
        <w:t>How we do it in this project</w:t>
      </w:r>
    </w:p>
    <w:p>
      <w:r>
        <w:rPr>
          <w:b w:val="0"/>
          <w:i w:val="0"/>
        </w:rPr>
        <w:t>Primary: precision, recall and F1 at the pre-specified threshold, with recall computed over evaluable species, plus the false-positive audit. Abundance accuracy uses L1 error or Bray–Curtis dissimilarity against expected proportions. Computational cost (run time, peak memory, database size) is also reported. The script that does this is bin/04_score.py; it matches species by taxonomy number, applies the threshold, lists every false positive and gives intervals by resampling blocks. Precision–recall curves and AUPRC are supplementary only: with so few expected species (17), AUPRC swings a lot and would give a false impression of precision.</w:t>
      </w:r>
    </w:p>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Bray–Curtis dissimilarity, in plain words.  </w:t>
            </w:r>
            <w:r>
              <w:t xml:space="preserve">It answers one question: how different are two lists of percentages? Take each species in turn, keep the smaller of its two percentages, and add these up. That total is how much the two lists have in common (the overlap). Bray–Curtis is 1 minus the overlap. Example: the true mixture is A 50%, B 30%, C 20% and the software reports A 40%, B 40%, C 20%. The overlaps are 40 + 30 + 20 = 90, so Bray–Curtis = 1 − 0.90 = 0.10. A score of 0 means identical lists; 1 means nothing in common. You can read it as the share of the sample that sits in the wrong place: 0.13 means about 13% of the reads are attributed in a way the expected mixture does not predict. A wrongly reported species has nothing to overlap with, so it counts as fully wrong. The related L1 error adds up the absolute differences instead (here 10 + 10 + 0 = 20 points, or 0.20); for two lists that each add to 100%, Bray–Curtis is exactly half of the L1 error.</w:t>
            </w:r>
          </w:p>
        </w:tc>
      </w:tr>
    </w:tbl>
    <w:p>
      <w:r>
        <w:rPr>
          <w:b/>
          <w:i w:val="0"/>
        </w:rPr>
        <w:t>What can go wrong</w:t>
      </w:r>
    </w:p>
    <w:p>
      <w:pPr>
        <w:pStyle w:val="ListBullet"/>
      </w:pPr>
      <w:r>
        <w:t>Reporting a single number without its uncertainty.</w:t>
      </w:r>
    </w:p>
    <w:p>
      <w:pPr>
        <w:pStyle w:val="ListBullet"/>
      </w:pPr>
      <w:r>
        <w:t>Reporting recall over all 17 species when several cannot be detected at 1 Gb.</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Are all metrics defined before you looked at the evaluation results?</w:t>
            </w:r>
          </w:p>
        </w:tc>
      </w:tr>
    </w:tbl>
    <w:p/>
    <w:p>
      <w:pPr>
        <w:pStyle w:val="Heading2"/>
      </w:pPr>
      <w:r>
        <w:t>Step 8. Downsampling and uncertainty</w:t>
      </w:r>
    </w:p>
    <w:p>
      <w:r>
        <w:rPr>
          <w:b/>
          <w:i w:val="0"/>
        </w:rPr>
        <w:t>What this step is</w:t>
      </w:r>
    </w:p>
    <w:p>
      <w:r>
        <w:rPr>
          <w:b w:val="0"/>
          <w:i w:val="0"/>
        </w:rPr>
        <w:t>Repeat the analysis at several depths to see how performance changes, and say how uncertain the numbers are.</w:t>
      </w:r>
    </w:p>
    <w:p>
      <w:r>
        <w:rPr>
          <w:b/>
          <w:i w:val="0"/>
        </w:rPr>
        <w:t>Why we do it</w:t>
      </w:r>
    </w:p>
    <w:p>
      <w:r>
        <w:rPr>
          <w:b w:val="0"/>
          <w:i w:val="0"/>
        </w:rPr>
        <w:t>Real clinical runs often have far less data than a research run. Knowing at what depth rare organisms stop being found is more useful than a single result at maximum depth.</w:t>
      </w:r>
    </w:p>
    <w:p>
      <w:r>
        <w:rPr>
          <w:b/>
          <w:i w:val="0"/>
        </w:rPr>
        <w:t>How we do it in this project</w:t>
      </w:r>
    </w:p>
    <w:p>
      <w:r>
        <w:rPr>
          <w:b w:val="0"/>
          <w:i w:val="0"/>
        </w:rPr>
        <w:t>From each pool we draw random subsets of about 0.1, 0.25 and 0.5 Gb, with five replicate seeds per depth. The full pool (about 1 Gb) is a single baseline with no replicates, because a full-pool “replicate” would be identical to the original. Depth is defined by Gb, not read count, since read lengths vary.</w:t>
      </w:r>
    </w:p>
    <w:p>
      <w:r>
        <w:rPr>
          <w:b/>
          <w:i w:val="0"/>
        </w:rPr>
        <w:t>What can go wrong</w:t>
      </w:r>
    </w:p>
    <w:p>
      <w:pPr>
        <w:pStyle w:val="ListBullet"/>
      </w:pPr>
      <w:r>
        <w:t>Treating replicates as independent. They are drawn from a finite pool, so at 0.5 Gb about half of one replicate overlaps with another. Their spread measures variation within this pool only; it says nothing about run-to-run variation.</w:t>
      </w:r>
    </w:p>
    <w:p>
      <w:pPr>
        <w:pStyle w:val="ListBullet"/>
      </w:pPr>
      <w:r>
        <w:t>Reads come in blocks of 5,000 consecutive reads, so reads inside a block are correlated. Confidence intervals should therefore resample whole blocks (a bootstrap over the 37 blocks per pool), not individual reads, otherwise they look tighter than they are.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Does every plot or table of results say what its error bars represent?</w:t>
            </w:r>
          </w:p>
        </w:tc>
      </w:tr>
    </w:tbl>
    <w:p/>
    <w:p>
      <w:pPr>
        <w:pStyle w:val="Heading2"/>
      </w:pPr>
      <w:r>
        <w:t>Step 9. Antimicrobial resistance (AMR)</w:t>
      </w:r>
    </w:p>
    <w:p>
      <w:r>
        <w:rPr>
          <w:b/>
          <w:i w:val="0"/>
        </w:rPr>
        <w:t>What this step is</w:t>
      </w:r>
    </w:p>
    <w:p>
      <w:r>
        <w:rPr>
          <w:b w:val="0"/>
          <w:i w:val="0"/>
        </w:rPr>
        <w:t>Detect resistance genes in the reads, and decide what can be claimed about them.</w:t>
      </w:r>
    </w:p>
    <w:p>
      <w:r>
        <w:rPr>
          <w:b/>
          <w:i w:val="0"/>
        </w:rPr>
        <w:t>Why we do it</w:t>
      </w:r>
    </w:p>
    <w:p>
      <w:r>
        <w:rPr>
          <w:b w:val="0"/>
          <w:i w:val="0"/>
        </w:rPr>
        <w:t>Resistance information is the clinically interesting output, but also the easiest to over-claim.</w:t>
      </w:r>
    </w:p>
    <w:p>
      <w:r>
        <w:rPr>
          <w:b/>
          <w:i w:val="0"/>
        </w:rPr>
        <w:t>How we do it in this project</w:t>
      </w:r>
    </w:p>
    <w:p>
      <w:r>
        <w:rPr>
          <w:b w:val="0"/>
          <w:i w:val="0"/>
        </w:rPr>
        <w:t>The plan treats AMR in three levels, reported separately: (1) gene family (broad class), (2) allele (specific variant), and (3) organism attribution (which species carries it). Approaches include mapping reads to a curated AMR reference, or assembling reads and annotating contigs with a tool such as AMRFinderPlus. AMRFinderPlus is an annotation tool for assemblies or proteins; it does not estimate abundance directly from reads. Taxonomy comes first; AMR is an exploratory module unless an independent truth set exists.</w:t>
      </w:r>
      <w:r>
        <w:t xml:space="preserve"> What we did in practice, as a small pilot at the gene-family level, is described in 5.6.</w:t>
      </w:r>
    </w:p>
    <w:p>
      <w:r>
        <w:rPr>
          <w:b/>
          <w:i w:val="0"/>
        </w:rPr>
        <w:t>What can go wrong</w:t>
      </w:r>
    </w:p>
    <w:p>
      <w:pPr>
        <w:pStyle w:val="ListBullet"/>
      </w:pPr>
      <w:r>
        <w:t>No independent truth: if the “truth” is just the reference genomes annotated with the same database being tested, performance is circular. Label it as such and report descriptive results, not sensitivity and specificity.</w:t>
      </w:r>
      <w:r>
        <w:t xml:space="preserve"> In the pilot the truth is the supplier genomes annotated with one tool, and the read-level search used a different database; they are still not fully independent, which is why the result is called a worked example.</w:t>
      </w:r>
    </w:p>
    <w:p>
      <w:pPr>
        <w:pStyle w:val="ListBullet"/>
      </w:pPr>
      <w:r>
        <w:t>Co-occurrence is not linkage: finding a gene and an organism in the same sample does not show the organism carries the gene. In a low-depth mixed sample, assemblies often cannot join them; that failure is a finding about the method.</w:t>
      </w:r>
    </w:p>
    <w:p>
      <w:pPr>
        <w:pStyle w:val="ListBullet"/>
      </w:pPr>
      <w:r>
        <w:t>Long-read errors can turn one allele into another.</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For every AMR claim, can you say which level (family, allele, attribution) it is and what evidence supports it?</w:t>
            </w:r>
          </w:p>
        </w:tc>
      </w:tr>
    </w:tbl>
    <w:p/>
    <w:p>
      <w:pPr>
        <w:pStyle w:val="Heading2"/>
      </w:pPr>
      <w:r>
        <w:t>Step 10. Make it reproducible</w:t>
      </w:r>
    </w:p>
    <w:p>
      <w:r>
        <w:rPr>
          <w:b/>
          <w:i w:val="0"/>
        </w:rPr>
        <w:t>What this step is</w:t>
      </w:r>
    </w:p>
    <w:p>
      <w:r>
        <w:rPr>
          <w:b w:val="0"/>
          <w:i w:val="0"/>
        </w:rPr>
        <w:t>Arrange everything so that someone else (or you in six months) can rerun it and get the same result.</w:t>
      </w:r>
    </w:p>
    <w:p>
      <w:r>
        <w:rPr>
          <w:b/>
          <w:i w:val="0"/>
        </w:rPr>
        <w:t>Why we do it</w:t>
      </w:r>
    </w:p>
    <w:p>
      <w:r>
        <w:rPr>
          <w:b w:val="0"/>
          <w:i w:val="0"/>
        </w:rPr>
        <w:t>A result that cannot be reproduced cannot be checked, and a portfolio project that cannot be rerun is much less convincing.</w:t>
      </w:r>
    </w:p>
    <w:p>
      <w:r>
        <w:rPr>
          <w:b/>
          <w:i w:val="0"/>
        </w:rPr>
        <w:t>How we do it in this project</w:t>
      </w:r>
    </w:p>
    <w:p>
      <w:r>
        <w:rPr>
          <w:b w:val="0"/>
          <w:i w:val="0"/>
        </w:rPr>
        <w:t>Tools run in Docker containers with pinned versions (the SRA tool image is pinned by digest). Random choices use recorded seeds. The sampling script writes a manifest with parameters, counts and SHA-256 checksums. Decisions are written down in docs/PROJECT_STATE.md, with the reasoning. Nextflow (DSL2) will wrap the stable steps later; the reasoning is recorded as Decision D1: the replicated design means 15 or more classification tasks, containers and resume are valuable, but at one developer and one machine, the first modules are plain scripts that are tested before being wrapped.</w:t>
      </w:r>
    </w:p>
    <w:p>
      <w:r>
        <w:rPr>
          <w:b/>
          <w:i w:val="0"/>
        </w:rPr>
        <w:t>What can go wrong</w:t>
      </w:r>
    </w:p>
    <w:p>
      <w:pPr>
        <w:pStyle w:val="ListBullet"/>
      </w:pPr>
      <w:r>
        <w:t>Wrapping in Nextflow too early, before the steps work on their own.</w:t>
      </w:r>
    </w:p>
    <w:p>
      <w:pPr>
        <w:pStyle w:val="ListBullet"/>
      </w:pPr>
      <w:r>
        <w:t>Unpinned tool versions (“latest”) that change under you.</w:t>
      </w:r>
    </w:p>
    <w:p>
      <w:pPr>
        <w:pStyle w:val="ListBullet"/>
      </w:pPr>
      <w:r>
        <w:t>Committing large data to Git. The data/ folder is excluded on purpose.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Could a stranger reproduce the pools from the repository, the seed and the pinned image?</w:t>
            </w:r>
          </w:p>
        </w:tc>
      </w:tr>
    </w:tbl>
    <w:p/>
    <w:p>
      <w:pPr>
        <w:pStyle w:val="Heading2"/>
      </w:pPr>
      <w:r>
        <w:t>Step 11. Report with calibrated claims</w:t>
      </w:r>
    </w:p>
    <w:p>
      <w:r>
        <w:rPr>
          <w:b/>
          <w:i w:val="0"/>
        </w:rPr>
        <w:t>What this step is</w:t>
      </w:r>
    </w:p>
    <w:p>
      <w:r>
        <w:rPr>
          <w:b w:val="0"/>
          <w:i w:val="0"/>
        </w:rPr>
        <w:t>Write up what was done, the numbers, the limits, and what is not claimed.</w:t>
      </w:r>
    </w:p>
    <w:p>
      <w:r>
        <w:rPr>
          <w:b/>
          <w:i w:val="0"/>
        </w:rPr>
        <w:t>Why we do it</w:t>
      </w:r>
    </w:p>
    <w:p>
      <w:r>
        <w:rPr>
          <w:b w:val="0"/>
          <w:i w:val="0"/>
        </w:rPr>
        <w:t>The value of this project to a reader, for example a diagnostics R&amp;D team, is whether they can trust and reuse it. Honest limits increase that trust.</w:t>
      </w:r>
    </w:p>
    <w:p>
      <w:r>
        <w:rPr>
          <w:b/>
          <w:i w:val="0"/>
        </w:rPr>
        <w:t>How we do it in this project</w:t>
      </w:r>
    </w:p>
    <w:p>
      <w:r>
        <w:rPr>
          <w:b w:val="0"/>
          <w:i w:val="0"/>
        </w:rPr>
        <w:t>The final package is a repository, a short technical case study, selected figures and rerun instructions. Every result states the dataset, chemistry, basecaller, database version, and the limits (single run, within-run held-out data, provisional composition). The project is positioned as demonstrating development and evaluation of a nanopore mixed-community workflow, not prior commercial assay development.</w:t>
      </w:r>
    </w:p>
    <w:p>
      <w:r>
        <w:rPr>
          <w:b/>
          <w:i w:val="0"/>
        </w:rPr>
        <w:t>What can go wrong</w:t>
      </w:r>
    </w:p>
    <w:p>
      <w:pPr>
        <w:pStyle w:val="ListBullet"/>
      </w:pPr>
      <w:r>
        <w:t>Language that implies clinical validity.</w:t>
      </w:r>
    </w:p>
    <w:p>
      <w:pPr>
        <w:pStyle w:val="ListBullet"/>
      </w:pPr>
      <w:r>
        <w:t>Hiding failures. Where the workflow fails and why is part of the intended outcome.</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Check before moving on:  </w:t>
            </w:r>
            <w:r>
              <w:t>Would you be comfortable if the dataset’s original authors read your limitations section?</w:t>
            </w:r>
          </w:p>
        </w:tc>
      </w:tr>
    </w:tbl>
    <w:p/>
    <w:p>
      <w:pPr>
        <w:pStyle w:val="Heading1"/>
      </w:pPr>
      <w:r>
        <w:t>4. Thresholds and scoring, explained from scratch</w:t>
      </w:r>
    </w:p>
    <w:p>
      <w:r>
        <w:rPr>
          <w:b w:val="0"/>
          <w:i w:val="0"/>
        </w:rPr>
        <w:t>This section explains what was done on 15 and 16 October and why. If it feels confusing, that is normal: a threshold looks like a small detail but it decides what the result says. We use the real numbers from the project.</w:t>
      </w:r>
    </w:p>
    <w:p>
      <w:pPr>
        <w:pStyle w:val="Heading2"/>
      </w:pPr>
      <w:r>
        <w:t>4.1 The problem: the classifier reports far too many species</w:t>
      </w:r>
    </w:p>
    <w:p>
      <w:r>
        <w:rPr>
          <w:b w:val="0"/>
          <w:i w:val="0"/>
        </w:rPr>
        <w:t>The mock community contains 17 species. When Kraken2 classified the development pool it reported 496 different species. Nearly all of them are wrong. Why? Kraken2 matches short pieces of each read against its database. A few reads match a wrong species by chance, because genomes of relatives share stretches of sequence, or because of small amounts of contamination. Each such species gets a handful of reads (often 1 to 5).</w:t>
      </w:r>
    </w:p>
    <w:p>
      <w:r>
        <w:rPr>
          <w:b w:val="0"/>
          <w:i w:val="0"/>
        </w:rPr>
        <w:t>So we need a rule: “only believe a species if it has enough evidence”. That rule is the threshold. The simplest evidence is the number of reads assigned to that species.</w:t>
      </w:r>
    </w:p>
    <w:p>
      <w:pPr>
        <w:pStyle w:val="Heading2"/>
      </w:pPr>
      <w:r>
        <w:t>4.2 The trade-off: a strict rule versus a generous rule</w:t>
      </w:r>
    </w:p>
    <w:p>
      <w:r>
        <w:rPr>
          <w:b w:val="0"/>
          <w:i w:val="0"/>
        </w:rPr>
        <w:t>A threshold always trades two kinds of mistake against each other:</w:t>
      </w:r>
    </w:p>
    <w:p>
      <w:pPr>
        <w:pStyle w:val="ListBullet"/>
      </w:pPr>
      <w:r>
        <w:rPr>
          <w:b/>
        </w:rPr>
        <w:t>Too generous (accept species with few reads)</w:t>
      </w:r>
      <w:r>
        <w:t>: you find rare real species but also report many wrong ones. Wrong species reported are called false positives.</w:t>
      </w:r>
    </w:p>
    <w:p>
      <w:pPr>
        <w:pStyle w:val="ListBullet"/>
      </w:pPr>
      <w:r>
        <w:rPr>
          <w:b/>
        </w:rPr>
        <w:t>Too strict (demand many reads)</w:t>
      </w:r>
      <w:r>
        <w:t>: the list is clean, but a rare species that really is there can fall below the line and be missed.</w:t>
      </w:r>
    </w:p>
    <w:p>
      <w:r>
        <w:rPr>
          <w:b w:val="0"/>
          <w:i w:val="0"/>
        </w:rPr>
        <w:t>Here is what happened on the development pool (185,000 reads, 17 real species, 14 of them frequent enough to expect to see):</w:t>
      </w:r>
    </w:p>
    <w:tbl>
      <w:tblPr>
        <w:tblStyle w:val="TableGrid"/>
        <w:tblW w:type="auto" w:w="0"/>
        <w:tblLayout w:type="fixed"/>
        <w:tblLook w:firstColumn="1" w:firstRow="1" w:lastColumn="0" w:lastRow="0" w:noHBand="0" w:noVBand="1" w:val="04A0"/>
      </w:tblPr>
      <w:tblGrid>
        <w:gridCol w:w="2436"/>
        <w:gridCol w:w="2436"/>
        <w:gridCol w:w="2436"/>
        <w:gridCol w:w="2436"/>
      </w:tblGrid>
      <w:tr>
        <w:trPr>
          <w:cantSplit/>
        </w:trPr>
        <w:tc>
          <w:tcPr>
            <w:tcW w:type="dxa" w:w="2835"/>
            <w:shd w:val="clear" w:fill="D9E4F2"/>
          </w:tcPr>
          <w:p>
            <w:r/>
            <w:r>
              <w:rPr>
                <w:b/>
                <w:sz w:val="20"/>
              </w:rPr>
              <w:t>Rule: species needs at least…</w:t>
            </w:r>
          </w:p>
        </w:tc>
        <w:tc>
          <w:tcPr>
            <w:tcW w:type="dxa" w:w="1814"/>
            <w:shd w:val="clear" w:fill="D9E4F2"/>
          </w:tcPr>
          <w:p>
            <w:r/>
            <w:r>
              <w:rPr>
                <w:b/>
                <w:sz w:val="20"/>
              </w:rPr>
              <w:t>Species reported</w:t>
            </w:r>
          </w:p>
        </w:tc>
        <w:tc>
          <w:tcPr>
            <w:tcW w:type="dxa" w:w="1701"/>
            <w:shd w:val="clear" w:fill="D9E4F2"/>
          </w:tcPr>
          <w:p>
            <w:r/>
            <w:r>
              <w:rPr>
                <w:b/>
                <w:sz w:val="20"/>
              </w:rPr>
              <w:t>Wrong ones</w:t>
            </w:r>
          </w:p>
        </w:tc>
        <w:tc>
          <w:tcPr>
            <w:tcW w:type="dxa" w:w="3005"/>
            <w:shd w:val="clear" w:fill="D9E4F2"/>
          </w:tcPr>
          <w:p>
            <w:r/>
            <w:r>
              <w:rPr>
                <w:b/>
                <w:sz w:val="20"/>
              </w:rPr>
              <w:t>Real species found (of 14 findable)</w:t>
            </w:r>
          </w:p>
        </w:tc>
      </w:tr>
      <w:tr>
        <w:trPr>
          <w:cantSplit/>
        </w:trPr>
        <w:tc>
          <w:tcPr>
            <w:tcW w:type="dxa" w:w="2835"/>
          </w:tcPr>
          <w:p>
            <w:r/>
            <w:r>
              <w:rPr>
                <w:sz w:val="20"/>
              </w:rPr>
              <w:t>1 read</w:t>
            </w:r>
          </w:p>
        </w:tc>
        <w:tc>
          <w:tcPr>
            <w:tcW w:type="dxa" w:w="1814"/>
          </w:tcPr>
          <w:p>
            <w:r/>
            <w:r>
              <w:rPr>
                <w:sz w:val="20"/>
              </w:rPr>
              <w:t>496</w:t>
            </w:r>
          </w:p>
        </w:tc>
        <w:tc>
          <w:tcPr>
            <w:tcW w:type="dxa" w:w="1701"/>
          </w:tcPr>
          <w:p>
            <w:r/>
            <w:r>
              <w:rPr>
                <w:sz w:val="20"/>
              </w:rPr>
              <w:t>480</w:t>
            </w:r>
          </w:p>
        </w:tc>
        <w:tc>
          <w:tcPr>
            <w:tcW w:type="dxa" w:w="3005"/>
          </w:tcPr>
          <w:p>
            <w:r/>
            <w:r>
              <w:rPr>
                <w:sz w:val="20"/>
              </w:rPr>
              <w:t>14</w:t>
            </w:r>
          </w:p>
        </w:tc>
      </w:tr>
      <w:tr>
        <w:trPr>
          <w:cantSplit/>
        </w:trPr>
        <w:tc>
          <w:tcPr>
            <w:tcW w:type="dxa" w:w="2835"/>
          </w:tcPr>
          <w:p>
            <w:r/>
            <w:r>
              <w:rPr>
                <w:sz w:val="20"/>
              </w:rPr>
              <w:t>20 reads</w:t>
            </w:r>
          </w:p>
        </w:tc>
        <w:tc>
          <w:tcPr>
            <w:tcW w:type="dxa" w:w="1814"/>
          </w:tcPr>
          <w:p>
            <w:r/>
            <w:r>
              <w:rPr>
                <w:sz w:val="20"/>
              </w:rPr>
              <w:t>35</w:t>
            </w:r>
          </w:p>
        </w:tc>
        <w:tc>
          <w:tcPr>
            <w:tcW w:type="dxa" w:w="1701"/>
          </w:tcPr>
          <w:p>
            <w:r/>
            <w:r>
              <w:rPr>
                <w:sz w:val="20"/>
              </w:rPr>
              <w:t>20</w:t>
            </w:r>
          </w:p>
        </w:tc>
        <w:tc>
          <w:tcPr>
            <w:tcW w:type="dxa" w:w="3005"/>
          </w:tcPr>
          <w:p>
            <w:r/>
            <w:r>
              <w:rPr>
                <w:sz w:val="20"/>
              </w:rPr>
              <w:t>14</w:t>
            </w:r>
          </w:p>
        </w:tc>
      </w:tr>
      <w:tr>
        <w:trPr>
          <w:cantSplit/>
        </w:trPr>
        <w:tc>
          <w:tcPr>
            <w:tcW w:type="dxa" w:w="2835"/>
          </w:tcPr>
          <w:p>
            <w:r/>
            <w:r>
              <w:rPr>
                <w:sz w:val="20"/>
              </w:rPr>
              <w:t>148 reads (0.08% of reads)</w:t>
            </w:r>
          </w:p>
        </w:tc>
        <w:tc>
          <w:tcPr>
            <w:tcW w:type="dxa" w:w="1814"/>
          </w:tcPr>
          <w:p>
            <w:r/>
            <w:r>
              <w:rPr>
                <w:sz w:val="20"/>
              </w:rPr>
              <w:t>15</w:t>
            </w:r>
          </w:p>
        </w:tc>
        <w:tc>
          <w:tcPr>
            <w:tcW w:type="dxa" w:w="1701"/>
          </w:tcPr>
          <w:p>
            <w:r/>
            <w:r>
              <w:rPr>
                <w:sz w:val="20"/>
              </w:rPr>
              <w:t>1</w:t>
            </w:r>
          </w:p>
        </w:tc>
        <w:tc>
          <w:tcPr>
            <w:tcW w:type="dxa" w:w="3005"/>
          </w:tcPr>
          <w:p>
            <w:r/>
            <w:r>
              <w:rPr>
                <w:sz w:val="20"/>
              </w:rPr>
              <w:t>14</w:t>
            </w:r>
          </w:p>
        </w:tc>
      </w:tr>
      <w:tr>
        <w:trPr>
          <w:cantSplit/>
        </w:trPr>
        <w:tc>
          <w:tcPr>
            <w:tcW w:type="dxa" w:w="2835"/>
          </w:tcPr>
          <w:p>
            <w:r/>
            <w:r>
              <w:rPr>
                <w:sz w:val="20"/>
              </w:rPr>
              <w:t>1,000 reads</w:t>
            </w:r>
          </w:p>
        </w:tc>
        <w:tc>
          <w:tcPr>
            <w:tcW w:type="dxa" w:w="1814"/>
          </w:tcPr>
          <w:p>
            <w:r/>
            <w:r>
              <w:rPr>
                <w:sz w:val="20"/>
              </w:rPr>
              <w:t>13</w:t>
            </w:r>
          </w:p>
        </w:tc>
        <w:tc>
          <w:tcPr>
            <w:tcW w:type="dxa" w:w="1701"/>
          </w:tcPr>
          <w:p>
            <w:r/>
            <w:r>
              <w:rPr>
                <w:sz w:val="20"/>
              </w:rPr>
              <w:t>0</w:t>
            </w:r>
          </w:p>
        </w:tc>
        <w:tc>
          <w:tcPr>
            <w:tcW w:type="dxa" w:w="3005"/>
          </w:tcPr>
          <w:p>
            <w:r/>
            <w:r>
              <w:rPr>
                <w:sz w:val="20"/>
              </w:rPr>
              <w:t>13 (misses the rarest)</w:t>
            </w:r>
          </w:p>
        </w:tc>
      </w:tr>
      <w:tr>
        <w:trPr>
          <w:cantSplit/>
        </w:trPr>
        <w:tc>
          <w:tcPr>
            <w:tcW w:type="dxa" w:w="2835"/>
          </w:tcPr>
          <w:p>
            <w:r/>
            <w:r>
              <w:rPr>
                <w:sz w:val="20"/>
              </w:rPr>
              <w:t>2,000 reads</w:t>
            </w:r>
          </w:p>
        </w:tc>
        <w:tc>
          <w:tcPr>
            <w:tcW w:type="dxa" w:w="1814"/>
          </w:tcPr>
          <w:p>
            <w:r/>
            <w:r>
              <w:rPr>
                <w:sz w:val="20"/>
              </w:rPr>
              <w:t>12</w:t>
            </w:r>
          </w:p>
        </w:tc>
        <w:tc>
          <w:tcPr>
            <w:tcW w:type="dxa" w:w="1701"/>
          </w:tcPr>
          <w:p>
            <w:r/>
            <w:r>
              <w:rPr>
                <w:sz w:val="20"/>
              </w:rPr>
              <w:t>0</w:t>
            </w:r>
          </w:p>
        </w:tc>
        <w:tc>
          <w:tcPr>
            <w:tcW w:type="dxa" w:w="3005"/>
          </w:tcPr>
          <w:p>
            <w:r/>
            <w:r>
              <w:rPr>
                <w:sz w:val="20"/>
              </w:rPr>
              <w:t>12</w:t>
            </w:r>
          </w:p>
        </w:tc>
      </w:tr>
    </w:tbl>
    <w:p/>
    <w:p>
      <w:r>
        <w:rPr>
          <w:b w:val="0"/>
          <w:i w:val="0"/>
        </w:rPr>
        <w:t>Notice there is no setting that is perfect. At 148 reads we find all 14 and have one wrong species. At 1,000 reads we have no wrong species but lose one real one. The question becomes: which mistake costs more? That depends on the purpose, so we say in advance how we judge it.</w:t>
      </w:r>
    </w:p>
    <w:p>
      <w:pPr>
        <w:pStyle w:val="Heading2"/>
      </w:pPr>
      <w:r>
        <w:t>4.3 Precision, recall and F1 in plain words</w:t>
      </w:r>
    </w:p>
    <w:p>
      <w:pPr>
        <w:pStyle w:val="ListBullet"/>
      </w:pPr>
      <w:r>
        <w:rPr>
          <w:b/>
        </w:rPr>
        <w:t>Precision</w:t>
      </w:r>
      <w:r>
        <w:t>: of the species I reported, what fraction are really there? At 148 reads: 14 of 15, so 0.93.</w:t>
      </w:r>
    </w:p>
    <w:p>
      <w:pPr>
        <w:pStyle w:val="ListBullet"/>
      </w:pPr>
      <w:r>
        <w:rPr>
          <w:b/>
        </w:rPr>
        <w:t>Recall</w:t>
      </w:r>
      <w:r>
        <w:t>: of the species that are really there (and findable), what fraction did I report? At 148 reads: 14 of 14, so 1.0.</w:t>
      </w:r>
    </w:p>
    <w:p>
      <w:pPr>
        <w:pStyle w:val="ListBullet"/>
      </w:pPr>
      <w:r>
        <w:rPr>
          <w:b/>
        </w:rPr>
        <w:t>F1</w:t>
      </w:r>
      <w:r>
        <w:t>: one number that balances the two (it is low if either is low). At 148 reads: 0.966. A perfect result would be 1.0.</w:t>
      </w:r>
    </w:p>
    <w:p>
      <w:r>
        <w:rPr>
          <w:b w:val="0"/>
          <w:i w:val="0"/>
        </w:rPr>
        <w:t>We use F1 to compare thresholds because it punishes both mistakes, but we always show the false-positive list too, because a single score hides which species went wrong.</w:t>
      </w:r>
    </w:p>
    <w:p>
      <w:pPr>
        <w:pStyle w:val="Heading2"/>
      </w:pPr>
      <w:r>
        <w:t>4.4 Why the threshold is a percentage of reads, not a fixed number</w:t>
      </w:r>
    </w:p>
    <w:p>
      <w:r>
        <w:rPr>
          <w:b w:val="0"/>
          <w:i w:val="0"/>
        </w:rPr>
        <w:t>Imagine you rule “at least 148 reads”. If next week you sequence ten times less, a species at the same abundance yields ten times fewer reads, and the rule now throws away almost everything real. A percentage keeps its meaning: “at least 0.08% of all reads” scales with the amount of data. We plan to test smaller amounts of data (0.1, 0.25, 0.5 Gb), so a percentage is the right choice. On our 185,000-read pools, 0.08% equals 148 reads.</w:t>
      </w:r>
    </w:p>
    <w:p>
      <w:pPr>
        <w:pStyle w:val="Heading2"/>
      </w:pPr>
      <w:r>
        <w:t>4.5 Why “evaluable” species</w:t>
      </w:r>
    </w:p>
    <w:p>
      <w:r>
        <w:rPr>
          <w:b w:val="0"/>
          <w:i w:val="0"/>
        </w:rPr>
        <w:t>Three species in the mock are so rare that we would hardly expect any reads: Salmonella (about 18 reads expected), Enterococcus faecalis (about 2), Clostridium perfringens (0.2). If the software fails to report them, that is not its fault; the sample simply holds too little of them in 1 Gb. We therefore count only the 14 species expected to give at least 20 reads. The cut-off of 20 was fixed before we saw results (decision D14a). The three rare ones are still listed.</w:t>
      </w:r>
    </w:p>
    <w:p>
      <w:pPr>
        <w:pStyle w:val="Heading2"/>
      </w:pPr>
      <w:r>
        <w:t>4.6 Practice paper and exam paper: why two pools</w:t>
      </w:r>
    </w:p>
    <w:p>
      <w:r>
        <w:rPr>
          <w:b w:val="0"/>
          <w:i w:val="0"/>
        </w:rPr>
        <w:t>We split the data into a development pool and an evaluation pool. Think of past exam papers and the real exam. You may practise and adjust your method on the past papers as much as you like (the development pool). The real exam (the evaluation pool) you sit once, after you have fixed your method. If you changed your answers after seeing the exam marks, the marks would mean nothing.</w:t>
      </w:r>
    </w:p>
    <w:p>
      <w:r>
        <w:rPr>
          <w:b w:val="0"/>
          <w:i w:val="0"/>
        </w:rPr>
        <w:t>So on 16 October the order was strict: choose the threshold on the development pool, write the choice and our predictions down, commit them to Git and tag it (the tag is called freeze-d14, so the history proves it came first), and only then classify and score the evaluation pool, once.</w:t>
      </w:r>
    </w:p>
    <w:p>
      <w:pPr>
        <w:pStyle w:val="Heading2"/>
      </w:pPr>
      <w:r>
        <w:t>4.7 Why we compared thresholds by the “bootstrap mean”</w:t>
      </w:r>
    </w:p>
    <w:p>
      <w:r>
        <w:rPr>
          <w:b w:val="0"/>
          <w:i w:val="0"/>
        </w:rPr>
        <w:t>A trap appeared. On the development pool the single best threshold was 150 reads, with F1 0.966. But the rarest findable species, Methanobrevibacter smithii, had 151 reads: one read above the line. Reads are random draws, so on another sample it could easily have 140 and fall below. A threshold that wins by one read is exploiting luck.</w:t>
      </w:r>
    </w:p>
    <w:p>
      <w:r>
        <w:rPr>
          <w:b w:val="0"/>
          <w:i w:val="0"/>
        </w:rPr>
        <w:t>To avoid that, we used the bootstrap. The development pool is made of 37 blocks of 5,000 reads. We repeat 1,000 times: draw 37 blocks at random (with repeats allowed), score the result, and record the F1. Each repeat is a slightly different, equally plausible version of the data. Averaging over them tells us which threshold does well typically, not just once. It is like judging a footballer over a whole season instead of their best match. The threshold with the highest average F1 was 0.08% of reads (average F1 0.948). The 0.5% threshold was practically tied (0.947), and our tie rule favours the smaller threshold, because a larger one throws away real rare species for no gain.</w:t>
      </w:r>
    </w:p>
    <w:p>
      <w:r>
        <w:rPr>
          <w:b w:val="0"/>
          <w:i w:val="0"/>
        </w:rPr>
        <w:t>The honest summary: Methanobrevibacter smithii stays a coin-flip species at this depth (it was detected in 58% of the bootstrap repeats on development data). Our results say so.</w:t>
      </w:r>
    </w:p>
    <w:p>
      <w:pPr>
        <w:pStyle w:val="Heading2"/>
      </w:pPr>
      <w:r>
        <w:t>4.8 A naming problem: Fusobacterium</w:t>
      </w:r>
    </w:p>
    <w:p>
      <w:r>
        <w:rPr>
          <w:b w:val="0"/>
          <w:i w:val="0"/>
        </w:rPr>
        <w:t>The first scoring showed Fusobacterium nucleatum at 92 reads, 100 times fewer than expected, while a species called Fusobacterium animalis had 8,597. Taxonomy had changed: NCBI now files some strains that used to be called F. nucleatum under F. animalis. The classifier was right; our answer key was out of date.</w:t>
      </w:r>
    </w:p>
    <w:p>
      <w:r>
        <w:rPr>
          <w:b w:val="0"/>
          <w:i w:val="0"/>
        </w:rPr>
        <w:t>We did not just edit the key because it improved the score. We checked independently: we cut the manufacturer’s reference genome for that strain into 5,000-base pieces and classified them. 475 of 489 pieces (97%) came out as F. animalis. We then added a written exception (an “alias” with the evidence) and the scoring script prints every alias it uses. We also recorded that this was found after the first look at the results, which is a weaker position than deciding it in advance.</w:t>
      </w:r>
    </w:p>
    <w:p>
      <w:r>
        <w:rPr>
          <w:b w:val="0"/>
          <w:i w:val="0"/>
        </w:rPr>
        <w:t>The general lesson: compare species by their taxonomy number (taxid), keep exceptions in a visible file, and say when they were made.</w:t>
      </w:r>
    </w:p>
    <w:p>
      <w:r>
        <w:t xml:space="preserve">The authors of the paper that produced these data made the same renaming independently: the supplement to their paper lists Fusobacterium nucleatum renamed to Fusobacterium animalis for this mock, along with other renamed species.</w:t>
      </w:r>
    </w:p>
    <w:p>
      <w:pPr>
        <w:pStyle w:val="Heading2"/>
      </w:pPr>
      <w:r>
        <w:t>4.9 What the evaluation pool showed</w:t>
      </w:r>
    </w:p>
    <w:tbl>
      <w:tblPr>
        <w:tblStyle w:val="TableGrid"/>
        <w:tblW w:type="auto" w:w="0"/>
        <w:tblLayout w:type="fixed"/>
        <w:tblLook w:firstColumn="1" w:firstRow="1" w:lastColumn="0" w:lastRow="0" w:noHBand="0" w:noVBand="1" w:val="04A0"/>
      </w:tblPr>
      <w:tblGrid>
        <w:gridCol w:w="3249"/>
        <w:gridCol w:w="3249"/>
        <w:gridCol w:w="3249"/>
      </w:tblGrid>
      <w:tr>
        <w:trPr>
          <w:cantSplit/>
        </w:trPr>
        <w:tc>
          <w:tcPr>
            <w:tcW w:type="dxa" w:w="2551"/>
            <w:shd w:val="clear" w:fill="D9E4F2"/>
          </w:tcPr>
          <w:p>
            <w:r/>
            <w:r>
              <w:rPr>
                <w:b/>
                <w:sz w:val="20"/>
              </w:rPr>
            </w:r>
          </w:p>
        </w:tc>
        <w:tc>
          <w:tcPr>
            <w:tcW w:type="dxa" w:w="3118"/>
            <w:shd w:val="clear" w:fill="D9E4F2"/>
          </w:tcPr>
          <w:p>
            <w:r/>
            <w:r>
              <w:rPr>
                <w:b/>
                <w:sz w:val="20"/>
              </w:rPr>
              <w:t>We predicted (before running)</w:t>
            </w:r>
          </w:p>
        </w:tc>
        <w:tc>
          <w:tcPr>
            <w:tcW w:type="dxa" w:w="3685"/>
            <w:shd w:val="clear" w:fill="D9E4F2"/>
          </w:tcPr>
          <w:p>
            <w:r/>
            <w:r>
              <w:rPr>
                <w:b/>
                <w:sz w:val="20"/>
              </w:rPr>
              <w:t>What happened</w:t>
            </w:r>
          </w:p>
        </w:tc>
      </w:tr>
      <w:tr>
        <w:trPr>
          <w:cantSplit/>
        </w:trPr>
        <w:tc>
          <w:tcPr>
            <w:tcW w:type="dxa" w:w="2551"/>
          </w:tcPr>
          <w:p>
            <w:r/>
            <w:r>
              <w:rPr>
                <w:sz w:val="20"/>
              </w:rPr>
              <w:t>Findable species found</w:t>
            </w:r>
          </w:p>
        </w:tc>
        <w:tc>
          <w:tcPr>
            <w:tcW w:type="dxa" w:w="3118"/>
          </w:tcPr>
          <w:p>
            <w:r/>
            <w:r>
              <w:rPr>
                <w:sz w:val="20"/>
              </w:rPr>
              <w:t>13 or 14 of 14</w:t>
            </w:r>
          </w:p>
        </w:tc>
        <w:tc>
          <w:tcPr>
            <w:tcW w:type="dxa" w:w="3685"/>
          </w:tcPr>
          <w:p>
            <w:r/>
            <w:r>
              <w:rPr>
                <w:sz w:val="20"/>
              </w:rPr>
              <w:t>14 of 14</w:t>
            </w:r>
          </w:p>
        </w:tc>
      </w:tr>
      <w:tr>
        <w:trPr>
          <w:cantSplit/>
        </w:trPr>
        <w:tc>
          <w:tcPr>
            <w:tcW w:type="dxa" w:w="2551"/>
          </w:tcPr>
          <w:p>
            <w:r/>
            <w:r>
              <w:rPr>
                <w:sz w:val="20"/>
              </w:rPr>
              <w:t>False positives</w:t>
            </w:r>
          </w:p>
        </w:tc>
        <w:tc>
          <w:tcPr>
            <w:tcW w:type="dxa" w:w="3118"/>
          </w:tcPr>
          <w:p>
            <w:r/>
            <w:r>
              <w:rPr>
                <w:sz w:val="20"/>
              </w:rPr>
              <w:t>1 or 2</w:t>
            </w:r>
          </w:p>
        </w:tc>
        <w:tc>
          <w:tcPr>
            <w:tcW w:type="dxa" w:w="3685"/>
          </w:tcPr>
          <w:p>
            <w:r/>
            <w:r>
              <w:rPr>
                <w:sz w:val="20"/>
              </w:rPr>
              <w:t>1 (human DNA, 818 reads)</w:t>
            </w:r>
          </w:p>
        </w:tc>
      </w:tr>
      <w:tr>
        <w:trPr>
          <w:cantSplit/>
        </w:trPr>
        <w:tc>
          <w:tcPr>
            <w:tcW w:type="dxa" w:w="2551"/>
          </w:tcPr>
          <w:p>
            <w:r/>
            <w:r>
              <w:rPr>
                <w:sz w:val="20"/>
              </w:rPr>
              <w:t>F1</w:t>
            </w:r>
          </w:p>
        </w:tc>
        <w:tc>
          <w:tcPr>
            <w:tcW w:type="dxa" w:w="3118"/>
          </w:tcPr>
          <w:p>
            <w:r/>
            <w:r>
              <w:rPr>
                <w:sz w:val="20"/>
              </w:rPr>
              <w:t>about 0.90 to 0.97</w:t>
            </w:r>
          </w:p>
        </w:tc>
        <w:tc>
          <w:tcPr>
            <w:tcW w:type="dxa" w:w="3685"/>
          </w:tcPr>
          <w:p>
            <w:r/>
            <w:r>
              <w:rPr>
                <w:sz w:val="20"/>
              </w:rPr>
              <w:t>0.966</w:t>
            </w:r>
          </w:p>
        </w:tc>
      </w:tr>
      <w:tr>
        <w:trPr>
          <w:cantSplit/>
        </w:trPr>
        <w:tc>
          <w:tcPr>
            <w:tcW w:type="dxa" w:w="2551"/>
          </w:tcPr>
          <w:p>
            <w:r/>
            <w:r>
              <w:rPr>
                <w:sz w:val="20"/>
              </w:rPr>
              <w:t>Fusobacterium vs expected</w:t>
            </w:r>
          </w:p>
        </w:tc>
        <w:tc>
          <w:tcPr>
            <w:tcW w:type="dxa" w:w="3118"/>
          </w:tcPr>
          <w:p>
            <w:r/>
            <w:r>
              <w:rPr>
                <w:sz w:val="20"/>
              </w:rPr>
              <w:t>about 0.78</w:t>
            </w:r>
          </w:p>
        </w:tc>
        <w:tc>
          <w:tcPr>
            <w:tcW w:type="dxa" w:w="3685"/>
          </w:tcPr>
          <w:p>
            <w:r/>
            <w:r>
              <w:rPr>
                <w:sz w:val="20"/>
              </w:rPr>
              <w:t>0.76</w:t>
            </w:r>
          </w:p>
        </w:tc>
      </w:tr>
      <w:tr>
        <w:trPr>
          <w:cantSplit/>
        </w:trPr>
        <w:tc>
          <w:tcPr>
            <w:tcW w:type="dxa" w:w="2551"/>
          </w:tcPr>
          <w:p>
            <w:r>
              <w:rPr>
                <w:sz w:val="20"/>
              </w:rPr>
              <w:t>17 Oct, evening</w:t>
            </w:r>
          </w:p>
        </w:tc>
        <w:tc>
          <w:tcPr>
            <w:tcW w:type="dxa" w:w="3118"/>
          </w:tcPr>
          <w:p>
            <w:r>
              <w:rPr>
                <w:sz w:val="20"/>
              </w:rPr>
              <w:t>Registered a fourth experiment with a different kind of profiler (Sylph); downloaded its 20 GB library; built the first translation table from mock names to its names; first run on the practice pool</w:t>
            </w:r>
          </w:p>
        </w:tc>
        <w:tc>
          <w:tcPr>
            <w:tcW w:type="dxa" w:w="3685"/>
          </w:tcPr>
          <w:p>
            <w:r>
              <w:rPr>
                <w:sz w:val="20"/>
              </w:rPr>
              <w:t>Test whether a different method handles close relatives better</w:t>
            </w:r>
          </w:p>
        </w:tc>
      </w:tr>
      <w:tr>
        <w:trPr>
          <w:cantSplit/>
        </w:trPr>
        <w:tc>
          <w:tcPr>
            <w:tcW w:type="dxa" w:w="2551"/>
          </w:tcPr>
          <w:p>
            <w:r>
              <w:rPr>
                <w:sz w:val="20"/>
              </w:rPr>
              <w:t>17–18 Oct</w:t>
            </w:r>
          </w:p>
        </w:tc>
        <w:tc>
          <w:tcPr>
            <w:tcW w:type="dxa" w:w="3118"/>
          </w:tcPr>
          <w:p>
            <w:r>
              <w:rPr>
                <w:sz w:val="20"/>
              </w:rPr>
              <w:t>Found that the translation table gave F1 0.50 for a naming reason; replaced it with a genome-to-genome comparison (written up as an addendum, first version kept); chose the settings on the practice pool and froze them</w:t>
            </w:r>
          </w:p>
        </w:tc>
        <w:tc>
          <w:tcPr>
            <w:tcW w:type="dxa" w:w="3685"/>
          </w:tcPr>
          <w:p>
            <w:r>
              <w:rPr>
                <w:sz w:val="20"/>
              </w:rPr>
              <w:t>Correct a flawed design in the open, before touching the exam pool</w:t>
            </w:r>
          </w:p>
        </w:tc>
      </w:tr>
      <w:tr>
        <w:trPr>
          <w:cantSplit/>
        </w:trPr>
        <w:tc>
          <w:tcPr>
            <w:tcW w:type="dxa" w:w="2551"/>
          </w:tcPr>
          <w:p>
            <w:r>
              <w:rPr>
                <w:sz w:val="20"/>
              </w:rPr>
              <w:t>18 Oct</w:t>
            </w:r>
          </w:p>
        </w:tc>
        <w:tc>
          <w:tcPr>
            <w:tcW w:type="dxa" w:w="3118"/>
          </w:tcPr>
          <w:p>
            <w:r>
              <w:rPr>
                <w:sz w:val="20"/>
              </w:rPr>
              <w:t>Committed a rule for genomes that might appear only in the exam profile; scored the exam pool once per arm; compared with the written predictions</w:t>
            </w:r>
          </w:p>
        </w:tc>
        <w:tc>
          <w:tcPr>
            <w:tcW w:type="dxa" w:w="3685"/>
          </w:tcPr>
          <w:p>
            <w:r>
              <w:rPr>
                <w:sz w:val="20"/>
              </w:rPr>
              <w:t>Sit the exam once</w:t>
            </w:r>
          </w:p>
        </w:tc>
      </w:tr>
    </w:tbl>
    <w:p/>
    <w:p>
      <w:r>
        <w:rPr>
          <w:b w:val="0"/>
          <w:i w:val="0"/>
        </w:rPr>
        <w:t>Everything fell inside our predictions, which is good evidence that the threshold was not tuned to the quirks of the development pool. What it does not show: that the result carries over to a different run, kit or sample, because both pools come from the same run.</w:t>
      </w:r>
    </w:p>
    <w:p>
      <w:pPr>
        <w:pStyle w:val="Heading3"/>
      </w:pPr>
      <w:r>
        <w:t>What the numbers also say</w:t>
      </w:r>
    </w:p>
    <w:p>
      <w:pPr>
        <w:pStyle w:val="ListBullet"/>
      </w:pPr>
      <w:r>
        <w:t>The software is good at “who is present” at a sensible threshold: 14 of 14 findable species, one wrong species.</w:t>
      </w:r>
    </w:p>
    <w:p>
      <w:pPr>
        <w:pStyle w:val="ListBullet"/>
      </w:pPr>
      <w:r>
        <w:t>The counts of each species depart from the manufacturer’s theoretical composition: for example Roseburia hominis comes out at 0.41 of the expected amount, Bifidobacterium adolescentis at 0.22 and E. coli at 0.57, while Limosilactobacillus fermentum is at 1.66. Looking at the reads themselves later (section 5.4) showed that most of this is already present in the reads before classification, so it is not mainly a software loss (whether it comes from the tube, extraction or library preparation is not known). The software loses reads mainly for species with close relatives (E. coli, Bifidobacterium adolescentis), where many reads stop at family or genus level. A later check (end of section 5.5) added that species differ in read length, so counting reads and counting DNA give different answers for the same species.</w:t>
      </w:r>
    </w:p>
    <w:p>
      <w:pPr>
        <w:pStyle w:val="ListBullet"/>
      </w:pPr>
      <w:r>
        <w:t>We tested whether the 8 GB size cap on the database causes the low values (section 5.3). A 15-fold larger database recovers most of the loss for E. coli, helps Bifidobacterium adolescentis and does almost nothing for Roseburia, whose low value turned out not to be a software loss at all (section 5.4).</w:t>
      </w:r>
    </w:p>
    <w:p>
      <w:pPr>
        <w:pStyle w:val="ListBullet"/>
      </w:pPr>
      <w:r>
        <w:t>The one false positive is human DNA at about 0.5% of reads in both pools. The mock contains no human DNA, so it is probably contamination or misassignment; we count it as a false positive and have not yet worked out its origin. A larger database assigns even more reads to human (about 1% with the largest index), so the question is still open. Most of the human reads match none of the mock genomes (section 5.4), which fits real human DNA in the sample, but that is not proved.</w:t>
      </w:r>
    </w:p>
    <w:p>
      <w:pPr>
        <w:pStyle w:val="Heading2"/>
      </w:pPr>
      <w:r>
        <w:t xml:space="preserve">4.10 A worked example: one species from start to finish</w:t>
      </w:r>
    </w:p>
    <w:p>
      <w:r>
        <w:t xml:space="preserve">Follow Roseburia hominis through the whole workflow, using the practice pool.</w:t>
      </w:r>
    </w:p>
    <w:p>
      <w:pPr>
        <w:pStyle w:val="ListNumber"/>
      </w:pPr>
      <w:r>
        <w:rPr>
          <w:b/>
        </w:rPr>
        <w:t xml:space="preserve">Recipe. </w:t>
      </w:r>
      <w:r>
        <w:t xml:space="preserve">The manufacturer’s table gives it 14% of the DNA. The pool has 185,000 reads, so we expect 14% × 185,000 = 25,900 reads.</w:t>
      </w:r>
    </w:p>
    <w:p>
      <w:pPr>
        <w:pStyle w:val="ListNumber"/>
      </w:pPr>
      <w:r>
        <w:rPr>
          <w:b/>
        </w:rPr>
        <w:t xml:space="preserve">What was sequenced. </w:t>
      </w:r>
      <w:r>
        <w:t xml:space="preserve">Aligning the reads to the reference genomes finds 11,003 reads that come from it: 0.42 of the expected number.</w:t>
      </w:r>
    </w:p>
    <w:p>
      <w:pPr>
        <w:pStyle w:val="ListNumber"/>
      </w:pPr>
      <w:r>
        <w:rPr>
          <w:b/>
        </w:rPr>
        <w:t xml:space="preserve">Classification. </w:t>
      </w:r>
      <w:r>
        <w:t xml:space="preserve">Kraken2 (PlusPF-8) assigns 10,882 reads to the species, almost the same as the alignment, so the classifier is not the cause of the shortfall.</w:t>
      </w:r>
    </w:p>
    <w:p>
      <w:pPr>
        <w:pStyle w:val="ListNumber"/>
      </w:pPr>
      <w:r>
        <w:rPr>
          <w:b/>
        </w:rPr>
        <w:t xml:space="preserve">Detection. </w:t>
      </w:r>
      <w:r>
        <w:t xml:space="preserve">The threshold is 0.0008 of all reads = 148 reads. 10,882 is well above it, so the species counts as detected. It is also “evaluable”, because we expect far more than 20 reads.</w:t>
      </w:r>
    </w:p>
    <w:p>
      <w:pPr>
        <w:pStyle w:val="ListNumber"/>
      </w:pPr>
      <w:r>
        <w:rPr>
          <w:b/>
        </w:rPr>
        <w:t xml:space="preserve">Score. </w:t>
      </w:r>
      <w:r>
        <w:t xml:space="preserve">Detection feeds recall and F1: all 14 evaluable species were found, so recall is 14 of 14. Abundance is a separate question: 0.42 of the label by reads, and about 0.38 of its expected share when counted in letters (its reads average 4.4 thousand letters).</w:t>
      </w:r>
    </w:p>
    <w:p>
      <w:pPr>
        <w:pStyle w:val="ListNumber"/>
      </w:pPr>
      <w:r>
        <w:rPr>
          <w:b/>
        </w:rPr>
        <w:t xml:space="preserve">What we can claim. </w:t>
      </w:r>
      <w:r>
        <w:t xml:space="preserve">The method finds the species reliably. Why its abundance sits far below the label is not settled: the tube, its preparation and read length are all candidates, and only the lot certificate and the authors can narrow it.</w:t>
      </w:r>
    </w:p>
    <w:p>
      <w:pPr>
        <w:pStyle w:val="Heading2"/>
      </w:pPr>
      <w:r>
        <w:t>4.11 The timeline</w:t>
      </w:r>
    </w:p>
    <w:tbl>
      <w:tblPr>
        <w:tblStyle w:val="TableGrid"/>
        <w:tblW w:type="auto" w:w="0"/>
        <w:tblLayout w:type="fixed"/>
        <w:tblLook w:firstColumn="1" w:firstRow="1" w:lastColumn="0" w:lastRow="0" w:noHBand="0" w:noVBand="1" w:val="04A0"/>
      </w:tblPr>
      <w:tblGrid>
        <w:gridCol w:w="3249"/>
        <w:gridCol w:w="3249"/>
        <w:gridCol w:w="3249"/>
      </w:tblGrid>
      <w:tr>
        <w:trPr>
          <w:cantSplit/>
        </w:trPr>
        <w:tc>
          <w:tcPr>
            <w:tcW w:type="dxa" w:w="1361"/>
            <w:shd w:val="clear" w:fill="D9E4F2"/>
          </w:tcPr>
          <w:p>
            <w:r/>
            <w:r>
              <w:rPr>
                <w:b/>
                <w:sz w:val="20"/>
              </w:rPr>
              <w:t>When</w:t>
            </w:r>
          </w:p>
        </w:tc>
        <w:tc>
          <w:tcPr>
            <w:tcW w:type="dxa" w:w="4535"/>
            <w:shd w:val="clear" w:fill="D9E4F2"/>
          </w:tcPr>
          <w:p>
            <w:r/>
            <w:r>
              <w:rPr>
                <w:b/>
                <w:sz w:val="20"/>
              </w:rPr>
              <w:t>What we did</w:t>
            </w:r>
          </w:p>
        </w:tc>
        <w:tc>
          <w:tcPr>
            <w:tcW w:type="dxa" w:w="3458"/>
            <w:shd w:val="clear" w:fill="D9E4F2"/>
          </w:tcPr>
          <w:p>
            <w:r/>
            <w:r>
              <w:rPr>
                <w:b/>
                <w:sz w:val="20"/>
              </w:rPr>
              <w:t>Why</w:t>
            </w:r>
          </w:p>
        </w:tc>
      </w:tr>
      <w:tr>
        <w:trPr>
          <w:cantSplit/>
        </w:trPr>
        <w:tc>
          <w:tcPr>
            <w:tcW w:type="dxa" w:w="1361"/>
          </w:tcPr>
          <w:p>
            <w:r/>
            <w:r>
              <w:rPr>
                <w:sz w:val="20"/>
              </w:rPr>
              <w:t>15 Oct</w:t>
            </w:r>
          </w:p>
        </w:tc>
        <w:tc>
          <w:tcPr>
            <w:tcW w:type="dxa" w:w="4535"/>
          </w:tcPr>
          <w:p>
            <w:r/>
            <w:r>
              <w:rPr>
                <w:sz w:val="20"/>
              </w:rPr>
              <w:t>Checked chemistry and basecaller; ran quality checks on both pools; chose the database (PlusPF-8) and pinned Kraken2; classified the development pool</w:t>
            </w:r>
          </w:p>
        </w:tc>
        <w:tc>
          <w:tcPr>
            <w:tcW w:type="dxa" w:w="3458"/>
          </w:tcPr>
          <w:p>
            <w:r/>
            <w:r>
              <w:rPr>
                <w:sz w:val="20"/>
              </w:rPr>
              <w:t>Know the data and freeze the tool before measuring anything</w:t>
            </w:r>
          </w:p>
        </w:tc>
      </w:tr>
      <w:tr>
        <w:trPr>
          <w:cantSplit/>
        </w:trPr>
        <w:tc>
          <w:tcPr>
            <w:tcW w:type="dxa" w:w="1361"/>
          </w:tcPr>
          <w:p>
            <w:r/>
            <w:r>
              <w:rPr>
                <w:sz w:val="20"/>
              </w:rPr>
              <w:t>16 Oct, morning</w:t>
            </w:r>
          </w:p>
        </w:tc>
        <w:tc>
          <w:tcPr>
            <w:tcW w:type="dxa" w:w="4535"/>
          </w:tcPr>
          <w:p>
            <w:r/>
            <w:r>
              <w:rPr>
                <w:sz w:val="20"/>
              </w:rPr>
              <w:t>Wrote the scoring script and tested it on invented data where we worked out the right answers by hand</w:t>
            </w:r>
          </w:p>
        </w:tc>
        <w:tc>
          <w:tcPr>
            <w:tcW w:type="dxa" w:w="3458"/>
          </w:tcPr>
          <w:p>
            <w:r/>
            <w:r>
              <w:rPr>
                <w:sz w:val="20"/>
              </w:rPr>
              <w:t>A scorer that is wrong would make every result wrong</w:t>
            </w:r>
          </w:p>
        </w:tc>
      </w:tr>
      <w:tr>
        <w:trPr>
          <w:cantSplit/>
        </w:trPr>
        <w:tc>
          <w:tcPr>
            <w:tcW w:type="dxa" w:w="1361"/>
          </w:tcPr>
          <w:p>
            <w:r/>
            <w:r>
              <w:rPr>
                <w:sz w:val="20"/>
              </w:rPr>
              <w:t>16 Oct</w:t>
            </w:r>
          </w:p>
        </w:tc>
        <w:tc>
          <w:tcPr>
            <w:tcW w:type="dxa" w:w="4535"/>
          </w:tcPr>
          <w:p>
            <w:r/>
            <w:r>
              <w:rPr>
                <w:sz w:val="20"/>
              </w:rPr>
              <w:t>First real scoring: 496 species reported; found the Fusobacterium naming problem; fixed it with evidence</w:t>
            </w:r>
          </w:p>
        </w:tc>
        <w:tc>
          <w:tcPr>
            <w:tcW w:type="dxa" w:w="3458"/>
          </w:tcPr>
          <w:p>
            <w:r/>
            <w:r>
              <w:rPr>
                <w:sz w:val="20"/>
              </w:rPr>
              <w:t>See the noise, then correct the answer key honestly</w:t>
            </w:r>
          </w:p>
        </w:tc>
      </w:tr>
      <w:tr>
        <w:trPr>
          <w:cantSplit/>
        </w:trPr>
        <w:tc>
          <w:tcPr>
            <w:tcW w:type="dxa" w:w="1361"/>
          </w:tcPr>
          <w:p>
            <w:r/>
            <w:r>
              <w:rPr>
                <w:sz w:val="20"/>
              </w:rPr>
              <w:t>16 Oct</w:t>
            </w:r>
          </w:p>
        </w:tc>
        <w:tc>
          <w:tcPr>
            <w:tcW w:type="dxa" w:w="4535"/>
          </w:tcPr>
          <w:p>
            <w:r/>
            <w:r>
              <w:rPr>
                <w:sz w:val="20"/>
              </w:rPr>
              <w:t>Fixed the evaluable minimum (20) and the idea of a percentage threshold; compared six candidates by bootstrap; froze 0.08%</w:t>
            </w:r>
          </w:p>
        </w:tc>
        <w:tc>
          <w:tcPr>
            <w:tcW w:type="dxa" w:w="3458"/>
          </w:tcPr>
          <w:p>
            <w:r/>
            <w:r>
              <w:rPr>
                <w:sz w:val="20"/>
              </w:rPr>
              <w:t>Choose the rule on practice data only</w:t>
            </w:r>
          </w:p>
        </w:tc>
      </w:tr>
      <w:tr>
        <w:trPr>
          <w:cantSplit/>
        </w:trPr>
        <w:tc>
          <w:tcPr>
            <w:tcW w:type="dxa" w:w="1361"/>
          </w:tcPr>
          <w:p>
            <w:r/>
            <w:r>
              <w:rPr>
                <w:sz w:val="20"/>
              </w:rPr>
              <w:t>16 Oct</w:t>
            </w:r>
          </w:p>
        </w:tc>
        <w:tc>
          <w:tcPr>
            <w:tcW w:type="dxa" w:w="4535"/>
          </w:tcPr>
          <w:p>
            <w:r/>
            <w:r>
              <w:rPr>
                <w:sz w:val="20"/>
              </w:rPr>
              <w:t>Committed and tagged the decision, then scored the evaluation pool once</w:t>
            </w:r>
          </w:p>
        </w:tc>
        <w:tc>
          <w:tcPr>
            <w:tcW w:type="dxa" w:w="3458"/>
          </w:tcPr>
          <w:p>
            <w:r/>
            <w:r>
              <w:rPr>
                <w:sz w:val="20"/>
              </w:rPr>
              <w:t>Sit the exam once; compare with the written predictions</w:t>
            </w:r>
          </w:p>
        </w:tc>
      </w:tr>
      <w:tr>
        <w:trPr>
          <w:cantSplit/>
        </w:trPr>
        <w:tc>
          <w:tcPr>
            <w:tcW w:type="dxa" w:w="1361"/>
          </w:tcPr>
          <w:p>
            <w:r/>
            <w:r>
              <w:rPr>
                <w:sz w:val="20"/>
              </w:rPr>
              <w:t>16 Oct, afternoon</w:t>
            </w:r>
          </w:p>
        </w:tc>
        <w:tc>
          <w:tcPr>
            <w:tcW w:type="dxa" w:w="4535"/>
          </w:tcPr>
          <w:p>
            <w:r/>
            <w:r>
              <w:rPr>
                <w:sz w:val="20"/>
              </w:rPr>
              <w:t>Depth series: predictions written first, then 0.1, 0.25 and 0.5 Gb subsets (five replicates each) scored with the frozen threshold</w:t>
            </w:r>
          </w:p>
        </w:tc>
        <w:tc>
          <w:tcPr>
            <w:tcW w:type="dxa" w:w="3458"/>
          </w:tcPr>
          <w:p>
            <w:r/>
            <w:r>
              <w:rPr>
                <w:sz w:val="20"/>
              </w:rPr>
              <w:t>See what lower depth costs</w:t>
            </w:r>
          </w:p>
        </w:tc>
      </w:tr>
      <w:tr>
        <w:trPr>
          <w:cantSplit/>
        </w:trPr>
        <w:tc>
          <w:tcPr>
            <w:tcW w:type="dxa" w:w="1361"/>
          </w:tcPr>
          <w:p>
            <w:r/>
            <w:r>
              <w:rPr>
                <w:sz w:val="20"/>
              </w:rPr>
              <w:t>16 Oct, afternoon</w:t>
            </w:r>
          </w:p>
        </w:tc>
        <w:tc>
          <w:tcPr>
            <w:tcW w:type="dxa" w:w="4535"/>
          </w:tcPr>
          <w:p>
            <w:r/>
            <w:r>
              <w:rPr>
                <w:sz w:val="20"/>
              </w:rPr>
              <w:t>Kraken2 confidence arms: five settings registered, tuned on the practice pool, frozen, scored once each</w:t>
            </w:r>
          </w:p>
        </w:tc>
        <w:tc>
          <w:tcPr>
            <w:tcW w:type="dxa" w:w="3458"/>
          </w:tcPr>
          <w:p>
            <w:r/>
            <w:r>
              <w:rPr>
                <w:sz w:val="20"/>
              </w:rPr>
              <w:t>Cheap test of a lever against false positives</w:t>
            </w:r>
          </w:p>
        </w:tc>
      </w:tr>
      <w:tr>
        <w:trPr>
          <w:cantSplit/>
        </w:trPr>
        <w:tc>
          <w:tcPr>
            <w:tcW w:type="dxa" w:w="1361"/>
          </w:tcPr>
          <w:p>
            <w:r/>
            <w:r>
              <w:rPr>
                <w:sz w:val="20"/>
              </w:rPr>
              <w:t>16 Oct, evening</w:t>
            </w:r>
          </w:p>
        </w:tc>
        <w:tc>
          <w:tcPr>
            <w:tcW w:type="dxa" w:w="4535"/>
          </w:tcPr>
          <w:p>
            <w:r/>
            <w:r>
              <w:rPr>
                <w:sz w:val="20"/>
              </w:rPr>
              <w:t>Database-size arms on a rented 128 GB cloud machine (8, 16 and 110 GB indexes): registered, control checked, frozen, scored once each; machine terminated (roughly $2)</w:t>
            </w:r>
          </w:p>
        </w:tc>
        <w:tc>
          <w:tcPr>
            <w:tcW w:type="dxa" w:w="3458"/>
          </w:tcPr>
          <w:p>
            <w:r/>
            <w:r>
              <w:rPr>
                <w:sz w:val="20"/>
              </w:rPr>
              <w:t>Test whether the 8 GB cap causes the abundance bias</w:t>
            </w:r>
          </w:p>
        </w:tc>
      </w:tr>
      <w:tr>
        <w:trPr>
          <w:cantSplit/>
        </w:trPr>
        <w:tc>
          <w:tcPr>
            <w:tcW w:type="dxa" w:w="1361"/>
          </w:tcPr>
          <w:p>
            <w:r/>
            <w:r>
              <w:rPr>
                <w:sz w:val="20"/>
              </w:rPr>
              <w:t>17 Oct</w:t>
            </w:r>
          </w:p>
        </w:tc>
        <w:tc>
          <w:tcPr>
            <w:tcW w:type="dxa" w:w="4535"/>
          </w:tcPr>
          <w:p>
            <w:r/>
            <w:r>
              <w:rPr>
                <w:sz w:val="20"/>
              </w:rPr>
              <w:t>Aligned every practice-pool read to the reference genomes with minimap2 and compared with what Kraken2 said, read by read (exploratory, not registered)</w:t>
            </w:r>
          </w:p>
        </w:tc>
        <w:tc>
          <w:tcPr>
            <w:tcW w:type="dxa" w:w="3458"/>
          </w:tcPr>
          <w:p>
            <w:r/>
            <w:r>
              <w:rPr>
                <w:sz w:val="20"/>
              </w:rPr>
              <w:t>Find out where the “missing” reads go</w:t>
            </w:r>
          </w:p>
        </w:tc>
      </w:tr>
    </w:tbl>
    <w:p/>
    <w:p>
      <w:pPr>
        <w:pStyle w:val="Heading1"/>
      </w:pPr>
      <w:r>
        <w:t>5. What the experiments after the baseline showed</w:t>
      </w:r>
    </w:p>
    <w:p>
      <w:r>
        <w:rPr>
          <w:b w:val="0"/>
          <w:i w:val="0"/>
        </w:rPr>
        <w:t>After the baseline was scored, we ran four controlled experiments. Each had the same shape, which is worth learning because it is what makes the results trustworthy. A further piece of work (section 5.4) was an exploratory look at the reads themselves; it was not registered beforehand and is labelled as such.</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How each experiment was kept honest.  </w:t>
            </w:r>
            <w:r>
              <w:t>(1) Before running, we wrote down the arms (the variants), the rule for choosing settings, and our predictions, and saved them in the repository with a Git tag. (2) Any setting that could be tuned was tuned on the practice (development) pool only, then written down and tagged again. (3) Only then was the exam (evaluation) pool scored, once per arm. (4) Every arm is reported, including the ones that failed. The tags (dbarms-registered, dbarms-frozen and so on) are the proof of the order.</w:t>
            </w:r>
          </w:p>
        </w:tc>
      </w:tr>
    </w:tbl>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How to read a result like “0.962 (0.929–0.966)”.  </w:t>
            </w:r>
            <w:r>
              <w:t>The first number is the typical score over 1,000 re-drawings of the data. The brackets are the 95% interval: the range that holds the middle 95% of those re-drawings. A narrow range means the result is stable; if two arms’ ranges overlap a lot, we cannot say one is truly better. It says how much the answer depends on which reads happened to be sampled; it does not say how sure the software was.</w:t>
            </w:r>
          </w:p>
        </w:tc>
      </w:tr>
    </w:tbl>
    <w:p/>
    <w:p>
      <w:pPr>
        <w:pStyle w:val="Heading2"/>
      </w:pPr>
      <w:r>
        <w:t>5.1 Experiment 1: how much data do we need? (depth series)</w:t>
      </w:r>
    </w:p>
    <w:p>
      <w:r>
        <w:rPr>
          <w:b w:val="0"/>
          <w:i w:val="0"/>
        </w:rPr>
        <w:t>We took random subsets of the evaluation pool at 0.1, 0.25 and 0.5 Gb (five replicates each) and scored them with the same frozen threshold (0.08% of reads, so the bar scales with depth).</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1701"/>
            <w:shd w:val="clear" w:fill="D9E4F2"/>
          </w:tcPr>
          <w:p>
            <w:r/>
            <w:r>
              <w:rPr>
                <w:b/>
                <w:sz w:val="20"/>
              </w:rPr>
              <w:t>Depth</w:t>
            </w:r>
          </w:p>
        </w:tc>
        <w:tc>
          <w:tcPr>
            <w:tcW w:type="dxa" w:w="1361"/>
            <w:shd w:val="clear" w:fill="D9E4F2"/>
          </w:tcPr>
          <w:p>
            <w:r/>
            <w:r>
              <w:rPr>
                <w:b/>
                <w:sz w:val="20"/>
              </w:rPr>
              <w:t>Reads</w:t>
            </w:r>
          </w:p>
        </w:tc>
        <w:tc>
          <w:tcPr>
            <w:tcW w:type="dxa" w:w="1474"/>
            <w:shd w:val="clear" w:fill="D9E4F2"/>
          </w:tcPr>
          <w:p>
            <w:r/>
            <w:r>
              <w:rPr>
                <w:b/>
                <w:sz w:val="20"/>
              </w:rPr>
              <w:t>Threshold (reads)</w:t>
            </w:r>
          </w:p>
        </w:tc>
        <w:tc>
          <w:tcPr>
            <w:tcW w:type="dxa" w:w="2268"/>
            <w:shd w:val="clear" w:fill="D9E4F2"/>
          </w:tcPr>
          <w:p>
            <w:r/>
            <w:r>
              <w:rPr>
                <w:b/>
                <w:sz w:val="20"/>
              </w:rPr>
              <w:t>Findable species found</w:t>
            </w:r>
          </w:p>
        </w:tc>
        <w:tc>
          <w:tcPr>
            <w:tcW w:type="dxa" w:w="1247"/>
            <w:shd w:val="clear" w:fill="D9E4F2"/>
          </w:tcPr>
          <w:p>
            <w:r/>
            <w:r>
              <w:rPr>
                <w:b/>
                <w:sz w:val="20"/>
              </w:rPr>
              <w:t>F1 (mean)</w:t>
            </w:r>
          </w:p>
        </w:tc>
        <w:tc>
          <w:tcPr>
            <w:tcW w:type="dxa" w:w="1304"/>
            <w:shd w:val="clear" w:fill="D9E4F2"/>
          </w:tcPr>
          <w:p>
            <w:r/>
            <w:r>
              <w:rPr>
                <w:b/>
                <w:sz w:val="20"/>
              </w:rPr>
              <w:t>Wrong species (mean)</w:t>
            </w:r>
          </w:p>
        </w:tc>
      </w:tr>
      <w:tr>
        <w:trPr>
          <w:cantSplit/>
        </w:trPr>
        <w:tc>
          <w:tcPr>
            <w:tcW w:type="dxa" w:w="1701"/>
          </w:tcPr>
          <w:p>
            <w:r/>
            <w:r>
              <w:rPr>
                <w:sz w:val="20"/>
              </w:rPr>
              <w:t>0.1 Gb</w:t>
            </w:r>
          </w:p>
        </w:tc>
        <w:tc>
          <w:tcPr>
            <w:tcW w:type="dxa" w:w="1361"/>
          </w:tcPr>
          <w:p>
            <w:r/>
            <w:r>
              <w:rPr>
                <w:sz w:val="20"/>
              </w:rPr>
              <w:t>18,298</w:t>
            </w:r>
          </w:p>
        </w:tc>
        <w:tc>
          <w:tcPr>
            <w:tcW w:type="dxa" w:w="1474"/>
          </w:tcPr>
          <w:p>
            <w:r/>
            <w:r>
              <w:rPr>
                <w:sz w:val="20"/>
              </w:rPr>
              <w:t>15</w:t>
            </w:r>
          </w:p>
        </w:tc>
        <w:tc>
          <w:tcPr>
            <w:tcW w:type="dxa" w:w="2268"/>
          </w:tcPr>
          <w:p>
            <w:r/>
            <w:r>
              <w:rPr>
                <w:sz w:val="20"/>
              </w:rPr>
              <w:t>13 of 13</w:t>
            </w:r>
          </w:p>
        </w:tc>
        <w:tc>
          <w:tcPr>
            <w:tcW w:type="dxa" w:w="1247"/>
          </w:tcPr>
          <w:p>
            <w:r/>
            <w:r>
              <w:rPr>
                <w:sz w:val="20"/>
              </w:rPr>
              <w:t>0.953</w:t>
            </w:r>
          </w:p>
        </w:tc>
        <w:tc>
          <w:tcPr>
            <w:tcW w:type="dxa" w:w="1304"/>
          </w:tcPr>
          <w:p>
            <w:r/>
            <w:r>
              <w:rPr>
                <w:sz w:val="20"/>
              </w:rPr>
              <w:t>1.4</w:t>
            </w:r>
          </w:p>
        </w:tc>
      </w:tr>
      <w:tr>
        <w:trPr>
          <w:cantSplit/>
        </w:trPr>
        <w:tc>
          <w:tcPr>
            <w:tcW w:type="dxa" w:w="1701"/>
          </w:tcPr>
          <w:p>
            <w:r/>
            <w:r>
              <w:rPr>
                <w:sz w:val="20"/>
              </w:rPr>
              <w:t>0.25 Gb</w:t>
            </w:r>
          </w:p>
        </w:tc>
        <w:tc>
          <w:tcPr>
            <w:tcW w:type="dxa" w:w="1361"/>
          </w:tcPr>
          <w:p>
            <w:r/>
            <w:r>
              <w:rPr>
                <w:sz w:val="20"/>
              </w:rPr>
              <w:t>45,890</w:t>
            </w:r>
          </w:p>
        </w:tc>
        <w:tc>
          <w:tcPr>
            <w:tcW w:type="dxa" w:w="1474"/>
          </w:tcPr>
          <w:p>
            <w:r/>
            <w:r>
              <w:rPr>
                <w:sz w:val="20"/>
              </w:rPr>
              <w:t>37</w:t>
            </w:r>
          </w:p>
        </w:tc>
        <w:tc>
          <w:tcPr>
            <w:tcW w:type="dxa" w:w="2268"/>
          </w:tcPr>
          <w:p>
            <w:r/>
            <w:r>
              <w:rPr>
                <w:sz w:val="20"/>
              </w:rPr>
              <w:t>14 of 14 (one replicate missed one)</w:t>
            </w:r>
          </w:p>
        </w:tc>
        <w:tc>
          <w:tcPr>
            <w:tcW w:type="dxa" w:w="1247"/>
          </w:tcPr>
          <w:p>
            <w:r/>
            <w:r>
              <w:rPr>
                <w:sz w:val="20"/>
              </w:rPr>
              <w:t>0.958</w:t>
            </w:r>
          </w:p>
        </w:tc>
        <w:tc>
          <w:tcPr>
            <w:tcW w:type="dxa" w:w="1304"/>
          </w:tcPr>
          <w:p>
            <w:r/>
            <w:r>
              <w:rPr>
                <w:sz w:val="20"/>
              </w:rPr>
              <w:t>1.0</w:t>
            </w:r>
          </w:p>
        </w:tc>
      </w:tr>
      <w:tr>
        <w:trPr>
          <w:cantSplit/>
        </w:trPr>
        <w:tc>
          <w:tcPr>
            <w:tcW w:type="dxa" w:w="1701"/>
          </w:tcPr>
          <w:p>
            <w:r/>
            <w:r>
              <w:rPr>
                <w:sz w:val="20"/>
              </w:rPr>
              <w:t>0.5 Gb</w:t>
            </w:r>
          </w:p>
        </w:tc>
        <w:tc>
          <w:tcPr>
            <w:tcW w:type="dxa" w:w="1361"/>
          </w:tcPr>
          <w:p>
            <w:r/>
            <w:r>
              <w:rPr>
                <w:sz w:val="20"/>
              </w:rPr>
              <w:t>91,318</w:t>
            </w:r>
          </w:p>
        </w:tc>
        <w:tc>
          <w:tcPr>
            <w:tcW w:type="dxa" w:w="1474"/>
          </w:tcPr>
          <w:p>
            <w:r/>
            <w:r>
              <w:rPr>
                <w:sz w:val="20"/>
              </w:rPr>
              <w:t>74</w:t>
            </w:r>
          </w:p>
        </w:tc>
        <w:tc>
          <w:tcPr>
            <w:tcW w:type="dxa" w:w="2268"/>
          </w:tcPr>
          <w:p>
            <w:r/>
            <w:r>
              <w:rPr>
                <w:sz w:val="20"/>
              </w:rPr>
              <w:t>14 of 14</w:t>
            </w:r>
          </w:p>
        </w:tc>
        <w:tc>
          <w:tcPr>
            <w:tcW w:type="dxa" w:w="1247"/>
          </w:tcPr>
          <w:p>
            <w:r/>
            <w:r>
              <w:rPr>
                <w:sz w:val="20"/>
              </w:rPr>
              <w:t>0.966</w:t>
            </w:r>
          </w:p>
        </w:tc>
        <w:tc>
          <w:tcPr>
            <w:tcW w:type="dxa" w:w="1304"/>
          </w:tcPr>
          <w:p>
            <w:r/>
            <w:r>
              <w:rPr>
                <w:sz w:val="20"/>
              </w:rPr>
              <w:t>1.0</w:t>
            </w:r>
          </w:p>
        </w:tc>
      </w:tr>
      <w:tr>
        <w:trPr>
          <w:cantSplit/>
        </w:trPr>
        <w:tc>
          <w:tcPr>
            <w:tcW w:type="dxa" w:w="1701"/>
          </w:tcPr>
          <w:p>
            <w:r/>
            <w:r>
              <w:rPr>
                <w:sz w:val="20"/>
              </w:rPr>
              <w:t>1.0 Gb (full pool)</w:t>
            </w:r>
          </w:p>
        </w:tc>
        <w:tc>
          <w:tcPr>
            <w:tcW w:type="dxa" w:w="1361"/>
          </w:tcPr>
          <w:p>
            <w:r/>
            <w:r>
              <w:rPr>
                <w:sz w:val="20"/>
              </w:rPr>
              <w:t>185,000</w:t>
            </w:r>
          </w:p>
        </w:tc>
        <w:tc>
          <w:tcPr>
            <w:tcW w:type="dxa" w:w="1474"/>
          </w:tcPr>
          <w:p>
            <w:r/>
            <w:r>
              <w:rPr>
                <w:sz w:val="20"/>
              </w:rPr>
              <w:t>148</w:t>
            </w:r>
          </w:p>
        </w:tc>
        <w:tc>
          <w:tcPr>
            <w:tcW w:type="dxa" w:w="2268"/>
          </w:tcPr>
          <w:p>
            <w:r/>
            <w:r>
              <w:rPr>
                <w:sz w:val="20"/>
              </w:rPr>
              <w:t>14 of 14</w:t>
            </w:r>
          </w:p>
        </w:tc>
        <w:tc>
          <w:tcPr>
            <w:tcW w:type="dxa" w:w="1247"/>
          </w:tcPr>
          <w:p>
            <w:r/>
            <w:r>
              <w:rPr>
                <w:sz w:val="20"/>
              </w:rPr>
              <w:t>0.966</w:t>
            </w:r>
          </w:p>
        </w:tc>
        <w:tc>
          <w:tcPr>
            <w:tcW w:type="dxa" w:w="1304"/>
          </w:tcPr>
          <w:p>
            <w:r/>
            <w:r>
              <w:rPr>
                <w:sz w:val="20"/>
              </w:rPr>
              <w:t>1</w:t>
            </w:r>
          </w:p>
        </w:tc>
      </w:tr>
    </w:tbl>
    <w:p/>
    <w:p>
      <w:pPr>
        <w:pStyle w:val="ListBullet"/>
      </w:pPr>
      <w:r>
        <w:rPr>
          <w:b/>
        </w:rPr>
        <w:t>What it means.</w:t>
      </w:r>
      <w:r>
        <w:t xml:space="preserve"> For this mock, “who is present” stays good down to 0.1 Gb (about 18,000 reads). Lower depth mainly costs you the rarest species: they stop being expected at that depth, not wrongly missed.</w:t>
      </w:r>
    </w:p>
    <w:p>
      <w:pPr>
        <w:pStyle w:val="ListBullet"/>
      </w:pPr>
      <w:r>
        <w:rPr>
          <w:b/>
        </w:rPr>
        <w:t>Systematic wrong species.</w:t>
      </w:r>
      <w:r>
        <w:t xml:space="preserve"> The one false positive is human DNA in every run we inspected, at about 0.35–0.5% of reads. It does not shrink with depth, so it is not random noise.</w:t>
      </w:r>
    </w:p>
    <w:p>
      <w:pPr>
        <w:pStyle w:val="ListBullet"/>
      </w:pPr>
      <w:r>
        <w:rPr>
          <w:b/>
        </w:rPr>
        <w:t>Occasional extras.</w:t>
      </w:r>
      <w:r>
        <w:t xml:space="preserve"> At 0.1 Gb the bar is only 15 reads, and in one replicate two relatives of E. coli crossed it by chance. A tiny absolute bar lets in chance hits.</w:t>
      </w:r>
    </w:p>
    <w:p>
      <w:pPr>
        <w:pStyle w:val="ListBullet"/>
      </w:pPr>
      <w:r>
        <w:rPr>
          <w:b/>
        </w:rPr>
        <w:t>Abundance bias does not depend on depth.</w:t>
      </w:r>
      <w:r>
        <w:t xml:space="preserve"> The over- and under-counted species look the same at every depth, so it is systematic, not noise (section 5.4 shows that much of it comes from the sequenced sample itself).</w:t>
      </w:r>
    </w:p>
    <w:p>
      <w:pPr>
        <w:pStyle w:val="ListBullet"/>
      </w:pPr>
      <w:r>
        <w:rPr>
          <w:b/>
        </w:rPr>
        <w:t>Limits.</w:t>
      </w:r>
      <w:r>
        <w:t xml:space="preserve"> The replicates overlap (they come from one 1 Gb pool), so their small spread measures variation inside this pool only. The mock has 14 species at 0.1% DNA or more; a patient sample dominated by host DNA would behave differently.</w:t>
      </w:r>
    </w:p>
    <w:p>
      <w:pPr>
        <w:pStyle w:val="Heading2"/>
      </w:pPr>
      <w:r>
        <w:t>5.2 Experiment 2: does a stricter classifier help? (Kraken2 confidence)</w:t>
      </w:r>
    </w:p>
    <w:p>
      <w:r>
        <w:rPr>
          <w:b w:val="0"/>
          <w:i w:val="0"/>
        </w:rPr>
        <w:t>Kraken2 chops each read into 35-letter pieces (k-mers) and looks each one up in the database. The confidence setting is the share of a read’s pieces that must point to the called species or to a group beneath it (Kraken2 looks each piece up through a short signature, but the principle is the same). At 0 any support is enough; at 0.2 at least a fifth of the pieces must agree, otherwise the call is moved up to the genus or the read is left unclassified. For short, accurate reads a setting of 0.1 to 0.2 is a common way to remove false positives.</w:t>
      </w:r>
    </w:p>
    <w:p>
      <w:r>
        <w:rPr>
          <w:b w:val="0"/>
          <w:i w:val="0"/>
        </w:rPr>
        <w:t>Nanopore reads are different. At about Q18 each base error ruins up to 35 overlapping pieces, so by a rough calculation about 40% of a read’s pieces cannot match anything even when the read is good. And many pieces are shared by relatives, so they only point to the genus. A correct read therefore often has only a small share of pieces pointing at its exact species, and a strict setting throws it away.</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1701"/>
            <w:shd w:val="clear" w:fill="D9E4F2"/>
          </w:tcPr>
          <w:p>
            <w:r/>
            <w:r>
              <w:rPr>
                <w:b/>
                <w:sz w:val="20"/>
              </w:rPr>
              <w:t>Confidence</w:t>
            </w:r>
          </w:p>
        </w:tc>
        <w:tc>
          <w:tcPr>
            <w:tcW w:type="dxa" w:w="1531"/>
            <w:shd w:val="clear" w:fill="D9E4F2"/>
          </w:tcPr>
          <w:p>
            <w:r/>
            <w:r>
              <w:rPr>
                <w:b/>
                <w:sz w:val="20"/>
              </w:rPr>
              <w:t>Reads classified</w:t>
            </w:r>
          </w:p>
        </w:tc>
        <w:tc>
          <w:tcPr>
            <w:tcW w:type="dxa" w:w="1701"/>
            <w:shd w:val="clear" w:fill="D9E4F2"/>
          </w:tcPr>
          <w:p>
            <w:r/>
            <w:r>
              <w:rPr>
                <w:b/>
                <w:sz w:val="20"/>
              </w:rPr>
              <w:t>Reads in mock species</w:t>
            </w:r>
          </w:p>
        </w:tc>
        <w:tc>
          <w:tcPr>
            <w:tcW w:type="dxa" w:w="1814"/>
            <w:shd w:val="clear" w:fill="D9E4F2"/>
          </w:tcPr>
          <w:p>
            <w:r/>
            <w:r>
              <w:rPr>
                <w:b/>
                <w:sz w:val="20"/>
              </w:rPr>
              <w:t>Findable species found</w:t>
            </w:r>
          </w:p>
        </w:tc>
        <w:tc>
          <w:tcPr>
            <w:tcW w:type="dxa" w:w="1020"/>
            <w:shd w:val="clear" w:fill="D9E4F2"/>
          </w:tcPr>
          <w:p>
            <w:r/>
            <w:r>
              <w:rPr>
                <w:b/>
                <w:sz w:val="20"/>
              </w:rPr>
              <w:t>F1</w:t>
            </w:r>
          </w:p>
        </w:tc>
        <w:tc>
          <w:tcPr>
            <w:tcW w:type="dxa" w:w="1474"/>
            <w:shd w:val="clear" w:fill="D9E4F2"/>
          </w:tcPr>
          <w:p>
            <w:r/>
            <w:r>
              <w:rPr>
                <w:b/>
                <w:sz w:val="20"/>
              </w:rPr>
              <w:t>Bray–Curtis</w:t>
            </w:r>
          </w:p>
        </w:tc>
      </w:tr>
      <w:tr>
        <w:trPr>
          <w:cantSplit/>
        </w:trPr>
        <w:tc>
          <w:tcPr>
            <w:tcW w:type="dxa" w:w="1701"/>
          </w:tcPr>
          <w:p>
            <w:r/>
            <w:r>
              <w:rPr>
                <w:sz w:val="20"/>
              </w:rPr>
              <w:t>0 (baseline)</w:t>
            </w:r>
          </w:p>
        </w:tc>
        <w:tc>
          <w:tcPr>
            <w:tcW w:type="dxa" w:w="1531"/>
          </w:tcPr>
          <w:p>
            <w:r/>
            <w:r>
              <w:rPr>
                <w:sz w:val="20"/>
              </w:rPr>
              <w:t>94.2%</w:t>
            </w:r>
          </w:p>
        </w:tc>
        <w:tc>
          <w:tcPr>
            <w:tcW w:type="dxa" w:w="1701"/>
          </w:tcPr>
          <w:p>
            <w:r/>
            <w:r>
              <w:rPr>
                <w:sz w:val="20"/>
              </w:rPr>
              <w:t>83.9%</w:t>
            </w:r>
          </w:p>
        </w:tc>
        <w:tc>
          <w:tcPr>
            <w:tcW w:type="dxa" w:w="1814"/>
          </w:tcPr>
          <w:p>
            <w:r/>
            <w:r>
              <w:rPr>
                <w:sz w:val="20"/>
              </w:rPr>
              <w:t>14 of 14</w:t>
            </w:r>
          </w:p>
        </w:tc>
        <w:tc>
          <w:tcPr>
            <w:tcW w:type="dxa" w:w="1020"/>
          </w:tcPr>
          <w:p>
            <w:r/>
            <w:r>
              <w:rPr>
                <w:sz w:val="20"/>
              </w:rPr>
              <w:t>0.966</w:t>
            </w:r>
          </w:p>
        </w:tc>
        <w:tc>
          <w:tcPr>
            <w:tcW w:type="dxa" w:w="1474"/>
          </w:tcPr>
          <w:p>
            <w:r/>
            <w:r>
              <w:rPr>
                <w:sz w:val="20"/>
              </w:rPr>
              <w:t>0.168</w:t>
            </w:r>
          </w:p>
        </w:tc>
      </w:tr>
      <w:tr>
        <w:trPr>
          <w:cantSplit/>
        </w:trPr>
        <w:tc>
          <w:tcPr>
            <w:tcW w:type="dxa" w:w="1701"/>
          </w:tcPr>
          <w:p>
            <w:r/>
            <w:r>
              <w:rPr>
                <w:sz w:val="20"/>
              </w:rPr>
              <w:t>0.05</w:t>
            </w:r>
          </w:p>
        </w:tc>
        <w:tc>
          <w:tcPr>
            <w:tcW w:type="dxa" w:w="1531"/>
          </w:tcPr>
          <w:p>
            <w:r/>
            <w:r>
              <w:rPr>
                <w:sz w:val="20"/>
              </w:rPr>
              <w:t>57.5%</w:t>
            </w:r>
          </w:p>
        </w:tc>
        <w:tc>
          <w:tcPr>
            <w:tcW w:type="dxa" w:w="1701"/>
          </w:tcPr>
          <w:p>
            <w:r/>
            <w:r>
              <w:rPr>
                <w:sz w:val="20"/>
              </w:rPr>
              <w:t>19.4%</w:t>
            </w:r>
          </w:p>
        </w:tc>
        <w:tc>
          <w:tcPr>
            <w:tcW w:type="dxa" w:w="1814"/>
          </w:tcPr>
          <w:p>
            <w:r/>
            <w:r>
              <w:rPr>
                <w:sz w:val="20"/>
              </w:rPr>
              <w:t>13 of 14</w:t>
            </w:r>
          </w:p>
        </w:tc>
        <w:tc>
          <w:tcPr>
            <w:tcW w:type="dxa" w:w="1020"/>
          </w:tcPr>
          <w:p>
            <w:r/>
            <w:r>
              <w:rPr>
                <w:sz w:val="20"/>
              </w:rPr>
              <w:t>0.929</w:t>
            </w:r>
          </w:p>
        </w:tc>
        <w:tc>
          <w:tcPr>
            <w:tcW w:type="dxa" w:w="1474"/>
          </w:tcPr>
          <w:p>
            <w:r/>
            <w:r>
              <w:rPr>
                <w:sz w:val="20"/>
              </w:rPr>
              <w:t>0.336</w:t>
            </w:r>
          </w:p>
        </w:tc>
      </w:tr>
      <w:tr>
        <w:trPr>
          <w:cantSplit/>
        </w:trPr>
        <w:tc>
          <w:tcPr>
            <w:tcW w:type="dxa" w:w="1701"/>
          </w:tcPr>
          <w:p>
            <w:r/>
            <w:r>
              <w:rPr>
                <w:sz w:val="20"/>
              </w:rPr>
              <w:t>0.1</w:t>
            </w:r>
          </w:p>
        </w:tc>
        <w:tc>
          <w:tcPr>
            <w:tcW w:type="dxa" w:w="1531"/>
          </w:tcPr>
          <w:p>
            <w:r/>
            <w:r>
              <w:rPr>
                <w:sz w:val="20"/>
              </w:rPr>
              <w:t>0.4%</w:t>
            </w:r>
          </w:p>
        </w:tc>
        <w:tc>
          <w:tcPr>
            <w:tcW w:type="dxa" w:w="1701"/>
          </w:tcPr>
          <w:p>
            <w:r/>
            <w:r>
              <w:rPr>
                <w:sz w:val="20"/>
              </w:rPr>
              <w:t>0.2%</w:t>
            </w:r>
          </w:p>
        </w:tc>
        <w:tc>
          <w:tcPr>
            <w:tcW w:type="dxa" w:w="1814"/>
          </w:tcPr>
          <w:p>
            <w:r/>
            <w:r>
              <w:rPr>
                <w:sz w:val="20"/>
              </w:rPr>
              <w:t>6 of 14</w:t>
            </w:r>
          </w:p>
        </w:tc>
        <w:tc>
          <w:tcPr>
            <w:tcW w:type="dxa" w:w="1020"/>
          </w:tcPr>
          <w:p>
            <w:r/>
            <w:r>
              <w:rPr>
                <w:sz w:val="20"/>
              </w:rPr>
              <w:t>0.600</w:t>
            </w:r>
          </w:p>
        </w:tc>
        <w:tc>
          <w:tcPr>
            <w:tcW w:type="dxa" w:w="1474"/>
          </w:tcPr>
          <w:p>
            <w:r/>
            <w:r>
              <w:rPr>
                <w:sz w:val="20"/>
              </w:rPr>
              <w:t>0.516</w:t>
            </w:r>
          </w:p>
        </w:tc>
      </w:tr>
      <w:tr>
        <w:trPr>
          <w:cantSplit/>
        </w:trPr>
        <w:tc>
          <w:tcPr>
            <w:tcW w:type="dxa" w:w="1701"/>
          </w:tcPr>
          <w:p>
            <w:r/>
            <w:r>
              <w:rPr>
                <w:sz w:val="20"/>
              </w:rPr>
              <w:t>0.2</w:t>
            </w:r>
          </w:p>
        </w:tc>
        <w:tc>
          <w:tcPr>
            <w:tcW w:type="dxa" w:w="1531"/>
          </w:tcPr>
          <w:p>
            <w:r/>
            <w:r>
              <w:rPr>
                <w:sz w:val="20"/>
              </w:rPr>
              <w:t>0.0%</w:t>
            </w:r>
          </w:p>
        </w:tc>
        <w:tc>
          <w:tcPr>
            <w:tcW w:type="dxa" w:w="1701"/>
          </w:tcPr>
          <w:p>
            <w:r/>
            <w:r>
              <w:rPr>
                <w:sz w:val="20"/>
              </w:rPr>
              <w:t>0.0%</w:t>
            </w:r>
          </w:p>
        </w:tc>
        <w:tc>
          <w:tcPr>
            <w:tcW w:type="dxa" w:w="1814"/>
          </w:tcPr>
          <w:p>
            <w:r/>
            <w:r>
              <w:rPr>
                <w:sz w:val="20"/>
              </w:rPr>
              <w:t>0 of 14</w:t>
            </w:r>
          </w:p>
        </w:tc>
        <w:tc>
          <w:tcPr>
            <w:tcW w:type="dxa" w:w="1020"/>
          </w:tcPr>
          <w:p>
            <w:r/>
            <w:r>
              <w:rPr>
                <w:sz w:val="20"/>
              </w:rPr>
              <w:t>0</w:t>
            </w:r>
          </w:p>
        </w:tc>
        <w:tc>
          <w:tcPr>
            <w:tcW w:type="dxa" w:w="1474"/>
          </w:tcPr>
          <w:p>
            <w:r/>
            <w:r>
              <w:rPr>
                <w:sz w:val="20"/>
              </w:rPr>
              <w:t>not defined</w:t>
            </w:r>
          </w:p>
        </w:tc>
      </w:tr>
      <w:tr>
        <w:trPr>
          <w:cantSplit/>
        </w:trPr>
        <w:tc>
          <w:tcPr>
            <w:tcW w:type="dxa" w:w="1701"/>
          </w:tcPr>
          <w:p>
            <w:r/>
            <w:r>
              <w:rPr>
                <w:sz w:val="20"/>
              </w:rPr>
              <w:t>0.4</w:t>
            </w:r>
          </w:p>
        </w:tc>
        <w:tc>
          <w:tcPr>
            <w:tcW w:type="dxa" w:w="1531"/>
          </w:tcPr>
          <w:p>
            <w:r/>
            <w:r>
              <w:rPr>
                <w:sz w:val="20"/>
              </w:rPr>
              <w:t>0.0%</w:t>
            </w:r>
          </w:p>
        </w:tc>
        <w:tc>
          <w:tcPr>
            <w:tcW w:type="dxa" w:w="1701"/>
          </w:tcPr>
          <w:p>
            <w:r/>
            <w:r>
              <w:rPr>
                <w:sz w:val="20"/>
              </w:rPr>
              <w:t>0.0%</w:t>
            </w:r>
          </w:p>
        </w:tc>
        <w:tc>
          <w:tcPr>
            <w:tcW w:type="dxa" w:w="1814"/>
          </w:tcPr>
          <w:p>
            <w:r/>
            <w:r>
              <w:rPr>
                <w:sz w:val="20"/>
              </w:rPr>
              <w:t>0 of 14</w:t>
            </w:r>
          </w:p>
        </w:tc>
        <w:tc>
          <w:tcPr>
            <w:tcW w:type="dxa" w:w="1020"/>
          </w:tcPr>
          <w:p>
            <w:r/>
            <w:r>
              <w:rPr>
                <w:sz w:val="20"/>
              </w:rPr>
              <w:t>0</w:t>
            </w:r>
          </w:p>
        </w:tc>
        <w:tc>
          <w:tcPr>
            <w:tcW w:type="dxa" w:w="1474"/>
          </w:tcPr>
          <w:p>
            <w:r/>
            <w:r>
              <w:rPr>
                <w:sz w:val="20"/>
              </w:rPr>
              <w:t>not defined</w:t>
            </w:r>
          </w:p>
        </w:tc>
      </w:tr>
    </w:tbl>
    <w:p/>
    <w:p>
      <w:pPr>
        <w:pStyle w:val="ListBullet"/>
      </w:pPr>
      <w:r>
        <w:rPr>
          <w:b/>
        </w:rPr>
        <w:t>Result.</w:t>
      </w:r>
      <w:r>
        <w:t xml:space="preserve"> Confidence does not help here. The baseline stays best. The 0.05 row reaches a similar F1 only because its threshold had to fall to 10 reads, and it throws away most species-level reads (84% down to 19%), which doubles the abundance error.</w:t>
      </w:r>
    </w:p>
    <w:p>
      <w:pPr>
        <w:pStyle w:val="ListBullet"/>
      </w:pPr>
      <w:r>
        <w:rPr>
          <w:b/>
        </w:rPr>
        <w:t>Species already under-counted get worse.</w:t>
      </w:r>
      <w:r>
        <w:t xml:space="preserve"> Roseburia hominis falls from 0.41 to 0.18 (at 0.05) and 0.001 (at 0.1); Bifidobacterium adolescentis from 0.22 to 0.05 and then to one read.</w:t>
      </w:r>
    </w:p>
    <w:p>
      <w:pPr>
        <w:pStyle w:val="ListBullet"/>
      </w:pPr>
      <w:r>
        <w:rPr>
          <w:b/>
        </w:rPr>
        <w:t>Our predictions.</w:t>
      </w:r>
      <w:r>
        <w:t xml:space="preserve"> The mechanism was predicted correctly (fewer reads classified as confidence rises). We also predicted all 14 species would still be found up to 0.1, and that was wrong.</w:t>
      </w:r>
    </w:p>
    <w:tbl>
      <w:tblPr>
        <w:tblStyle w:val="TableGrid"/>
        <w:tblW w:type="auto" w:w="0"/>
        <w:tblLook w:firstColumn="1" w:firstRow="1" w:lastColumn="0" w:lastRow="0" w:noHBand="0" w:noVBand="1" w:val="04A0"/>
      </w:tblPr>
      <w:tblGrid>
        <w:gridCol w:w="9746"/>
      </w:tblGrid>
      <w:tr>
        <w:tc>
          <w:tcPr>
            <w:tcW w:type="dxa" w:w="9746"/>
            <w:shd w:val="clear" w:fill="FFF4D6"/>
          </w:tcPr>
          <w:p>
            <w:r>
              <w:rPr>
                <w:b/>
              </w:rPr>
              <w:t xml:space="preserve">Two meanings of “confidence”.  </w:t>
            </w:r>
            <w:r>
              <w:t>Kraken2 confidence is a setting we chose and changed. A confidence interval is the range after a result, showing how stable it is. They are unrelated.</w:t>
            </w:r>
          </w:p>
        </w:tc>
      </w:tr>
    </w:tbl>
    <w:p/>
    <w:p>
      <w:pPr>
        <w:pStyle w:val="Heading2"/>
      </w:pPr>
      <w:r>
        <w:t>5.3 Experiment 3: is the 8 GB database too small? (database size)</w:t>
      </w:r>
    </w:p>
    <w:p>
      <w:r>
        <w:rPr>
          <w:b w:val="0"/>
          <w:i w:val="0"/>
        </w:rPr>
        <w:t>The baseline used a database cut down to fit in 8 GB of memory, because the laptop has 12 GB. We suspected this cap caused the under-counting of some species. To test it, we rented a cloud computer with 128 GB of memory for about two hours and ran three versions of the same database (same build date, same software, same settings): 8 GB (the baseline), 16 GB and the full 110 GB. A control run first showed that the 8 GB database gives exactly the same species counts on the rented machine as on the laptop, so the machine itself changes nothing.</w:t>
      </w:r>
    </w:p>
    <w:p>
      <w:r>
        <w:rPr>
          <w:b w:val="0"/>
          <w:i w:val="0"/>
        </w:rPr>
        <w:t>Before running we wrote down the verdict rule: if both Roseburia hominis and Bifidobacterium adolescentis recover to 0.70 or more of the expected reads with the full database, the cap is the main cause; if both stay at 0.50 or below, it is not.</w:t>
      </w:r>
    </w:p>
    <w:tbl>
      <w:tblPr>
        <w:tblStyle w:val="TableGrid"/>
        <w:tblW w:type="auto" w:w="0"/>
        <w:tblLayout w:type="fixed"/>
        <w:tblLook w:firstColumn="1" w:firstRow="1" w:lastColumn="0" w:lastRow="0" w:noHBand="0" w:noVBand="1" w:val="04A0"/>
      </w:tblPr>
      <w:tblGrid>
        <w:gridCol w:w="2436"/>
        <w:gridCol w:w="2436"/>
        <w:gridCol w:w="2436"/>
        <w:gridCol w:w="2436"/>
      </w:tblGrid>
      <w:tr>
        <w:trPr>
          <w:cantSplit/>
        </w:trPr>
        <w:tc>
          <w:tcPr>
            <w:tcW w:type="dxa" w:w="3175"/>
            <w:shd w:val="clear" w:fill="D9E4F2"/>
          </w:tcPr>
          <w:p>
            <w:r/>
            <w:r>
              <w:rPr>
                <w:b/>
                <w:sz w:val="20"/>
              </w:rPr>
            </w:r>
          </w:p>
        </w:tc>
        <w:tc>
          <w:tcPr>
            <w:tcW w:type="dxa" w:w="1928"/>
            <w:shd w:val="clear" w:fill="D9E4F2"/>
          </w:tcPr>
          <w:p>
            <w:r/>
            <w:r>
              <w:rPr>
                <w:b/>
                <w:sz w:val="20"/>
              </w:rPr>
              <w:t>8 GB</w:t>
            </w:r>
          </w:p>
        </w:tc>
        <w:tc>
          <w:tcPr>
            <w:tcW w:type="dxa" w:w="1928"/>
            <w:shd w:val="clear" w:fill="D9E4F2"/>
          </w:tcPr>
          <w:p>
            <w:r/>
            <w:r>
              <w:rPr>
                <w:b/>
                <w:sz w:val="20"/>
              </w:rPr>
              <w:t>16 GB</w:t>
            </w:r>
          </w:p>
        </w:tc>
        <w:tc>
          <w:tcPr>
            <w:tcW w:type="dxa" w:w="2211"/>
            <w:shd w:val="clear" w:fill="D9E4F2"/>
          </w:tcPr>
          <w:p>
            <w:r/>
            <w:r>
              <w:rPr>
                <w:b/>
                <w:sz w:val="20"/>
              </w:rPr>
              <w:t>Full (110 GB)</w:t>
            </w:r>
          </w:p>
        </w:tc>
      </w:tr>
      <w:tr>
        <w:trPr>
          <w:cantSplit/>
        </w:trPr>
        <w:tc>
          <w:tcPr>
            <w:tcW w:type="dxa" w:w="3175"/>
          </w:tcPr>
          <w:p>
            <w:r/>
            <w:r>
              <w:rPr>
                <w:sz w:val="20"/>
              </w:rPr>
              <w:t>Reads classified</w:t>
            </w:r>
          </w:p>
        </w:tc>
        <w:tc>
          <w:tcPr>
            <w:tcW w:type="dxa" w:w="1928"/>
          </w:tcPr>
          <w:p>
            <w:r/>
            <w:r>
              <w:rPr>
                <w:sz w:val="20"/>
              </w:rPr>
              <w:t>94.2%</w:t>
            </w:r>
          </w:p>
        </w:tc>
        <w:tc>
          <w:tcPr>
            <w:tcW w:type="dxa" w:w="1928"/>
          </w:tcPr>
          <w:p>
            <w:r/>
            <w:r>
              <w:rPr>
                <w:sz w:val="20"/>
              </w:rPr>
              <w:t>95.7%</w:t>
            </w:r>
          </w:p>
        </w:tc>
        <w:tc>
          <w:tcPr>
            <w:tcW w:type="dxa" w:w="2211"/>
          </w:tcPr>
          <w:p>
            <w:r/>
            <w:r>
              <w:rPr>
                <w:sz w:val="20"/>
              </w:rPr>
              <w:t>98.0%</w:t>
            </w:r>
          </w:p>
        </w:tc>
      </w:tr>
      <w:tr>
        <w:trPr>
          <w:cantSplit/>
        </w:trPr>
        <w:tc>
          <w:tcPr>
            <w:tcW w:type="dxa" w:w="3175"/>
          </w:tcPr>
          <w:p>
            <w:r/>
            <w:r>
              <w:rPr>
                <w:sz w:val="20"/>
              </w:rPr>
              <w:t>Reads in mock species</w:t>
            </w:r>
          </w:p>
        </w:tc>
        <w:tc>
          <w:tcPr>
            <w:tcW w:type="dxa" w:w="1928"/>
          </w:tcPr>
          <w:p>
            <w:r/>
            <w:r>
              <w:rPr>
                <w:sz w:val="20"/>
              </w:rPr>
              <w:t>83.9%</w:t>
            </w:r>
          </w:p>
        </w:tc>
        <w:tc>
          <w:tcPr>
            <w:tcW w:type="dxa" w:w="1928"/>
          </w:tcPr>
          <w:p>
            <w:r/>
            <w:r>
              <w:rPr>
                <w:sz w:val="20"/>
              </w:rPr>
              <w:t>87.3%</w:t>
            </w:r>
          </w:p>
        </w:tc>
        <w:tc>
          <w:tcPr>
            <w:tcW w:type="dxa" w:w="2211"/>
          </w:tcPr>
          <w:p>
            <w:r/>
            <w:r>
              <w:rPr>
                <w:sz w:val="20"/>
              </w:rPr>
              <w:t>92.3%</w:t>
            </w:r>
          </w:p>
        </w:tc>
      </w:tr>
      <w:tr>
        <w:trPr>
          <w:cantSplit/>
        </w:trPr>
        <w:tc>
          <w:tcPr>
            <w:tcW w:type="dxa" w:w="3175"/>
          </w:tcPr>
          <w:p>
            <w:r/>
            <w:r>
              <w:rPr>
                <w:sz w:val="20"/>
              </w:rPr>
              <w:t>Findable species found</w:t>
            </w:r>
          </w:p>
        </w:tc>
        <w:tc>
          <w:tcPr>
            <w:tcW w:type="dxa" w:w="1928"/>
          </w:tcPr>
          <w:p>
            <w:r/>
            <w:r>
              <w:rPr>
                <w:sz w:val="20"/>
              </w:rPr>
              <w:t>14 of 14</w:t>
            </w:r>
          </w:p>
        </w:tc>
        <w:tc>
          <w:tcPr>
            <w:tcW w:type="dxa" w:w="1928"/>
          </w:tcPr>
          <w:p>
            <w:r/>
            <w:r>
              <w:rPr>
                <w:sz w:val="20"/>
              </w:rPr>
              <w:t>14 of 14</w:t>
            </w:r>
          </w:p>
        </w:tc>
        <w:tc>
          <w:tcPr>
            <w:tcW w:type="dxa" w:w="2211"/>
          </w:tcPr>
          <w:p>
            <w:r/>
            <w:r>
              <w:rPr>
                <w:sz w:val="20"/>
              </w:rPr>
              <w:t>14 of 14</w:t>
            </w:r>
          </w:p>
        </w:tc>
      </w:tr>
      <w:tr>
        <w:trPr>
          <w:cantSplit/>
        </w:trPr>
        <w:tc>
          <w:tcPr>
            <w:tcW w:type="dxa" w:w="3175"/>
          </w:tcPr>
          <w:p>
            <w:r/>
            <w:r>
              <w:rPr>
                <w:sz w:val="20"/>
              </w:rPr>
              <w:t>F1</w:t>
            </w:r>
          </w:p>
        </w:tc>
        <w:tc>
          <w:tcPr>
            <w:tcW w:type="dxa" w:w="1928"/>
          </w:tcPr>
          <w:p>
            <w:r/>
            <w:r>
              <w:rPr>
                <w:sz w:val="20"/>
              </w:rPr>
              <w:t>0.966</w:t>
            </w:r>
          </w:p>
        </w:tc>
        <w:tc>
          <w:tcPr>
            <w:tcW w:type="dxa" w:w="1928"/>
          </w:tcPr>
          <w:p>
            <w:r/>
            <w:r>
              <w:rPr>
                <w:sz w:val="20"/>
              </w:rPr>
              <w:t>0.966</w:t>
            </w:r>
          </w:p>
        </w:tc>
        <w:tc>
          <w:tcPr>
            <w:tcW w:type="dxa" w:w="2211"/>
          </w:tcPr>
          <w:p>
            <w:r/>
            <w:r>
              <w:rPr>
                <w:sz w:val="20"/>
              </w:rPr>
              <w:t>0.966</w:t>
            </w:r>
          </w:p>
        </w:tc>
      </w:tr>
      <w:tr>
        <w:trPr>
          <w:cantSplit/>
        </w:trPr>
        <w:tc>
          <w:tcPr>
            <w:tcW w:type="dxa" w:w="3175"/>
          </w:tcPr>
          <w:p>
            <w:r/>
            <w:r>
              <w:rPr>
                <w:sz w:val="20"/>
              </w:rPr>
              <w:t>Bray–Curtis (lower is better)</w:t>
            </w:r>
          </w:p>
        </w:tc>
        <w:tc>
          <w:tcPr>
            <w:tcW w:type="dxa" w:w="1928"/>
          </w:tcPr>
          <w:p>
            <w:r/>
            <w:r>
              <w:rPr>
                <w:sz w:val="20"/>
              </w:rPr>
              <w:t>0.168</w:t>
            </w:r>
          </w:p>
        </w:tc>
        <w:tc>
          <w:tcPr>
            <w:tcW w:type="dxa" w:w="1928"/>
          </w:tcPr>
          <w:p>
            <w:r/>
            <w:r>
              <w:rPr>
                <w:sz w:val="20"/>
              </w:rPr>
              <w:t>0.153</w:t>
            </w:r>
          </w:p>
        </w:tc>
        <w:tc>
          <w:tcPr>
            <w:tcW w:type="dxa" w:w="2211"/>
          </w:tcPr>
          <w:p>
            <w:r/>
            <w:r>
              <w:rPr>
                <w:sz w:val="20"/>
              </w:rPr>
              <w:t>0.137</w:t>
            </w:r>
          </w:p>
        </w:tc>
      </w:tr>
      <w:tr>
        <w:trPr>
          <w:cantSplit/>
        </w:trPr>
        <w:tc>
          <w:tcPr>
            <w:tcW w:type="dxa" w:w="3175"/>
          </w:tcPr>
          <w:p>
            <w:r/>
            <w:r>
              <w:rPr>
                <w:sz w:val="20"/>
              </w:rPr>
              <w:t>E. coli observed / expected</w:t>
            </w:r>
          </w:p>
        </w:tc>
        <w:tc>
          <w:tcPr>
            <w:tcW w:type="dxa" w:w="1928"/>
          </w:tcPr>
          <w:p>
            <w:r/>
            <w:r>
              <w:rPr>
                <w:sz w:val="20"/>
              </w:rPr>
              <w:t>0.57</w:t>
            </w:r>
          </w:p>
        </w:tc>
        <w:tc>
          <w:tcPr>
            <w:tcW w:type="dxa" w:w="1928"/>
          </w:tcPr>
          <w:p>
            <w:r/>
            <w:r>
              <w:rPr>
                <w:sz w:val="20"/>
              </w:rPr>
              <w:t>0.69</w:t>
            </w:r>
          </w:p>
        </w:tc>
        <w:tc>
          <w:tcPr>
            <w:tcW w:type="dxa" w:w="2211"/>
          </w:tcPr>
          <w:p>
            <w:r/>
            <w:r>
              <w:rPr>
                <w:sz w:val="20"/>
              </w:rPr>
              <w:t>0.86</w:t>
            </w:r>
          </w:p>
        </w:tc>
      </w:tr>
      <w:tr>
        <w:trPr>
          <w:cantSplit/>
        </w:trPr>
        <w:tc>
          <w:tcPr>
            <w:tcW w:type="dxa" w:w="3175"/>
          </w:tcPr>
          <w:p>
            <w:r/>
            <w:r>
              <w:rPr>
                <w:sz w:val="20"/>
              </w:rPr>
              <w:t>Bifidobacterium adolescentis</w:t>
            </w:r>
          </w:p>
        </w:tc>
        <w:tc>
          <w:tcPr>
            <w:tcW w:type="dxa" w:w="1928"/>
          </w:tcPr>
          <w:p>
            <w:r/>
            <w:r>
              <w:rPr>
                <w:sz w:val="20"/>
              </w:rPr>
              <w:t>0.22</w:t>
            </w:r>
          </w:p>
        </w:tc>
        <w:tc>
          <w:tcPr>
            <w:tcW w:type="dxa" w:w="1928"/>
          </w:tcPr>
          <w:p>
            <w:r/>
            <w:r>
              <w:rPr>
                <w:sz w:val="20"/>
              </w:rPr>
              <w:t>0.26</w:t>
            </w:r>
          </w:p>
        </w:tc>
        <w:tc>
          <w:tcPr>
            <w:tcW w:type="dxa" w:w="2211"/>
          </w:tcPr>
          <w:p>
            <w:r/>
            <w:r>
              <w:rPr>
                <w:sz w:val="20"/>
              </w:rPr>
              <w:t>0.36</w:t>
            </w:r>
          </w:p>
        </w:tc>
      </w:tr>
      <w:tr>
        <w:trPr>
          <w:cantSplit/>
        </w:trPr>
        <w:tc>
          <w:tcPr>
            <w:tcW w:type="dxa" w:w="3175"/>
          </w:tcPr>
          <w:p>
            <w:r/>
            <w:r>
              <w:rPr>
                <w:sz w:val="20"/>
              </w:rPr>
              <w:t>Roseburia hominis</w:t>
            </w:r>
          </w:p>
        </w:tc>
        <w:tc>
          <w:tcPr>
            <w:tcW w:type="dxa" w:w="1928"/>
          </w:tcPr>
          <w:p>
            <w:r/>
            <w:r>
              <w:rPr>
                <w:sz w:val="20"/>
              </w:rPr>
              <w:t>0.41</w:t>
            </w:r>
          </w:p>
        </w:tc>
        <w:tc>
          <w:tcPr>
            <w:tcW w:type="dxa" w:w="1928"/>
          </w:tcPr>
          <w:p>
            <w:r/>
            <w:r>
              <w:rPr>
                <w:sz w:val="20"/>
              </w:rPr>
              <w:t>0.42</w:t>
            </w:r>
          </w:p>
        </w:tc>
        <w:tc>
          <w:tcPr>
            <w:tcW w:type="dxa" w:w="2211"/>
          </w:tcPr>
          <w:p>
            <w:r/>
            <w:r>
              <w:rPr>
                <w:sz w:val="20"/>
              </w:rPr>
              <w:t>0.43</w:t>
            </w:r>
          </w:p>
        </w:tc>
      </w:tr>
      <w:tr>
        <w:trPr>
          <w:cantSplit/>
        </w:trPr>
        <w:tc>
          <w:tcPr>
            <w:tcW w:type="dxa" w:w="3175"/>
          </w:tcPr>
          <w:p>
            <w:r/>
            <w:r>
              <w:rPr>
                <w:sz w:val="20"/>
              </w:rPr>
              <w:t>Limosilactobacillus fermentum</w:t>
            </w:r>
          </w:p>
        </w:tc>
        <w:tc>
          <w:tcPr>
            <w:tcW w:type="dxa" w:w="1928"/>
          </w:tcPr>
          <w:p>
            <w:r/>
            <w:r>
              <w:rPr>
                <w:sz w:val="20"/>
              </w:rPr>
              <w:t>1.66</w:t>
            </w:r>
          </w:p>
        </w:tc>
        <w:tc>
          <w:tcPr>
            <w:tcW w:type="dxa" w:w="1928"/>
          </w:tcPr>
          <w:p>
            <w:r/>
            <w:r>
              <w:rPr>
                <w:sz w:val="20"/>
              </w:rPr>
              <w:t>1.72</w:t>
            </w:r>
          </w:p>
        </w:tc>
        <w:tc>
          <w:tcPr>
            <w:tcW w:type="dxa" w:w="2211"/>
          </w:tcPr>
          <w:p>
            <w:r/>
            <w:r>
              <w:rPr>
                <w:sz w:val="20"/>
              </w:rPr>
              <w:t>1.77</w:t>
            </w:r>
          </w:p>
        </w:tc>
      </w:tr>
      <w:tr>
        <w:trPr>
          <w:cantSplit/>
        </w:trPr>
        <w:tc>
          <w:tcPr>
            <w:tcW w:type="dxa" w:w="3175"/>
          </w:tcPr>
          <w:p>
            <w:r/>
            <w:r>
              <w:rPr>
                <w:sz w:val="20"/>
              </w:rPr>
              <w:t>Reads called human</w:t>
            </w:r>
          </w:p>
        </w:tc>
        <w:tc>
          <w:tcPr>
            <w:tcW w:type="dxa" w:w="1928"/>
          </w:tcPr>
          <w:p>
            <w:r/>
            <w:r>
              <w:rPr>
                <w:sz w:val="20"/>
              </w:rPr>
              <w:t>818</w:t>
            </w:r>
          </w:p>
        </w:tc>
        <w:tc>
          <w:tcPr>
            <w:tcW w:type="dxa" w:w="1928"/>
          </w:tcPr>
          <w:p>
            <w:r/>
            <w:r>
              <w:rPr>
                <w:sz w:val="20"/>
              </w:rPr>
              <w:t>1,143</w:t>
            </w:r>
          </w:p>
        </w:tc>
        <w:tc>
          <w:tcPr>
            <w:tcW w:type="dxa" w:w="2211"/>
          </w:tcPr>
          <w:p>
            <w:r/>
            <w:r>
              <w:rPr>
                <w:sz w:val="20"/>
              </w:rPr>
              <w:t>1,997</w:t>
            </w:r>
          </w:p>
        </w:tc>
      </w:tr>
    </w:tbl>
    <w:p/>
    <w:p>
      <w:pPr>
        <w:pStyle w:val="ListBullet"/>
      </w:pPr>
      <w:r>
        <w:rPr>
          <w:b/>
        </w:rPr>
        <w:t>Verdict.</w:t>
      </w:r>
      <w:r>
        <w:t xml:space="preserve"> The cap is not the main cause. With the full database both test species are still at or below 0.50 (0.43 and 0.36), on the practice pool as well as the exam pool. The rule compared reads with the theoretical composition, which we later found does not match the sequenced sample (section 5.4); the verdict is kept as registered.</w:t>
      </w:r>
    </w:p>
    <w:p>
      <w:pPr>
        <w:pStyle w:val="ListBullet"/>
      </w:pPr>
      <w:r>
        <w:rPr>
          <w:b/>
        </w:rPr>
        <w:t>What a bigger database does buy.</w:t>
      </w:r>
      <w:r>
        <w:t xml:space="preserve"> More reads classified, a better abundance profile overall (Bray–Curtis 0.168 down to 0.137), and E. coli almost fixed. Who is present does not change at all.</w:t>
      </w:r>
    </w:p>
    <w:p>
      <w:pPr>
        <w:pStyle w:val="ListBullet"/>
      </w:pPr>
      <w:r>
        <w:rPr>
          <w:b/>
        </w:rPr>
        <w:t>What it does not fix.</w:t>
      </w:r>
      <w:r>
        <w:t xml:space="preserve"> Roseburia barely moves, and the over-count of Limosilactobacillus fermentum grows slightly. Section 5.4 explains why: the Roseburia and Limosilactobacillus differences were never a software loss, so no database could fix them.</w:t>
      </w:r>
    </w:p>
    <w:p>
      <w:pPr>
        <w:pStyle w:val="ListBullet"/>
      </w:pPr>
      <w:r>
        <w:rPr>
          <w:b/>
        </w:rPr>
        <w:t>A new puzzle.</w:t>
      </w:r>
      <w:r>
        <w:t xml:space="preserve"> The larger databases call more reads human (0.44% of reads with 8 GB, 1.08% with the full index). We do not yet know whether these are real human DNA (contamination) or misassigned reads.</w:t>
      </w:r>
    </w:p>
    <w:p>
      <w:pPr>
        <w:pStyle w:val="ListBullet"/>
      </w:pPr>
      <w:r>
        <w:rPr>
          <w:b/>
        </w:rPr>
        <w:t>Cost.</w:t>
      </w:r>
      <w:r>
        <w:t xml:space="preserve"> About two hours of a 128 GB machine, roughly $2 (the exact figure is on the AWS bill). The machine was terminated afterwards and the small result files were copied home.</w:t>
      </w:r>
    </w:p>
    <w:p>
      <w:pPr>
        <w:pStyle w:val="Heading2"/>
      </w:pPr>
      <w:r>
        <w:t>5.4 Looking at the reads themselves (exploratory, practice pool only)</w:t>
      </w:r>
    </w:p>
    <w:p>
      <w:r>
        <w:rPr>
          <w:b w:val="0"/>
          <w:i w:val="0"/>
        </w:rPr>
        <w:t>One question stayed open after the database experiment: where do the “missing” Roseburia reads go? The species tables could not tell us, so on 17 October we added an independent check. We aligned every read of the practice pool to the manufacturer’s reference genomes with minimap2 (a mapping tool, not a k-mer classifier). A read that aligns well to the Roseburia genome is, for our purposes, a Roseburia read, whatever Kraken2 later says. We then compared the two labels read by read. This was not registered beforehand and is not part of the benchmark scores, so it is labelled exploratory and uses the practice pool only. About 90% of reads aligned clearly to one species; the rest were too short, too poor in quality, or matched none of the 21 genomes.</w:t>
      </w:r>
    </w:p>
    <w:tbl>
      <w:tblPr>
        <w:tblStyle w:val="TableGrid"/>
        <w:tblW w:type="auto" w:w="0"/>
        <w:tblLayout w:type="fixed"/>
        <w:tblLook w:firstColumn="1" w:firstRow="1" w:lastColumn="0" w:lastRow="0" w:noHBand="0" w:noVBand="1" w:val="04A0"/>
      </w:tblPr>
      <w:tblGrid>
        <w:gridCol w:w="1624"/>
        <w:gridCol w:w="1624"/>
        <w:gridCol w:w="1624"/>
        <w:gridCol w:w="1624"/>
        <w:gridCol w:w="1624"/>
        <w:gridCol w:w="1624"/>
      </w:tblGrid>
      <w:tr>
        <w:trPr>
          <w:cantSplit/>
        </w:trPr>
        <w:tc>
          <w:tcPr>
            <w:tcW w:type="dxa" w:w="2608"/>
            <w:shd w:val="clear" w:fill="D9E4F2"/>
          </w:tcPr>
          <w:p>
            <w:r/>
            <w:r>
              <w:rPr>
                <w:b/>
                <w:sz w:val="20"/>
              </w:rPr>
              <w:t>Species</w:t>
            </w:r>
          </w:p>
        </w:tc>
        <w:tc>
          <w:tcPr>
            <w:tcW w:type="dxa" w:w="1247"/>
            <w:shd w:val="clear" w:fill="D9E4F2"/>
          </w:tcPr>
          <w:p>
            <w:r/>
            <w:r>
              <w:rPr>
                <w:b/>
                <w:sz w:val="20"/>
              </w:rPr>
              <w:t>Expected reads</w:t>
            </w:r>
          </w:p>
        </w:tc>
        <w:tc>
          <w:tcPr>
            <w:tcW w:type="dxa" w:w="1304"/>
            <w:shd w:val="clear" w:fill="D9E4F2"/>
          </w:tcPr>
          <w:p>
            <w:r/>
            <w:r>
              <w:rPr>
                <w:b/>
                <w:sz w:val="20"/>
              </w:rPr>
              <w:t>Reads that align</w:t>
            </w:r>
          </w:p>
        </w:tc>
        <w:tc>
          <w:tcPr>
            <w:tcW w:type="dxa" w:w="1304"/>
            <w:shd w:val="clear" w:fill="D9E4F2"/>
          </w:tcPr>
          <w:p>
            <w:r/>
            <w:r>
              <w:rPr>
                <w:b/>
                <w:sz w:val="20"/>
              </w:rPr>
              <w:t>Aligned / expected</w:t>
            </w:r>
          </w:p>
        </w:tc>
        <w:tc>
          <w:tcPr>
            <w:tcW w:type="dxa" w:w="1474"/>
            <w:shd w:val="clear" w:fill="D9E4F2"/>
          </w:tcPr>
          <w:p>
            <w:r/>
            <w:r>
              <w:rPr>
                <w:b/>
                <w:sz w:val="20"/>
              </w:rPr>
              <w:t>Kraken2 gets it right</w:t>
            </w:r>
          </w:p>
        </w:tc>
        <w:tc>
          <w:tcPr>
            <w:tcW w:type="dxa" w:w="1417"/>
            <w:shd w:val="clear" w:fill="D9E4F2"/>
          </w:tcPr>
          <w:p>
            <w:r/>
            <w:r>
              <w:rPr>
                <w:b/>
                <w:sz w:val="20"/>
              </w:rPr>
              <w:t>Stops above species</w:t>
            </w:r>
          </w:p>
        </w:tc>
      </w:tr>
      <w:tr>
        <w:trPr>
          <w:cantSplit/>
        </w:trPr>
        <w:tc>
          <w:tcPr>
            <w:tcW w:type="dxa" w:w="2608"/>
          </w:tcPr>
          <w:p>
            <w:r>
              <w:rPr>
                <w:sz w:val="20"/>
              </w:rPr>
              <w:t>Roseburia hominis</w:t>
            </w:r>
          </w:p>
        </w:tc>
        <w:tc>
          <w:tcPr>
            <w:tcW w:type="dxa" w:w="1247"/>
          </w:tcPr>
          <w:p>
            <w:r>
              <w:rPr>
                <w:sz w:val="20"/>
              </w:rPr>
              <w:t>25,900</w:t>
            </w:r>
          </w:p>
        </w:tc>
        <w:tc>
          <w:tcPr>
            <w:tcW w:type="dxa" w:w="1304"/>
          </w:tcPr>
          <w:p>
            <w:r/>
            <w:r>
              <w:rPr>
                <w:sz w:val="20"/>
              </w:rPr>
              <w:t>11,003</w:t>
            </w:r>
          </w:p>
        </w:tc>
        <w:tc>
          <w:tcPr>
            <w:tcW w:type="dxa" w:w="1304"/>
          </w:tcPr>
          <w:p>
            <w:r/>
            <w:r>
              <w:rPr>
                <w:sz w:val="20"/>
              </w:rPr>
              <w:t>0.42</w:t>
            </w:r>
          </w:p>
        </w:tc>
        <w:tc>
          <w:tcPr>
            <w:tcW w:type="dxa" w:w="1474"/>
          </w:tcPr>
          <w:p>
            <w:r/>
            <w:r>
              <w:rPr>
                <w:sz w:val="20"/>
              </w:rPr>
              <w:t>95.7%</w:t>
            </w:r>
          </w:p>
        </w:tc>
        <w:tc>
          <w:tcPr>
            <w:tcW w:type="dxa" w:w="1417"/>
          </w:tcPr>
          <w:p>
            <w:r/>
            <w:r>
              <w:rPr>
                <w:sz w:val="20"/>
              </w:rPr>
              <w:t>3.6%</w:t>
            </w:r>
          </w:p>
        </w:tc>
      </w:tr>
      <w:tr>
        <w:trPr>
          <w:cantSplit/>
        </w:trPr>
        <w:tc>
          <w:tcPr>
            <w:tcW w:type="dxa" w:w="2608"/>
          </w:tcPr>
          <w:p>
            <w:r/>
            <w:r>
              <w:rPr>
                <w:sz w:val="20"/>
              </w:rPr>
              <w:t>Limosilactobacillus fermentum</w:t>
            </w:r>
          </w:p>
        </w:tc>
        <w:tc>
          <w:tcPr>
            <w:tcW w:type="dxa" w:w="1247"/>
          </w:tcPr>
          <w:p>
            <w:r/>
            <w:r>
              <w:rPr>
                <w:sz w:val="20"/>
              </w:rPr>
              <w:t>11,100</w:t>
            </w:r>
          </w:p>
        </w:tc>
        <w:tc>
          <w:tcPr>
            <w:tcW w:type="dxa" w:w="1304"/>
          </w:tcPr>
          <w:p>
            <w:r/>
            <w:r>
              <w:rPr>
                <w:sz w:val="20"/>
              </w:rPr>
              <w:t>18,944</w:t>
            </w:r>
          </w:p>
        </w:tc>
        <w:tc>
          <w:tcPr>
            <w:tcW w:type="dxa" w:w="1304"/>
          </w:tcPr>
          <w:p>
            <w:r/>
            <w:r>
              <w:rPr>
                <w:sz w:val="20"/>
              </w:rPr>
              <w:t>1.71</w:t>
            </w:r>
          </w:p>
        </w:tc>
        <w:tc>
          <w:tcPr>
            <w:tcW w:type="dxa" w:w="1474"/>
          </w:tcPr>
          <w:p>
            <w:r/>
            <w:r>
              <w:rPr>
                <w:sz w:val="20"/>
              </w:rPr>
              <w:t>94.9%</w:t>
            </w:r>
          </w:p>
        </w:tc>
        <w:tc>
          <w:tcPr>
            <w:tcW w:type="dxa" w:w="1417"/>
          </w:tcPr>
          <w:p>
            <w:r/>
            <w:r>
              <w:rPr>
                <w:sz w:val="20"/>
              </w:rPr>
              <w:t>2.6%</w:t>
            </w:r>
          </w:p>
        </w:tc>
      </w:tr>
      <w:tr>
        <w:trPr>
          <w:cantSplit/>
        </w:trPr>
        <w:tc>
          <w:tcPr>
            <w:tcW w:type="dxa" w:w="2608"/>
          </w:tcPr>
          <w:p>
            <w:r/>
            <w:r>
              <w:rPr>
                <w:sz w:val="20"/>
              </w:rPr>
              <w:t>Faecalibacterium prausnitzii</w:t>
            </w:r>
          </w:p>
        </w:tc>
        <w:tc>
          <w:tcPr>
            <w:tcW w:type="dxa" w:w="1247"/>
          </w:tcPr>
          <w:p>
            <w:r/>
            <w:r>
              <w:rPr>
                <w:sz w:val="20"/>
              </w:rPr>
              <w:t>25,900</w:t>
            </w:r>
          </w:p>
        </w:tc>
        <w:tc>
          <w:tcPr>
            <w:tcW w:type="dxa" w:w="1304"/>
          </w:tcPr>
          <w:p>
            <w:r/>
            <w:r>
              <w:rPr>
                <w:sz w:val="20"/>
              </w:rPr>
              <w:t>32,657</w:t>
            </w:r>
          </w:p>
        </w:tc>
        <w:tc>
          <w:tcPr>
            <w:tcW w:type="dxa" w:w="1304"/>
          </w:tcPr>
          <w:p>
            <w:r/>
            <w:r>
              <w:rPr>
                <w:sz w:val="20"/>
              </w:rPr>
              <w:t>1.26</w:t>
            </w:r>
          </w:p>
        </w:tc>
        <w:tc>
          <w:tcPr>
            <w:tcW w:type="dxa" w:w="1474"/>
          </w:tcPr>
          <w:p>
            <w:r/>
            <w:r>
              <w:rPr>
                <w:sz w:val="20"/>
              </w:rPr>
              <w:t>94.2%</w:t>
            </w:r>
          </w:p>
        </w:tc>
        <w:tc>
          <w:tcPr>
            <w:tcW w:type="dxa" w:w="1417"/>
          </w:tcPr>
          <w:p>
            <w:r/>
            <w:r>
              <w:rPr>
                <w:sz w:val="20"/>
              </w:rPr>
              <w:t>4.8%</w:t>
            </w:r>
          </w:p>
        </w:tc>
      </w:tr>
      <w:tr>
        <w:trPr>
          <w:cantSplit/>
        </w:trPr>
        <w:tc>
          <w:tcPr>
            <w:tcW w:type="dxa" w:w="2608"/>
          </w:tcPr>
          <w:p>
            <w:r/>
            <w:r>
              <w:rPr>
                <w:sz w:val="20"/>
              </w:rPr>
              <w:t>Bacteroides fragilis</w:t>
            </w:r>
          </w:p>
        </w:tc>
        <w:tc>
          <w:tcPr>
            <w:tcW w:type="dxa" w:w="1247"/>
          </w:tcPr>
          <w:p>
            <w:r/>
            <w:r>
              <w:rPr>
                <w:sz w:val="20"/>
              </w:rPr>
              <w:t>25,900</w:t>
            </w:r>
          </w:p>
        </w:tc>
        <w:tc>
          <w:tcPr>
            <w:tcW w:type="dxa" w:w="1304"/>
          </w:tcPr>
          <w:p>
            <w:r/>
            <w:r>
              <w:rPr>
                <w:sz w:val="20"/>
              </w:rPr>
              <w:t>24,219</w:t>
            </w:r>
          </w:p>
        </w:tc>
        <w:tc>
          <w:tcPr>
            <w:tcW w:type="dxa" w:w="1304"/>
          </w:tcPr>
          <w:p>
            <w:r/>
            <w:r>
              <w:rPr>
                <w:sz w:val="20"/>
              </w:rPr>
              <w:t>0.94</w:t>
            </w:r>
          </w:p>
        </w:tc>
        <w:tc>
          <w:tcPr>
            <w:tcW w:type="dxa" w:w="1474"/>
          </w:tcPr>
          <w:p>
            <w:r/>
            <w:r>
              <w:rPr>
                <w:sz w:val="20"/>
              </w:rPr>
              <w:t>97.4%</w:t>
            </w:r>
          </w:p>
        </w:tc>
        <w:tc>
          <w:tcPr>
            <w:tcW w:type="dxa" w:w="1417"/>
          </w:tcPr>
          <w:p>
            <w:r/>
            <w:r>
              <w:rPr>
                <w:sz w:val="20"/>
              </w:rPr>
              <w:t>2.0%</w:t>
            </w:r>
          </w:p>
        </w:tc>
      </w:tr>
      <w:tr>
        <w:trPr>
          <w:cantSplit/>
        </w:trPr>
        <w:tc>
          <w:tcPr>
            <w:tcW w:type="dxa" w:w="2608"/>
          </w:tcPr>
          <w:p>
            <w:r/>
            <w:r>
              <w:rPr>
                <w:sz w:val="20"/>
              </w:rPr>
              <w:t>Escherichia coli</w:t>
            </w:r>
          </w:p>
        </w:tc>
        <w:tc>
          <w:tcPr>
            <w:tcW w:type="dxa" w:w="1247"/>
          </w:tcPr>
          <w:p>
            <w:r/>
            <w:r>
              <w:rPr>
                <w:sz w:val="20"/>
              </w:rPr>
              <w:t>25,900</w:t>
            </w:r>
          </w:p>
        </w:tc>
        <w:tc>
          <w:tcPr>
            <w:tcW w:type="dxa" w:w="1304"/>
          </w:tcPr>
          <w:p>
            <w:r/>
            <w:r>
              <w:rPr>
                <w:sz w:val="20"/>
              </w:rPr>
              <w:t>23,643</w:t>
            </w:r>
          </w:p>
        </w:tc>
        <w:tc>
          <w:tcPr>
            <w:tcW w:type="dxa" w:w="1304"/>
          </w:tcPr>
          <w:p>
            <w:r/>
            <w:r>
              <w:rPr>
                <w:sz w:val="20"/>
              </w:rPr>
              <w:t>0.91</w:t>
            </w:r>
          </w:p>
        </w:tc>
        <w:tc>
          <w:tcPr>
            <w:tcW w:type="dxa" w:w="1474"/>
          </w:tcPr>
          <w:p>
            <w:r/>
            <w:r>
              <w:rPr>
                <w:sz w:val="20"/>
              </w:rPr>
              <w:t>59.7%</w:t>
            </w:r>
          </w:p>
        </w:tc>
        <w:tc>
          <w:tcPr>
            <w:tcW w:type="dxa" w:w="1417"/>
          </w:tcPr>
          <w:p>
            <w:r/>
            <w:r>
              <w:rPr>
                <w:sz w:val="20"/>
              </w:rPr>
              <w:t>34.8%</w:t>
            </w:r>
          </w:p>
        </w:tc>
      </w:tr>
      <w:tr>
        <w:trPr>
          <w:cantSplit/>
        </w:trPr>
        <w:tc>
          <w:tcPr>
            <w:tcW w:type="dxa" w:w="2608"/>
          </w:tcPr>
          <w:p>
            <w:r/>
            <w:r>
              <w:rPr>
                <w:sz w:val="20"/>
              </w:rPr>
              <w:t>Bifidobacterium adolescentis</w:t>
            </w:r>
          </w:p>
        </w:tc>
        <w:tc>
          <w:tcPr>
            <w:tcW w:type="dxa" w:w="1247"/>
          </w:tcPr>
          <w:p>
            <w:r/>
            <w:r>
              <w:rPr>
                <w:sz w:val="20"/>
              </w:rPr>
              <w:t>11,100</w:t>
            </w:r>
          </w:p>
        </w:tc>
        <w:tc>
          <w:tcPr>
            <w:tcW w:type="dxa" w:w="1304"/>
          </w:tcPr>
          <w:p>
            <w:r/>
            <w:r>
              <w:rPr>
                <w:sz w:val="20"/>
              </w:rPr>
              <w:t>5,500</w:t>
            </w:r>
          </w:p>
        </w:tc>
        <w:tc>
          <w:tcPr>
            <w:tcW w:type="dxa" w:w="1304"/>
          </w:tcPr>
          <w:p>
            <w:r/>
            <w:r>
              <w:rPr>
                <w:sz w:val="20"/>
              </w:rPr>
              <w:t>0.50</w:t>
            </w:r>
          </w:p>
        </w:tc>
        <w:tc>
          <w:tcPr>
            <w:tcW w:type="dxa" w:w="1474"/>
          </w:tcPr>
          <w:p>
            <w:r/>
            <w:r>
              <w:rPr>
                <w:sz w:val="20"/>
              </w:rPr>
              <w:t>42.1%</w:t>
            </w:r>
          </w:p>
        </w:tc>
        <w:tc>
          <w:tcPr>
            <w:tcW w:type="dxa" w:w="1417"/>
          </w:tcPr>
          <w:p>
            <w:r/>
            <w:r>
              <w:rPr>
                <w:sz w:val="20"/>
              </w:rPr>
              <w:t>53.3%</w:t>
            </w:r>
          </w:p>
        </w:tc>
      </w:tr>
    </w:tbl>
    <w:p/>
    <w:p>
      <w:pPr>
        <w:pStyle w:val="ListBullet"/>
      </w:pPr>
      <w:r>
        <w:rPr>
          <w:b/>
        </w:rPr>
        <w:t>The sequenced sample is not the label.</w:t>
      </w:r>
      <w:r>
        <w:t xml:space="preserve"> Alignment to the reference genomes recovers about 42% of the Roseburia reads that the manufacturer’s theoretical composition predicts, and 1.7 times as many Limosilactobacillus fermentum reads as predicted. Kraken2 agrees with the alignment for 95% of the Roseburia reads, so the low value is already present before any classification. Because the lot-specific composition is unknown, and read numbers can be shifted by fragmentation, DNA extraction, library preparation and sequencing, we cannot yet say whether the tube’s composition or its preparation is responsible; and section 5.5 shows one more effect, that species differ in read length. The manufacturer’s lot certificate would help, and we do not have it.</w:t>
      </w:r>
    </w:p>
    <w:p>
      <w:pPr>
        <w:pStyle w:val="ListBullet"/>
      </w:pPr>
      <w:r>
        <w:rPr>
          <w:b/>
        </w:rPr>
        <w:t>Where the software really loses reads.</w:t>
      </w:r>
      <w:r>
        <w:t xml:space="preserve"> Species with close relatives. About 35% of E. coli reads stop at the family (Enterobacteriaceae) and 53% of Bifidobacterium adolescentis reads stop at the genus. Only about 5% and 4% go to a named relative, so Kraken2 is cautious rather than wrong. A larger database helps these two (E. coli from 0.62 to 0.94 of the aligned reads, B. adolescentis from 0.44 to 0.72), so for them the 8 GB cap does matter.</w:t>
      </w:r>
    </w:p>
    <w:p>
      <w:pPr>
        <w:pStyle w:val="ListBullet"/>
      </w:pPr>
      <w:r>
        <w:rPr>
          <w:b/>
        </w:rPr>
        <w:t>The abundance error looks very different against the sequenced sample’s own composition.</w:t>
      </w:r>
      <w:r>
        <w:t xml:space="preserve"> Bray–Curtis against the aligned composition is 0.065 (8 GB), 0.048 (16 GB) and 0.022 (full database), compared with 0.165, 0.150 and 0.131 against the manufacturer’s theoretical composition.</w:t>
      </w:r>
    </w:p>
    <w:p>
      <w:pPr>
        <w:pStyle w:val="ListBullet"/>
      </w:pPr>
      <w:r>
        <w:rPr>
          <w:b/>
        </w:rPr>
        <w:t>The human reads.</w:t>
      </w:r>
      <w:r>
        <w:t xml:space="preserve"> About 825 of the roughly 923 reads called human on the practice pool match none of the 21 genomes. They are therefore not mock reads wrongly assigned to human, which fits real human DNA in the sample, but that is not proved.</w:t>
      </w:r>
    </w:p>
    <w:p>
      <w:pPr>
        <w:pStyle w:val="ListBullet"/>
      </w:pPr>
      <w:r>
        <w:rPr>
          <w:b/>
        </w:rPr>
        <w:t>Limits.</w:t>
      </w:r>
      <w:r>
        <w:t xml:space="preserve"> Alignment is a proxy for truth. It works only where the reference genome is close to the sequenced strain (the two yeast genomes are drafts, so Candida albicans is undercounted by alignment). The comparison was designed after seeing the results. The registered scores and verdicts above are not changed by it.</w:t>
      </w:r>
    </w:p>
    <w:p>
      <w:pPr>
        <w:pStyle w:val="Heading2"/>
      </w:pPr>
      <w:r>
        <w:t xml:space="preserve">5.5 Experiment 4: does a different kind of profiler help? (Sylph)</w:t>
      </w:r>
    </w:p>
    <w:p>
      <w:r>
        <w:t xml:space="preserve">Everything so far used Kraken2, which gives a label to each read one at a time. The open question was whether the trouble with species that have close relatives (Escherichia coli, Bifidobacterium adolescentis) belongs to that way of working. On 17 October we registered a fourth experiment (decision D18) with a very different tool, Sylph, under the same rules as before: arms, settings rule and predictions written down and tagged in Git before anything was run (tag sylph-registered). It is a comparison of two whole set-ups, not of two algorithms alone, because Sylph also uses a different library of genomes and a different naming system.</w:t>
      </w:r>
    </w:p>
    <w:p>
      <w:pPr>
        <w:pStyle w:val="Heading3"/>
      </w:pPr>
      <w:r>
        <w:t xml:space="preserve">The idea: count genomes, not reads</w:t>
      </w:r>
    </w:p>
    <w:p>
      <w:r>
        <w:rPr>
          <w:b/>
        </w:rPr>
        <w:t xml:space="preserve">How Sylph works, in plain words. </w:t>
      </w:r>
      <w:r>
        <w:t xml:space="preserve">Kraken2 asks of each read: which species is this? Sylph asks of each genome in a large library (about 200,000 genomes): how much of this genome’s fingerprint can I find in the reads? The fingerprint, called a sketch, is a small random selection of the genome’s k-mers, roughly one in 200. Keeping only a sample of k-mers is what makes it fast: sketching our 185,000 reads took about 5 seconds and profiling them about 4 seconds, using 2.5 GB of memory, so no rented cloud machine was needed. The share of a genome’s fingerprint found in the reads is called containment. From it Sylph estimates the coverage (how many times, on average, each position of the genome is read) and the ANI, the average nucleotide identity (the percentage of letters that agree between the reads and that genome). Two genomes with an ANI of about 95% or more are normally counted as the same species.</w:t>
      </w:r>
    </w:p>
    <w:p>
      <w:r>
        <w:rPr>
          <w:b/>
        </w:rPr>
        <w:t xml:space="preserve">Two kinds of abundance. </w:t>
      </w:r>
      <w:r>
        <w:t>Sylph reports two numbers per genome. Sequence abundance is its share of the sequenced DNA (roughly coverage times genome length, so a share of bases, not of reads); we compare it with the DNA column of the manufacturer’s table. Taxonomic abundance corrects for genome size and approximates its share of the cells; we compare it with the genome-copy column. They differ for species with unusually large or small genomes: Candida albicans gets 1.6% of the reads but only 0.4% of the cells, because its genome is much larger than a typical gut bacterium’s. Neither number is wrong; they answer different questions. The primary score uses sequence abundance.</w:t>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Two naming systems.  </w:t>
            </w:r>
            <w:r>
              <w:t xml:space="preserve">Kraken2 uses NCBI names. Sylph uses GTDB, a newer system built from genome similarity that has redrawn many species. The same organism can carry different names: the archaeon the mock calls Methanobrevibacter smithii appears as Methanocatella smithii in GTDB, and the mock’s Faecalibacterium prausnitzii appears as Faecalibacterium prausnitzii_E (a letter marks a species that GTDB split). To score Sylph we therefore need a translation table, which we call a crosswalk, from each of the 17 mock species to the GTDB species that represents it.</w:t>
            </w:r>
          </w:p>
        </w:tc>
      </w:tr>
    </w:tbl>
    <w:p/>
    <w:p>
      <w:pPr>
        <w:pStyle w:val="Heading3"/>
      </w:pPr>
      <w:r>
        <w:t xml:space="preserve">The name-translation table (crosswalk) and why it failed first</w:t>
      </w:r>
    </w:p>
    <w:p>
      <w:r>
        <w:rPr>
          <w:b/>
        </w:rPr>
        <w:t xml:space="preserve">The first crosswalk failed, and we kept the record. </w:t>
      </w:r>
      <w:r>
        <w:t xml:space="preserve">The design registered in advance built the table by feeding each mock genome to Sylph as if it were a set of reads and taking the best-matching library genome. We could not have known beforehand that this fails: a single genome treated as reads has a coverage of only about 0.01, and with so little evidence several library species tie at 100% ANI, so the rule picked one of the tied species by arbitrary order. When the real practice-pool reads were profiled, six species appeared under a different GTDB name from the one in our table and were counted as false positives. F1 came out at 0.50 for a naming reason, not because Sylph was wrong. That first table (version 1) is committed unchanged (tag sylph-crosswalk), and its result is still reported.</w:t>
      </w:r>
    </w:p>
    <w:p>
      <w:r>
        <w:rPr>
          <w:b/>
        </w:rPr>
        <w:t xml:space="preserve">The fix, and how it was kept honest. </w:t>
      </w:r>
      <w:r>
        <w:t xml:space="preserve">Version 2 compares the genomes directly with fastANI, using the rule GTDB itself uses to define a species: a library species counts as the mock species if one of its genomes has an ANI of at least 95% to the mock genome over at least half of the genome. Reads play no part in deciding the table. A mock species with no such library species is declared “not represented” instead of being forced. This change was made after we had seen the practice-pool profiles, so we wrote it down as Addendum A1 and said so (tag sylph-crosswalk-v2); the exam pool had not been touched. We also fixed, and committed before the exam profile existed, a rule for any genome that appears only in the exam profile: the same fastANI test (tag sylph-gaprule). It turned out not to be needed, because all 15 genomes Sylph found were already covered. Settings were then frozen (tag sylph-frozen) and the exam pool was scored once per arm (tag sylph-eval-scored).</w:t>
      </w:r>
    </w:p>
    <w:p>
      <w:r>
        <w:rPr>
          <w:b/>
        </w:rPr>
        <w:t xml:space="preserve">One more adjustment, decided before scoring. </w:t>
      </w:r>
      <w:r>
        <w:t xml:space="preserve">The verdict rule we registered used limits (0.46 and 0.40) taken from Kraken2’s absolute numbers. Sylph, run without its read-count option (whose documentation warns of problems with long reads), reports only shares. So for Sylph, observed/expected means a species’ share among the species called divided by the share expected among those same species. We recomputed Kraken2 on the same footing (full PlusPF 0.393, PlusPF-8 0.266) and kept the same margins: Sylph “resolves” the problem if it is at least 0.10 above full PlusPF for Bifidobacterium adolescentis, finds at least 13 of 14 findable species and reports at most 2 wrong species. The original numbers are also reported.</w:t>
      </w:r>
    </w:p>
    <w:p>
      <w:pPr>
        <w:pStyle w:val="Heading3"/>
      </w:pPr>
      <w:r>
        <w:t xml:space="preserve">The registered comparison on the exam pool</w:t>
      </w:r>
    </w:p>
    <w:p>
      <w:r>
        <w:rPr>
          <w:b/>
        </w:rPr>
        <w:t xml:space="preserve">Results on the exam pool. </w:t>
      </w:r>
      <w:r>
        <w:t xml:space="preserve">The three Sylph arms (defaults; a filter on coverage, whose best cutoff on the practice pool was 0, so identical to the defaults; and a variant with the read-count option) gave the same result.</w:t>
      </w:r>
    </w:p>
    <w:tbl>
      <w:tblPr>
        <w:tblStyle w:val="TableGrid"/>
        <w:tblW w:type="auto" w:w="0"/>
        <w:tblLayout w:type="fixed"/>
        <w:tblLook w:firstColumn="1" w:firstRow="1" w:lastColumn="0" w:lastRow="0" w:noHBand="0" w:noVBand="1" w:val="04A0"/>
      </w:tblPr>
      <w:tblGrid>
        <w:gridCol w:w="3300"/>
        <w:gridCol w:w="2000"/>
        <w:gridCol w:w="2200"/>
        <w:gridCol w:w="1900"/>
      </w:tblGrid>
      <w:tr>
        <w:trPr>
          <w:cantSplit/>
        </w:trPr>
        <w:tc>
          <w:tcPr>
            <w:tcW w:type="dxa" w:w="3300"/>
            <w:shd w:val="clear" w:fill="D9E4F2"/>
          </w:tcPr>
          <w:p>
            <w:r>
              <w:rPr>
                <w:b/>
                <w:sz w:val="20"/>
              </w:rPr>
              <w:t xml:space="preserve">Measure</w:t>
            </w:r>
          </w:p>
        </w:tc>
        <w:tc>
          <w:tcPr>
            <w:tcW w:type="dxa" w:w="2000"/>
            <w:shd w:val="clear" w:fill="D9E4F2"/>
          </w:tcPr>
          <w:p>
            <w:r>
              <w:rPr>
                <w:b/>
                <w:sz w:val="20"/>
              </w:rPr>
              <w:t xml:space="preserve">Sylph (all arms)</w:t>
            </w:r>
          </w:p>
        </w:tc>
        <w:tc>
          <w:tcPr>
            <w:tcW w:type="dxa" w:w="2200"/>
            <w:shd w:val="clear" w:fill="D9E4F2"/>
          </w:tcPr>
          <w:p>
            <w:r>
              <w:rPr>
                <w:b/>
                <w:sz w:val="20"/>
              </w:rPr>
              <w:t xml:space="preserve">Kraken2 full PlusPF</w:t>
            </w:r>
          </w:p>
        </w:tc>
        <w:tc>
          <w:tcPr>
            <w:tcW w:type="dxa" w:w="1900"/>
            <w:shd w:val="clear" w:fill="D9E4F2"/>
          </w:tcPr>
          <w:p>
            <w:r>
              <w:rPr>
                <w:b/>
                <w:sz w:val="20"/>
              </w:rPr>
              <w:t xml:space="preserve">Kraken2 PlusPF-8</w:t>
            </w:r>
          </w:p>
        </w:tc>
      </w:tr>
      <w:tr>
        <w:trPr>
          <w:cantSplit/>
        </w:trPr>
        <w:tc>
          <w:tcPr>
            <w:tcW w:type="dxa" w:w="3300"/>
          </w:tcPr>
          <w:p>
            <w:r>
              <w:rPr>
                <w:sz w:val="20"/>
              </w:rPr>
              <w:t xml:space="preserve">Findable species found</w:t>
            </w:r>
          </w:p>
        </w:tc>
        <w:tc>
          <w:tcPr>
            <w:tcW w:type="dxa" w:w="2000"/>
          </w:tcPr>
          <w:p>
            <w:r>
              <w:rPr>
                <w:sz w:val="20"/>
              </w:rPr>
              <w:t xml:space="preserve">13 of 14</w:t>
            </w:r>
          </w:p>
        </w:tc>
        <w:tc>
          <w:tcPr>
            <w:tcW w:type="dxa" w:w="2200"/>
          </w:tcPr>
          <w:p>
            <w:r>
              <w:rPr>
                <w:sz w:val="20"/>
              </w:rPr>
              <w:t xml:space="preserve">14 of 14</w:t>
            </w:r>
          </w:p>
        </w:tc>
        <w:tc>
          <w:tcPr>
            <w:tcW w:type="dxa" w:w="1900"/>
          </w:tcPr>
          <w:p>
            <w:r>
              <w:rPr>
                <w:sz w:val="20"/>
              </w:rPr>
              <w:t xml:space="preserve">14 of 14</w:t>
            </w:r>
          </w:p>
        </w:tc>
      </w:tr>
      <w:tr>
        <w:trPr>
          <w:cantSplit/>
        </w:trPr>
        <w:tc>
          <w:tcPr>
            <w:tcW w:type="dxa" w:w="3300"/>
          </w:tcPr>
          <w:p>
            <w:r>
              <w:rPr>
                <w:sz w:val="20"/>
              </w:rPr>
              <w:t xml:space="preserve">Wrong species reported</w:t>
            </w:r>
          </w:p>
        </w:tc>
        <w:tc>
          <w:tcPr>
            <w:tcW w:type="dxa" w:w="2000"/>
          </w:tcPr>
          <w:p>
            <w:r>
              <w:rPr>
                <w:sz w:val="20"/>
              </w:rPr>
              <w:t xml:space="preserve">0</w:t>
            </w:r>
          </w:p>
        </w:tc>
        <w:tc>
          <w:tcPr>
            <w:tcW w:type="dxa" w:w="2200"/>
          </w:tcPr>
          <w:p>
            <w:r>
              <w:rPr>
                <w:sz w:val="20"/>
              </w:rPr>
              <w:t xml:space="preserve">1 (human)</w:t>
            </w:r>
          </w:p>
        </w:tc>
        <w:tc>
          <w:tcPr>
            <w:tcW w:type="dxa" w:w="1900"/>
          </w:tcPr>
          <w:p>
            <w:r>
              <w:rPr>
                <w:sz w:val="20"/>
              </w:rPr>
              <w:t xml:space="preserve">1 (human)</w:t>
            </w:r>
          </w:p>
        </w:tc>
      </w:tr>
      <w:tr>
        <w:trPr>
          <w:cantSplit/>
        </w:trPr>
        <w:tc>
          <w:tcPr>
            <w:tcW w:type="dxa" w:w="3300"/>
          </w:tcPr>
          <w:p>
            <w:r>
              <w:rPr>
                <w:sz w:val="20"/>
              </w:rPr>
              <w:t xml:space="preserve">F1</w:t>
            </w:r>
          </w:p>
        </w:tc>
        <w:tc>
          <w:tcPr>
            <w:tcW w:type="dxa" w:w="2000"/>
          </w:tcPr>
          <w:p>
            <w:r>
              <w:rPr>
                <w:sz w:val="20"/>
              </w:rPr>
              <w:t xml:space="preserve">0.963</w:t>
            </w:r>
          </w:p>
        </w:tc>
        <w:tc>
          <w:tcPr>
            <w:tcW w:type="dxa" w:w="2200"/>
          </w:tcPr>
          <w:p>
            <w:r>
              <w:rPr>
                <w:sz w:val="20"/>
              </w:rPr>
              <w:t xml:space="preserve">0.966</w:t>
            </w:r>
          </w:p>
        </w:tc>
        <w:tc>
          <w:tcPr>
            <w:tcW w:type="dxa" w:w="1900"/>
          </w:tcPr>
          <w:p>
            <w:r>
              <w:rPr>
                <w:sz w:val="20"/>
              </w:rPr>
              <w:t xml:space="preserve">0.966</w:t>
            </w:r>
          </w:p>
        </w:tc>
      </w:tr>
      <w:tr>
        <w:trPr>
          <w:cantSplit/>
        </w:trPr>
        <w:tc>
          <w:tcPr>
            <w:tcW w:type="dxa" w:w="3300"/>
          </w:tcPr>
          <w:p>
            <w:r>
              <w:rPr>
                <w:sz w:val="20"/>
              </w:rPr>
              <w:t xml:space="preserve">Bray–Curtis (lower is better)</w:t>
            </w:r>
          </w:p>
        </w:tc>
        <w:tc>
          <w:tcPr>
            <w:tcW w:type="dxa" w:w="2000"/>
          </w:tcPr>
          <w:p>
            <w:r>
              <w:rPr>
                <w:sz w:val="20"/>
              </w:rPr>
              <w:t xml:space="preserve">0.242</w:t>
            </w:r>
          </w:p>
        </w:tc>
        <w:tc>
          <w:tcPr>
            <w:tcW w:type="dxa" w:w="2200"/>
          </w:tcPr>
          <w:p>
            <w:r>
              <w:rPr>
                <w:sz w:val="20"/>
              </w:rPr>
              <w:t xml:space="preserve">0.132</w:t>
            </w:r>
          </w:p>
        </w:tc>
        <w:tc>
          <w:tcPr>
            <w:tcW w:type="dxa" w:w="1900"/>
          </w:tcPr>
          <w:p>
            <w:r>
              <w:rPr>
                <w:sz w:val="20"/>
              </w:rPr>
              <w:t xml:space="preserve">0.167</w:t>
            </w:r>
          </w:p>
        </w:tc>
      </w:tr>
      <w:tr>
        <w:trPr>
          <w:cantSplit/>
        </w:trPr>
        <w:tc>
          <w:tcPr>
            <w:tcW w:type="dxa" w:w="3300"/>
          </w:tcPr>
          <w:p>
            <w:r>
              <w:rPr>
                <w:sz w:val="20"/>
              </w:rPr>
              <w:t xml:space="preserve">B. adolescentis, observed / expected (same footing)</w:t>
            </w:r>
          </w:p>
        </w:tc>
        <w:tc>
          <w:tcPr>
            <w:tcW w:type="dxa" w:w="2000"/>
          </w:tcPr>
          <w:p>
            <w:r>
              <w:rPr>
                <w:sz w:val="20"/>
              </w:rPr>
              <w:t xml:space="preserve">0.495</w:t>
            </w:r>
          </w:p>
        </w:tc>
        <w:tc>
          <w:tcPr>
            <w:tcW w:type="dxa" w:w="2200"/>
          </w:tcPr>
          <w:p>
            <w:r>
              <w:rPr>
                <w:sz w:val="20"/>
              </w:rPr>
              <w:t xml:space="preserve">0.393</w:t>
            </w:r>
          </w:p>
        </w:tc>
        <w:tc>
          <w:tcPr>
            <w:tcW w:type="dxa" w:w="1900"/>
          </w:tcPr>
          <w:p>
            <w:r>
              <w:rPr>
                <w:sz w:val="20"/>
              </w:rPr>
              <w:t xml:space="preserve">0.266</w:t>
            </w:r>
          </w:p>
        </w:tc>
      </w:tr>
    </w:tbl>
    <w:p/>
    <w:p>
      <w:r>
        <w:t xml:space="preserve">The two F1 values look alike for different reasons. Kraken2 loses points to the human reads. Sylph cannot report human at all (its library has no human genome), but it misses the yeast Saccharomyces cerevisiae, for which the library holds no genome that passes the species test. The Bray–Curtis column compares each tool’s abundances with the manufacturer’s theoretical composition, over the mock species each tool called.</w:t>
      </w:r>
    </w:p>
    <w:tbl>
      <w:tblPr>
        <w:tblStyle w:val="TableGrid"/>
        <w:tblW w:type="auto" w:w="0"/>
        <w:tblLayout w:type="fixed"/>
        <w:tblLook w:firstColumn="1" w:firstRow="1" w:lastColumn="0" w:lastRow="0" w:noHBand="0" w:noVBand="1" w:val="04A0"/>
      </w:tblPr>
      <w:tblGrid>
        <w:gridCol w:w="2900"/>
        <w:gridCol w:w="1700"/>
        <w:gridCol w:w="2400"/>
        <w:gridCol w:w="2400"/>
      </w:tblGrid>
      <w:tr>
        <w:trPr>
          <w:cantSplit/>
        </w:trPr>
        <w:tc>
          <w:tcPr>
            <w:tcW w:type="dxa" w:w="2900"/>
            <w:shd w:val="clear" w:fill="D9E4F2"/>
          </w:tcPr>
          <w:p>
            <w:r>
              <w:rPr>
                <w:b/>
                <w:sz w:val="20"/>
              </w:rPr>
              <w:t xml:space="preserve">Species</w:t>
            </w:r>
          </w:p>
        </w:tc>
        <w:tc>
          <w:tcPr>
            <w:tcW w:type="dxa" w:w="1700"/>
            <w:shd w:val="clear" w:fill="D9E4F2"/>
          </w:tcPr>
          <w:p>
            <w:r>
              <w:rPr>
                <w:b/>
                <w:sz w:val="20"/>
              </w:rPr>
              <w:t xml:space="preserve">Expected DNA share</w:t>
            </w:r>
          </w:p>
        </w:tc>
        <w:tc>
          <w:tcPr>
            <w:tcW w:type="dxa" w:w="2400"/>
            <w:shd w:val="clear" w:fill="D9E4F2"/>
          </w:tcPr>
          <w:p>
            <w:r>
              <w:rPr>
                <w:b/>
                <w:sz w:val="20"/>
              </w:rPr>
              <w:t xml:space="preserve">Sylph, observed / expected</w:t>
            </w:r>
          </w:p>
        </w:tc>
        <w:tc>
          <w:tcPr>
            <w:tcW w:type="dxa" w:w="2400"/>
            <w:shd w:val="clear" w:fill="D9E4F2"/>
          </w:tcPr>
          <w:p>
            <w:r>
              <w:rPr>
                <w:b/>
                <w:sz w:val="20"/>
              </w:rPr>
              <w:t xml:space="preserve">Reading</w:t>
            </w:r>
          </w:p>
        </w:tc>
      </w:tr>
      <w:tr>
        <w:trPr>
          <w:cantSplit/>
        </w:trPr>
        <w:tc>
          <w:tcPr>
            <w:tcW w:type="dxa" w:w="2900"/>
          </w:tcPr>
          <w:p>
            <w:r>
              <w:rPr>
                <w:sz w:val="20"/>
              </w:rPr>
              <w:t xml:space="preserve">Escherichia coli</w:t>
            </w:r>
          </w:p>
        </w:tc>
        <w:tc>
          <w:tcPr>
            <w:tcW w:type="dxa" w:w="1700"/>
          </w:tcPr>
          <w:p>
            <w:r>
              <w:rPr>
                <w:sz w:val="20"/>
              </w:rPr>
              <w:t xml:space="preserve">14%</w:t>
            </w:r>
          </w:p>
        </w:tc>
        <w:tc>
          <w:tcPr>
            <w:tcW w:type="dxa" w:w="2400"/>
          </w:tcPr>
          <w:p>
            <w:r>
              <w:rPr>
                <w:sz w:val="20"/>
              </w:rPr>
              <w:t xml:space="preserve">2.38</w:t>
            </w:r>
          </w:p>
        </w:tc>
        <w:tc>
          <w:tcPr>
            <w:tcW w:type="dxa" w:w="2400"/>
          </w:tcPr>
          <w:p>
            <w:r>
              <w:rPr>
                <w:sz w:val="20"/>
              </w:rPr>
              <w:t xml:space="preserve">far too high</w:t>
            </w:r>
          </w:p>
        </w:tc>
      </w:tr>
      <w:tr>
        <w:trPr>
          <w:cantSplit/>
        </w:trPr>
        <w:tc>
          <w:tcPr>
            <w:tcW w:type="dxa" w:w="2900"/>
          </w:tcPr>
          <w:p>
            <w:r>
              <w:rPr>
                <w:sz w:val="20"/>
              </w:rPr>
              <w:t xml:space="preserve">Roseburia hominis</w:t>
            </w:r>
          </w:p>
        </w:tc>
        <w:tc>
          <w:tcPr>
            <w:tcW w:type="dxa" w:w="1700"/>
          </w:tcPr>
          <w:p>
            <w:r>
              <w:rPr>
                <w:sz w:val="20"/>
              </w:rPr>
              <w:t xml:space="preserve">14%</w:t>
            </w:r>
          </w:p>
        </w:tc>
        <w:tc>
          <w:tcPr>
            <w:tcW w:type="dxa" w:w="2400"/>
          </w:tcPr>
          <w:p>
            <w:r>
              <w:rPr>
                <w:sz w:val="20"/>
              </w:rPr>
              <w:t xml:space="preserve">0.30</w:t>
            </w:r>
          </w:p>
        </w:tc>
        <w:tc>
          <w:tcPr>
            <w:tcW w:type="dxa" w:w="2400"/>
          </w:tcPr>
          <w:p>
            <w:r>
              <w:rPr>
                <w:sz w:val="20"/>
              </w:rPr>
              <w:t xml:space="preserve">low (as with Kraken2)</w:t>
            </w:r>
          </w:p>
        </w:tc>
      </w:tr>
      <w:tr>
        <w:trPr>
          <w:cantSplit/>
        </w:trPr>
        <w:tc>
          <w:tcPr>
            <w:tcW w:type="dxa" w:w="2900"/>
          </w:tcPr>
          <w:p>
            <w:r>
              <w:rPr>
                <w:sz w:val="20"/>
              </w:rPr>
              <w:t xml:space="preserve">Faecalibacterium prausnitzii</w:t>
            </w:r>
          </w:p>
        </w:tc>
        <w:tc>
          <w:tcPr>
            <w:tcW w:type="dxa" w:w="1700"/>
          </w:tcPr>
          <w:p>
            <w:r>
              <w:rPr>
                <w:sz w:val="20"/>
              </w:rPr>
              <w:t xml:space="preserve">14%</w:t>
            </w:r>
          </w:p>
        </w:tc>
        <w:tc>
          <w:tcPr>
            <w:tcW w:type="dxa" w:w="2400"/>
          </w:tcPr>
          <w:p>
            <w:r>
              <w:rPr>
                <w:sz w:val="20"/>
              </w:rPr>
              <w:t xml:space="preserve">0.61</w:t>
            </w:r>
          </w:p>
        </w:tc>
        <w:tc>
          <w:tcPr>
            <w:tcW w:type="dxa" w:w="2400"/>
          </w:tcPr>
          <w:p>
            <w:r>
              <w:rPr>
                <w:sz w:val="20"/>
              </w:rPr>
              <w:t xml:space="preserve">low</w:t>
            </w:r>
          </w:p>
        </w:tc>
      </w:tr>
      <w:tr>
        <w:trPr>
          <w:cantSplit/>
        </w:trPr>
        <w:tc>
          <w:tcPr>
            <w:tcW w:type="dxa" w:w="2900"/>
          </w:tcPr>
          <w:p>
            <w:r>
              <w:rPr>
                <w:sz w:val="20"/>
              </w:rPr>
              <w:t xml:space="preserve">Bacteroides fragilis</w:t>
            </w:r>
          </w:p>
        </w:tc>
        <w:tc>
          <w:tcPr>
            <w:tcW w:type="dxa" w:w="1700"/>
          </w:tcPr>
          <w:p>
            <w:r>
              <w:rPr>
                <w:sz w:val="20"/>
              </w:rPr>
              <w:t xml:space="preserve">14%</w:t>
            </w:r>
          </w:p>
        </w:tc>
        <w:tc>
          <w:tcPr>
            <w:tcW w:type="dxa" w:w="2400"/>
          </w:tcPr>
          <w:p>
            <w:r>
              <w:rPr>
                <w:sz w:val="20"/>
              </w:rPr>
              <w:t xml:space="preserve">1.13</w:t>
            </w:r>
          </w:p>
        </w:tc>
        <w:tc>
          <w:tcPr>
            <w:tcW w:type="dxa" w:w="2400"/>
          </w:tcPr>
          <w:p>
            <w:r>
              <w:rPr>
                <w:sz w:val="20"/>
              </w:rPr>
              <w:t xml:space="preserve">close</w:t>
            </w:r>
          </w:p>
        </w:tc>
      </w:tr>
      <w:tr>
        <w:trPr>
          <w:cantSplit/>
        </w:trPr>
        <w:tc>
          <w:tcPr>
            <w:tcW w:type="dxa" w:w="2900"/>
          </w:tcPr>
          <w:p>
            <w:r>
              <w:rPr>
                <w:sz w:val="20"/>
              </w:rPr>
              <w:t xml:space="preserve">Veillonella rogosae</w:t>
            </w:r>
          </w:p>
        </w:tc>
        <w:tc>
          <w:tcPr>
            <w:tcW w:type="dxa" w:w="1700"/>
          </w:tcPr>
          <w:p>
            <w:r>
              <w:rPr>
                <w:sz w:val="20"/>
              </w:rPr>
              <w:t xml:space="preserve">14%</w:t>
            </w:r>
          </w:p>
        </w:tc>
        <w:tc>
          <w:tcPr>
            <w:tcW w:type="dxa" w:w="2400"/>
          </w:tcPr>
          <w:p>
            <w:r>
              <w:rPr>
                <w:sz w:val="20"/>
              </w:rPr>
              <w:t xml:space="preserve">1.17</w:t>
            </w:r>
          </w:p>
        </w:tc>
        <w:tc>
          <w:tcPr>
            <w:tcW w:type="dxa" w:w="2400"/>
          </w:tcPr>
          <w:p>
            <w:r>
              <w:rPr>
                <w:sz w:val="20"/>
              </w:rPr>
              <w:t xml:space="preserve">close</w:t>
            </w:r>
          </w:p>
        </w:tc>
      </w:tr>
      <w:tr>
        <w:trPr>
          <w:cantSplit/>
        </w:trPr>
        <w:tc>
          <w:tcPr>
            <w:tcW w:type="dxa" w:w="2900"/>
          </w:tcPr>
          <w:p>
            <w:r>
              <w:rPr>
                <w:sz w:val="20"/>
              </w:rPr>
              <w:t xml:space="preserve">Bifidobacterium adolescentis</w:t>
            </w:r>
          </w:p>
        </w:tc>
        <w:tc>
          <w:tcPr>
            <w:tcW w:type="dxa" w:w="1700"/>
          </w:tcPr>
          <w:p>
            <w:r>
              <w:rPr>
                <w:sz w:val="20"/>
              </w:rPr>
              <w:t xml:space="preserve">6%</w:t>
            </w:r>
          </w:p>
        </w:tc>
        <w:tc>
          <w:tcPr>
            <w:tcW w:type="dxa" w:w="2400"/>
          </w:tcPr>
          <w:p>
            <w:r>
              <w:rPr>
                <w:sz w:val="20"/>
              </w:rPr>
              <w:t xml:space="preserve">0.50</w:t>
            </w:r>
          </w:p>
        </w:tc>
        <w:tc>
          <w:tcPr>
            <w:tcW w:type="dxa" w:w="2400"/>
          </w:tcPr>
          <w:p>
            <w:r>
              <w:rPr>
                <w:sz w:val="20"/>
              </w:rPr>
              <w:t xml:space="preserve">the registered test species</w:t>
            </w:r>
          </w:p>
        </w:tc>
      </w:tr>
      <w:tr>
        <w:trPr>
          <w:cantSplit/>
        </w:trPr>
        <w:tc>
          <w:tcPr>
            <w:tcW w:type="dxa" w:w="2900"/>
          </w:tcPr>
          <w:p>
            <w:r>
              <w:rPr>
                <w:sz w:val="20"/>
              </w:rPr>
              <w:t xml:space="preserve">Limosilactobacillus fermentum</w:t>
            </w:r>
          </w:p>
        </w:tc>
        <w:tc>
          <w:tcPr>
            <w:tcW w:type="dxa" w:w="1700"/>
          </w:tcPr>
          <w:p>
            <w:r>
              <w:rPr>
                <w:sz w:val="20"/>
              </w:rPr>
              <w:t xml:space="preserve">6%</w:t>
            </w:r>
          </w:p>
        </w:tc>
        <w:tc>
          <w:tcPr>
            <w:tcW w:type="dxa" w:w="2400"/>
          </w:tcPr>
          <w:p>
            <w:r>
              <w:rPr>
                <w:sz w:val="20"/>
              </w:rPr>
              <w:t xml:space="preserve">0.49</w:t>
            </w:r>
          </w:p>
        </w:tc>
        <w:tc>
          <w:tcPr>
            <w:tcW w:type="dxa" w:w="2400"/>
          </w:tcPr>
          <w:p>
            <w:r>
              <w:rPr>
                <w:sz w:val="20"/>
              </w:rPr>
              <w:t xml:space="preserve">low (Kraken2 was high)</w:t>
            </w:r>
          </w:p>
        </w:tc>
      </w:tr>
      <w:tr>
        <w:trPr>
          <w:cantSplit/>
        </w:trPr>
        <w:tc>
          <w:tcPr>
            <w:tcW w:type="dxa" w:w="2900"/>
          </w:tcPr>
          <w:p>
            <w:r>
              <w:rPr>
                <w:sz w:val="20"/>
              </w:rPr>
              <w:t xml:space="preserve">Fusobacterium nucleatum</w:t>
            </w:r>
          </w:p>
        </w:tc>
        <w:tc>
          <w:tcPr>
            <w:tcW w:type="dxa" w:w="1700"/>
          </w:tcPr>
          <w:p>
            <w:r>
              <w:rPr>
                <w:sz w:val="20"/>
              </w:rPr>
              <w:t xml:space="preserve">6%</w:t>
            </w:r>
          </w:p>
        </w:tc>
        <w:tc>
          <w:tcPr>
            <w:tcW w:type="dxa" w:w="2400"/>
          </w:tcPr>
          <w:p>
            <w:r>
              <w:rPr>
                <w:sz w:val="20"/>
              </w:rPr>
              <w:t xml:space="preserve">0.59</w:t>
            </w:r>
          </w:p>
        </w:tc>
        <w:tc>
          <w:tcPr>
            <w:tcW w:type="dxa" w:w="2400"/>
          </w:tcPr>
          <w:p>
            <w:r>
              <w:rPr>
                <w:sz w:val="20"/>
              </w:rPr>
              <w:t xml:space="preserve">low</w:t>
            </w:r>
          </w:p>
        </w:tc>
      </w:tr>
      <w:tr>
        <w:trPr>
          <w:cantSplit/>
        </w:trPr>
        <w:tc>
          <w:tcPr>
            <w:tcW w:type="dxa" w:w="2900"/>
          </w:tcPr>
          <w:p>
            <w:r>
              <w:rPr>
                <w:sz w:val="20"/>
              </w:rPr>
              <w:t xml:space="preserve">Prevotella corporis</w:t>
            </w:r>
          </w:p>
        </w:tc>
        <w:tc>
          <w:tcPr>
            <w:tcW w:type="dxa" w:w="1700"/>
          </w:tcPr>
          <w:p>
            <w:r>
              <w:rPr>
                <w:sz w:val="20"/>
              </w:rPr>
              <w:t xml:space="preserve">6%</w:t>
            </w:r>
          </w:p>
        </w:tc>
        <w:tc>
          <w:tcPr>
            <w:tcW w:type="dxa" w:w="2400"/>
          </w:tcPr>
          <w:p>
            <w:r>
              <w:rPr>
                <w:sz w:val="20"/>
              </w:rPr>
              <w:t xml:space="preserve">0.99</w:t>
            </w:r>
          </w:p>
        </w:tc>
        <w:tc>
          <w:tcPr>
            <w:tcW w:type="dxa" w:w="2400"/>
          </w:tcPr>
          <w:p>
            <w:r>
              <w:rPr>
                <w:sz w:val="20"/>
              </w:rPr>
              <w:t xml:space="preserve">close</w:t>
            </w:r>
          </w:p>
        </w:tc>
      </w:tr>
      <w:tr>
        <w:trPr>
          <w:cantSplit/>
        </w:trPr>
        <w:tc>
          <w:tcPr>
            <w:tcW w:type="dxa" w:w="2900"/>
          </w:tcPr>
          <w:p>
            <w:r>
              <w:rPr>
                <w:sz w:val="20"/>
              </w:rPr>
              <w:t xml:space="preserve">Methanobrevibacter smithii</w:t>
            </w:r>
          </w:p>
        </w:tc>
        <w:tc>
          <w:tcPr>
            <w:tcW w:type="dxa" w:w="1700"/>
          </w:tcPr>
          <w:p>
            <w:r>
              <w:rPr>
                <w:sz w:val="20"/>
              </w:rPr>
              <w:t xml:space="preserve">0.1%</w:t>
            </w:r>
          </w:p>
        </w:tc>
        <w:tc>
          <w:tcPr>
            <w:tcW w:type="dxa" w:w="2400"/>
          </w:tcPr>
          <w:p>
            <w:r>
              <w:rPr>
                <w:sz w:val="20"/>
              </w:rPr>
              <w:t xml:space="preserve">1.14</w:t>
            </w:r>
          </w:p>
        </w:tc>
        <w:tc>
          <w:tcPr>
            <w:tcW w:type="dxa" w:w="2400"/>
          </w:tcPr>
          <w:p>
            <w:r>
              <w:rPr>
                <w:sz w:val="20"/>
              </w:rPr>
              <w:t xml:space="preserve">found, close</w:t>
            </w:r>
          </w:p>
        </w:tc>
      </w:tr>
    </w:tbl>
    <w:p/>
    <w:p>
      <w:pPr>
        <w:pStyle w:val="ListBullet"/>
      </w:pPr>
      <w:r>
        <w:rPr>
          <w:b/>
        </w:rPr>
        <w:t xml:space="preserve">Verdict. </w:t>
      </w:r>
      <w:r>
        <w:t xml:space="preserve">On the rule written beforehand, Sylph “resolves” the Bifidobacterium problem: 0.495 against a required 0.493 (0.393 + 0.10), with 13 of 14 findable species found and no wrong species. The original literal limit (0.46) is also passed.</w:t>
      </w:r>
    </w:p>
    <w:p>
      <w:pPr>
        <w:pStyle w:val="ListBullet"/>
      </w:pPr>
      <w:r>
        <w:rPr>
          <w:b/>
        </w:rPr>
        <w:t xml:space="preserve">But the margin is 0.002, and that is not a win. </w:t>
      </w:r>
      <w:r>
        <w:t xml:space="preserve">A difference that small is very likely inside the wobble you would get from which reads happened to be sampled (we did not measure that wobble for this number); on the practice pool the same test missed by 0.003 (0.483 against 0.486). The honest summary is “met on the written rule, marginal”. The improvement does not come from better abundances overall: Sylph’s Bray–Curtis (0.242) is clearly worse than Kraken2’s (0.132 and 0.167).</w:t>
      </w:r>
    </w:p>
    <w:p>
      <w:pPr>
        <w:pStyle w:val="ListBullet"/>
      </w:pPr>
      <w:r>
        <w:rPr>
          <w:b/>
        </w:rPr>
        <w:t xml:space="preserve">Detection is good; abundance is the weak point. </w:t>
      </w:r>
      <w:r>
        <w:t>Sylph found 13 of 14 findable species with no wrong ones. Escherichia coli is counted 2.4 times too high. A later check on the practice pool supported this reason: the library holds several close relatives of the sample’s E. coli strains and the same reads support three of them, so the same reads were counted about 2.5 times (details at the end of this section). Because Sylph reports shares, one over-counted species also pushes every other species’ value down, which is part of why Roseburia and others look low.</w:t>
      </w:r>
    </w:p>
    <w:p>
      <w:pPr>
        <w:pStyle w:val="ListBullet"/>
      </w:pPr>
      <w:r>
        <w:rPr>
          <w:b/>
        </w:rPr>
        <w:t xml:space="preserve">The translation table matters as much as the tool. </w:t>
      </w:r>
      <w:r>
        <w:t xml:space="preserve">With the first crosswalk the same exam profile scores F1 0.50 with 7 wrong species, because of names alone. Any comparison of tools that use different naming systems depends on this step, and it must be tested on the practice pool and recorded.</w:t>
      </w:r>
    </w:p>
    <w:p>
      <w:pPr>
        <w:pStyle w:val="ListBullet"/>
      </w:pPr>
      <w:r>
        <w:rPr>
          <w:b/>
        </w:rPr>
        <w:t xml:space="preserve">Against our written predictions. </w:t>
      </w:r>
      <w:r>
        <w:t xml:space="preserve">Met: at least 13 of 14 findable species found (the one miss was the yeast, which we had not foreseen; M. smithii was found and Salmonella was not, as predicted); 0 to 3 wrong species (we got 0); B. adolescentis between 0.40 and 0.60 (0.495); Sylph’s two abundance measures differ for unusual genome sizes (Candida albicans 1.6% against 0.4%). Contradicted: Roseburia between 0.35 and 0.50 (0.30); Limosilactobacillus fermentum between 1.5 and 1.9 (0.49); Bray–Curtis between 0.10 and 0.20 (0.242). The E. coli expectation (at least 0.80) is met only literally, because the value is 2.4. Several of these expectations were informed by the practice-pool read trace, so they were not blind.</w:t>
      </w:r>
    </w:p>
    <w:p>
      <w:pPr>
        <w:pStyle w:val="ListBullet"/>
      </w:pPr>
      <w:r>
        <w:rPr>
          <w:b/>
        </w:rPr>
        <w:t xml:space="preserve">Limits. </w:t>
      </w:r>
      <w:r>
        <w:t>The exam pool had already been used in earlier experiments, so this is a prospective follow-up, not fresh validation. Both pools come from one run. The bootstrap for choosing the coverage cutoff used 100 re-drawings instead of 1,000, because each re-drawing needs its own sketch. A later exploratory check on the practice pool explained both (end of this section): the E. coli reads were shared between several library genomes, and the L. fermentum disagreement came from comparing counts of reads with counts of DNA, because those reads are short.</w:t>
      </w:r>
    </w:p>
    <w:p>
      <w:pPr>
        <w:pStyle w:val="ListBullet"/>
      </w:pPr>
      <w:r>
        <w:rPr>
          <w:b/>
        </w:rPr>
        <w:t xml:space="preserve">Outside evidence. </w:t>
      </w:r>
      <w:r>
        <w:t xml:space="preserve">The paper that produced these data reports, in its supplement, that an older Sylph version (0.6.1), with and without the read-count option, underestimated species-level genome copies on nanopore samples. That is a different version and a different quantity from the shares we scored, so it supports our caution about the read-count option rather than explaining our results.</w:t>
      </w:r>
    </w:p>
    <w:p>
      <w:pPr>
        <w:pStyle w:val="Heading3"/>
      </w:pPr>
      <w:r>
        <w:t xml:space="preserve">Why Sylph got E. coli and Limosilactobacillus fermentum wrong, and why reads are not DNA (exploratory, practice pool only)</w:t>
      </w:r>
    </w:p>
    <w:p>
      <w:r>
        <w:t xml:space="preserve">After the exam-pool result we looked at two odd numbers on the practice pool only, as a side investigation. It is not one of the registered experiments and changes no verdict. As always, we wrote our guess down before testing it, and we report what happened, including that our first guess was wrong.</w:t>
      </w:r>
    </w:p>
    <w:p>
      <w:pPr>
        <w:pStyle w:val="ListBullet"/>
      </w:pPr>
      <w:r>
        <w:rPr>
          <w:b/>
        </w:rPr>
        <w:t xml:space="preserve">Escherichia coli (counted 2.3 times too high). </w:t>
      </w:r>
      <w:r>
        <w:t xml:space="preserve">The mock community contains five E. coli strains, and none of them is in Sylph’s library. Each is only about 96 to 97% identical to several library genomes. Sylph therefore reported three library E. coli genomes, each backed by roughly the whole E. coli signal (effective coverage 25, 24 and 15, against about 29 expected), because the same reads fit all three. Our scoring rule added the three together, so the same reads were counted about 2.5 times. Had we kept only the best-supported genome, E. coli would have come out at 1.15 times its expected share instead of 2.34, and the Bray–Curtis distance (section 4.3 explains it) would have fallen from 0.240 to 0.182. That rule was thought of after seeing the numbers, so it is an observation, not a score.</w:t>
      </w:r>
    </w:p>
    <w:p>
      <w:pPr>
        <w:pStyle w:val="ListBullet"/>
      </w:pPr>
      <w:r>
        <w:rPr>
          <w:b/>
        </w:rPr>
        <w:t xml:space="preserve">Limosilactobacillus fermentum (counted about half as much as expected). </w:t>
      </w:r>
      <w:r>
        <w:t xml:space="preserve">Our first guess: reads from this species carry more sequencing errors, and Sylph only counts stretches of 31 letters without an error, so it would see less of them. We wrote the test down first: if that were true, the reads of the badly counted species should be clearly less accurate (by about 4 percentage points) and the ranking of species should follow. The guess was wrong. Read accuracy was 90 to 94% in all species (92% for L. fermentum), and the ranking agreement was 0.23 where we had required at least 0.6.</w:t>
      </w:r>
    </w:p>
    <w:p>
      <w:r>
        <w:rPr>
          <w:b/>
        </w:rPr>
        <w:t xml:space="preserve">What was really going on: read length. </w:t>
      </w:r>
      <w:r>
        <w:t>The same check showed that the reads of different species have very different lengths:</w:t>
      </w:r>
    </w:p>
    <w:tbl>
      <w:tblPr>
        <w:tblStyle w:val="TableGrid"/>
        <w:tblW w:type="auto" w:w="0"/>
        <w:tblLayout w:type="fixed"/>
        <w:tblLook w:firstColumn="1" w:firstRow="1" w:lastColumn="0" w:lastRow="0" w:noHBand="0" w:noVBand="1" w:val="04A0"/>
      </w:tblPr>
      <w:tblGrid>
        <w:gridCol w:w="3300"/>
        <w:gridCol w:w="2000"/>
        <w:gridCol w:w="2200"/>
        <w:gridCol w:w="2246"/>
      </w:tblGrid>
      <w:tr>
        <w:trPr>
          <w:cantSplit/>
        </w:trPr>
        <w:tc>
          <w:tcPr>
            <w:tcW w:type="dxa" w:w="3300"/>
            <w:shd w:val="clear" w:fill="D9E4F2"/>
          </w:tcPr>
          <w:p>
            <w:r>
              <w:rPr>
                <w:b/>
                <w:sz w:val="20"/>
              </w:rPr>
              <w:t xml:space="preserve">Species</w:t>
            </w:r>
          </w:p>
        </w:tc>
        <w:tc>
          <w:tcPr>
            <w:tcW w:type="dxa" w:w="2000"/>
            <w:shd w:val="clear" w:fill="D9E4F2"/>
          </w:tcPr>
          <w:p>
            <w:r>
              <w:rPr>
                <w:b/>
                <w:sz w:val="20"/>
              </w:rPr>
              <w:t xml:space="preserve">Mean read length (letters)</w:t>
            </w:r>
          </w:p>
        </w:tc>
        <w:tc>
          <w:tcPr>
            <w:tcW w:type="dxa" w:w="2200"/>
            <w:shd w:val="clear" w:fill="D9E4F2"/>
          </w:tcPr>
          <w:p>
            <w:r>
              <w:rPr>
                <w:b/>
                <w:sz w:val="20"/>
              </w:rPr>
              <w:t xml:space="preserve">Kraken2, reads: observed / expected</w:t>
            </w:r>
          </w:p>
        </w:tc>
        <w:tc>
          <w:tcPr>
            <w:tcW w:type="dxa" w:w="2246"/>
            <w:shd w:val="clear" w:fill="D9E4F2"/>
          </w:tcPr>
          <w:p>
            <w:r>
              <w:rPr>
                <w:b/>
                <w:sz w:val="20"/>
              </w:rPr>
              <w:t xml:space="preserve">Kraken2, letters: observed / expected</w:t>
            </w:r>
          </w:p>
        </w:tc>
      </w:tr>
      <w:tr>
        <w:trPr>
          <w:cantSplit/>
        </w:trPr>
        <w:tc>
          <w:tcPr>
            <w:tcW w:type="dxa" w:w="3300"/>
          </w:tcPr>
          <w:p>
            <w:r>
              <w:rPr>
                <w:sz w:val="20"/>
              </w:rPr>
              <w:t xml:space="preserve">Limosilactobacillus fermentum</w:t>
            </w:r>
          </w:p>
        </w:tc>
        <w:tc>
          <w:tcPr>
            <w:tcW w:type="dxa" w:w="2000"/>
          </w:tcPr>
          <w:p>
            <w:r>
              <w:rPr>
                <w:sz w:val="20"/>
              </w:rPr>
              <w:t xml:space="preserve">2,034</w:t>
            </w:r>
          </w:p>
        </w:tc>
        <w:tc>
          <w:tcPr>
            <w:tcW w:type="dxa" w:w="2200"/>
          </w:tcPr>
          <w:p>
            <w:r>
              <w:rPr>
                <w:sz w:val="20"/>
              </w:rPr>
              <w:t xml:space="preserve">1.99</w:t>
            </w:r>
          </w:p>
        </w:tc>
        <w:tc>
          <w:tcPr>
            <w:tcW w:type="dxa" w:w="2246"/>
          </w:tcPr>
          <w:p>
            <w:r>
              <w:rPr>
                <w:sz w:val="20"/>
              </w:rPr>
              <w:t xml:space="preserve">0.69</w:t>
            </w:r>
          </w:p>
        </w:tc>
      </w:tr>
      <w:tr>
        <w:trPr>
          <w:cantSplit/>
        </w:trPr>
        <w:tc>
          <w:tcPr>
            <w:tcW w:type="dxa" w:w="3300"/>
          </w:tcPr>
          <w:p>
            <w:r>
              <w:rPr>
                <w:sz w:val="20"/>
              </w:rPr>
              <w:t xml:space="preserve">Faecalibacterium prausnitzii</w:t>
            </w:r>
          </w:p>
        </w:tc>
        <w:tc>
          <w:tcPr>
            <w:tcW w:type="dxa" w:w="2000"/>
          </w:tcPr>
          <w:p>
            <w:r>
              <w:rPr>
                <w:sz w:val="20"/>
              </w:rPr>
              <w:t xml:space="preserve">3,239</w:t>
            </w:r>
          </w:p>
        </w:tc>
        <w:tc>
          <w:tcPr>
            <w:tcW w:type="dxa" w:w="2200"/>
          </w:tcPr>
          <w:p>
            <w:r>
              <w:rPr>
                <w:sz w:val="20"/>
              </w:rPr>
              <w:t xml:space="preserve">1.47</w:t>
            </w:r>
          </w:p>
        </w:tc>
        <w:tc>
          <w:tcPr>
            <w:tcW w:type="dxa" w:w="2246"/>
          </w:tcPr>
          <w:p>
            <w:r>
              <w:rPr>
                <w:sz w:val="20"/>
              </w:rPr>
              <w:t xml:space="preserve">0.81</w:t>
            </w:r>
          </w:p>
        </w:tc>
      </w:tr>
      <w:tr>
        <w:trPr>
          <w:cantSplit/>
        </w:trPr>
        <w:tc>
          <w:tcPr>
            <w:tcW w:type="dxa" w:w="3300"/>
          </w:tcPr>
          <w:p>
            <w:r>
              <w:rPr>
                <w:sz w:val="20"/>
              </w:rPr>
              <w:t xml:space="preserve">Roseburia hominis</w:t>
            </w:r>
          </w:p>
        </w:tc>
        <w:tc>
          <w:tcPr>
            <w:tcW w:type="dxa" w:w="2000"/>
          </w:tcPr>
          <w:p>
            <w:r>
              <w:rPr>
                <w:sz w:val="20"/>
              </w:rPr>
              <w:t xml:space="preserve">4,409</w:t>
            </w:r>
          </w:p>
        </w:tc>
        <w:tc>
          <w:tcPr>
            <w:tcW w:type="dxa" w:w="2200"/>
          </w:tcPr>
          <w:p>
            <w:r>
              <w:rPr>
                <w:sz w:val="20"/>
              </w:rPr>
              <w:t xml:space="preserve">0.50</w:t>
            </w:r>
          </w:p>
        </w:tc>
        <w:tc>
          <w:tcPr>
            <w:tcW w:type="dxa" w:w="2246"/>
          </w:tcPr>
          <w:p>
            <w:r>
              <w:rPr>
                <w:sz w:val="20"/>
              </w:rPr>
              <w:t xml:space="preserve">0.38</w:t>
            </w:r>
          </w:p>
        </w:tc>
      </w:tr>
      <w:tr>
        <w:trPr>
          <w:cantSplit/>
        </w:trPr>
        <w:tc>
          <w:tcPr>
            <w:tcW w:type="dxa" w:w="3300"/>
          </w:tcPr>
          <w:p>
            <w:r>
              <w:rPr>
                <w:sz w:val="20"/>
              </w:rPr>
              <w:t xml:space="preserve">Bacteroides fragilis</w:t>
            </w:r>
          </w:p>
        </w:tc>
        <w:tc>
          <w:tcPr>
            <w:tcW w:type="dxa" w:w="2000"/>
          </w:tcPr>
          <w:p>
            <w:r>
              <w:rPr>
                <w:sz w:val="20"/>
              </w:rPr>
              <w:t xml:space="preserve">7,561</w:t>
            </w:r>
          </w:p>
        </w:tc>
        <w:tc>
          <w:tcPr>
            <w:tcW w:type="dxa" w:w="2200"/>
          </w:tcPr>
          <w:p>
            <w:r>
              <w:rPr>
                <w:sz w:val="20"/>
              </w:rPr>
              <w:t xml:space="preserve">1.14</w:t>
            </w:r>
          </w:p>
        </w:tc>
        <w:tc>
          <w:tcPr>
            <w:tcW w:type="dxa" w:w="2246"/>
          </w:tcPr>
          <w:p>
            <w:r>
              <w:rPr>
                <w:sz w:val="20"/>
              </w:rPr>
              <w:t xml:space="preserve">1.47</w:t>
            </w:r>
          </w:p>
        </w:tc>
      </w:tr>
      <w:tr>
        <w:trPr>
          <w:cantSplit/>
        </w:trPr>
        <w:tc>
          <w:tcPr>
            <w:tcW w:type="dxa" w:w="3300"/>
          </w:tcPr>
          <w:p>
            <w:r>
              <w:rPr>
                <w:sz w:val="20"/>
              </w:rPr>
              <w:t xml:space="preserve">Veillonella rogosae</w:t>
            </w:r>
          </w:p>
        </w:tc>
        <w:tc>
          <w:tcPr>
            <w:tcW w:type="dxa" w:w="2000"/>
          </w:tcPr>
          <w:p>
            <w:r>
              <w:rPr>
                <w:sz w:val="20"/>
              </w:rPr>
              <w:t xml:space="preserve">8,146</w:t>
            </w:r>
          </w:p>
        </w:tc>
        <w:tc>
          <w:tcPr>
            <w:tcW w:type="dxa" w:w="2200"/>
          </w:tcPr>
          <w:p>
            <w:r>
              <w:rPr>
                <w:sz w:val="20"/>
              </w:rPr>
              <w:t xml:space="preserve">1.04</w:t>
            </w:r>
          </w:p>
        </w:tc>
        <w:tc>
          <w:tcPr>
            <w:tcW w:type="dxa" w:w="2246"/>
          </w:tcPr>
          <w:p>
            <w:r>
              <w:rPr>
                <w:sz w:val="20"/>
              </w:rPr>
              <w:t xml:space="preserve">1.46</w:t>
            </w:r>
          </w:p>
        </w:tc>
      </w:tr>
      <w:tr>
        <w:trPr>
          <w:cantSplit/>
        </w:trPr>
        <w:tc>
          <w:tcPr>
            <w:tcW w:type="dxa" w:w="3300"/>
          </w:tcPr>
          <w:p>
            <w:r>
              <w:rPr>
                <w:sz w:val="20"/>
              </w:rPr>
              <w:t xml:space="preserve">Escherichia coli</w:t>
            </w:r>
          </w:p>
        </w:tc>
        <w:tc>
          <w:tcPr>
            <w:tcW w:type="dxa" w:w="2000"/>
          </w:tcPr>
          <w:p>
            <w:r>
              <w:rPr>
                <w:sz w:val="20"/>
              </w:rPr>
              <w:t xml:space="preserve">9,365</w:t>
            </w:r>
          </w:p>
        </w:tc>
        <w:tc>
          <w:tcPr>
            <w:tcW w:type="dxa" w:w="2200"/>
          </w:tcPr>
          <w:p>
            <w:r>
              <w:rPr>
                <w:sz w:val="20"/>
              </w:rPr>
              <w:t xml:space="preserve">0.68</w:t>
            </w:r>
          </w:p>
        </w:tc>
        <w:tc>
          <w:tcPr>
            <w:tcW w:type="dxa" w:w="2246"/>
          </w:tcPr>
          <w:p>
            <w:r>
              <w:rPr>
                <w:sz w:val="20"/>
              </w:rPr>
              <w:t xml:space="preserve">1.08</w:t>
            </w:r>
          </w:p>
        </w:tc>
      </w:tr>
    </w:tbl>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A worked example.  </w:t>
            </w:r>
            <w:r>
              <w:t xml:space="preserve">Imagine two species, each making up half of the DNA in a tube. Species A is chopped into short pieces of 2,000 letters, species B into long pieces of 8,000 letters. The sequencer reads pieces. For every 2,000,000 letters of each species it returns 1,000 reads of A but only 250 reads of B, although the DNA amounts are equal. Counting reads says A is 80% of the sample; counting letters says it is 50%. The manufacturer’s percentages are shares of DNA, so letters are the fair thing to count.</w:t>
            </w:r>
          </w:p>
        </w:tc>
      </w:tr>
    </w:tbl>
    <w:p/>
    <w:p>
      <w:r>
        <w:t xml:space="preserve">That is what happened with L. fermentum: its reads are short, so there are many reads but less DNA. Our first calculation had assumed the same read length for every species, which made Sylph look wrong. With each species’ own read length, Sylph’s coverage matched the DNA actually sequenced in all 13 species (a ratio of about 1.05 with the option that corrects for read errors). Sylph was measuring DNA, which is what the label describes. The mistake was in our own check, and it is a good reminder to look at how a quantity is spread across groups before building an explanation.</w:t>
      </w:r>
    </w:p>
    <w:p>
      <w:r>
        <w:rPr>
          <w:b/>
        </w:rPr>
        <w:t xml:space="preserve">Kraken2 counted in letters. </w:t>
      </w:r>
      <w:r>
        <w:t xml:space="preserve">We then recounted the Kraken2 results in letters instead of reads (same calls, nothing reclassified). L. fermentum falls from 1.99 times its expected share to 0.69, and the Bray–Curtis distance from the label gets worse, from 0.166 to 0.191, because the short-read species had been flattering it. The gap to Sylph shrinks from 0.075 to 0.051, but Kraken2 is still ahead on abundance. One caution: the reads that Kraken2 puts into a species are longer than the reads that map to the same species (for E. coli 9.4 against 7.3 thousand letters), because long reads are easier to classify, so counting letters in Kraken2 has its own small bias. Why some species give shorter reads (how the cells were broken open, how the library was prepared, or the sample itself) is not known; one sample cannot tell us.</w:t>
      </w:r>
    </w:p>
    <w:p>
      <w:r>
        <w:rPr>
          <w:b/>
        </w:rPr>
        <w:t xml:space="preserve">Did it hold on the exam pool? </w:t>
      </w:r>
      <w:r>
        <w:t xml:space="preserve">Before touching the exam pool we wrote down, with numbers, what the practice pool led us to expect (for example: counting in letters should raise Kraken2’s distance from the label by 0.01 to 0.05, and L. fermentum should land between 0.55 and 0.85 of its expected share). The exam pool was then run once, and all eight predictions came true: Kraken2’s distance went from 0.168 to 0.191, L. fermentum from 1.98 to 0.68, and the read lengths of every species matched the practice pool (13 of 14 within 10%). For Sylph, keeping only the best-supported library genome per species brought E. coli from 2.38 to 1.17 and the distance from 0.242 to 0.182. With that rule Sylph (0.182) and Kraken2 counted in letters (0.190) are about equally close to the label. The rule was chosen on the practice pool before the exam pool was looked at, so this is a fair test of it, but it does not replace the scores we registered earlier, which stay as they were.</w:t>
      </w:r>
    </w:p>
    <w:p>
      <w:r>
        <w:rPr>
          <w:b/>
        </w:rPr>
        <w:t xml:space="preserve">What this does and does not show. </w:t>
      </w:r>
      <w:r>
        <w:t xml:space="preserve">The two pools are both random samples of the same sequencing run, so they share the same library. Getting the same answer on both shows that the pattern belongs to the run and was not a fluke of one sample; it does not show that another sample, kit or lab would behave the same way. It is a consistency check, not a new, independent test.</w:t>
      </w:r>
    </w:p>
    <w:p>
      <w:pPr>
        <w:pStyle w:val="Heading2"/>
      </w:pPr>
      <w:r>
        <w:t xml:space="preserve">5.6 Experiment 5: resistance genes (a small pilot)</w:t>
      </w:r>
    </w:p>
    <w:p>
      <w:r>
        <w:t xml:space="preserve">Finding resistance genes is the part of the project closest to medicine, and the part that is easiest to over-claim. So we kept it small, wrote the rules down first, and let the question be: </w:t>
      </w:r>
      <w:r>
        <w:rPr>
          <w:i/>
        </w:rPr>
        <w:t xml:space="preserve">can the workflow see the resistance genes we expect, and what would that tell us?</w:t>
      </w:r>
    </w:p>
    <w:p>
      <w:r>
        <w:rPr>
          <w:b/>
        </w:rPr>
        <w:t xml:space="preserve">What is the “truth”?  </w:t>
      </w:r>
      <w:r>
        <w:t xml:space="preserve">Nobody measured which resistance genes are in this sequenced tube. What we do have is the supplier’s genome sequences for the mock community. We ran a standard annotation tool (AMRFinderPlus) over those genomes and called the result a reference catalogue: genes we expect to find if the tube matches the genomes. It is an annotation, not a measurement. It reported 140 hits, many of them metal-resistance and virulence genes that we set aside. Of the 38 resistance rows, rules we wrote before seeing any hit sorted the genes into 8 high-confidence ones (complete, known resistance genes that are not pumps) and 14 candidates (partial matches, pumps that bacteria have anyway, point mutations).</w:t>
      </w:r>
    </w:p>
    <w:p>
      <w:r>
        <w:rPr>
          <w:b/>
        </w:rPr>
        <w:t xml:space="preserve">Can a gene even be seen?  </w:t>
      </w:r>
      <w:r>
        <w:t xml:space="preserve">A gene in a species that has almost no reads cannot be found by anyone. So before counting a missed gene as a failure we estimated how many reads should cover it: the species’ coverage (how many times, on average, each letter of its genome is read) times the share of reads that overlap most of the gene. We called this E, and genes with E of at least 10 were evaluable. Three gene families qualified: </w:t>
      </w:r>
      <w:r>
        <w:rPr>
          <w:i/>
        </w:rPr>
        <w:t xml:space="preserve">cepA</w:t>
      </w:r>
      <w:r>
        <w:t xml:space="preserve"> and </w:t>
      </w:r>
      <w:r>
        <w:rPr>
          <w:i/>
        </w:rPr>
        <w:t xml:space="preserve">tet(Q)</w:t>
      </w:r>
      <w:r>
        <w:t xml:space="preserve"> (in Bacteroides fragilis; tet(Q) also in Prevotella corporis) and </w:t>
      </w:r>
      <w:r>
        <w:rPr>
          <w:i/>
        </w:rPr>
        <w:t xml:space="preserve">tet(W)</w:t>
      </w:r>
      <w:r>
        <w:t xml:space="preserve"> (in Faecalibacterium prausnitzii). The gene erm(B) in Clostridioides difficile had too few reads to score, and the Enterococcus faecalis gene lsa(A) had none because that species was not in the practice reads.</w:t>
      </w:r>
    </w:p>
    <w:p>
      <w:r>
        <w:rPr>
          <w:b/>
        </w:rPr>
        <w:t xml:space="preserve">The one method.  </w:t>
      </w:r>
      <w:r>
        <w:t xml:space="preserve">We compared every read with a standard database of resistance genes (ResFinder). A read counts as support for a gene family if it matches at least 80% of the gene letter for letter at 80% identity or better (we set 80% because the reads themselves are only about 91% accurate), and a gene family counts as found if at least three reads support it. A read that matches several different families almost equally is called ambiguous and is not counted. We looked only at gene families (such as “tet(Q)”), not at the exact variant or which species carries it.</w:t>
      </w:r>
    </w:p>
    <w:p>
      <w:r>
        <w:rPr>
          <w:b/>
        </w:rPr>
        <w:t xml:space="preserve">What happened on the practice pool, and a mistake of ours.  </w:t>
      </w:r>
      <w:r>
        <w:t xml:space="preserve">Two of the three families were found. For cepA only 2 reads counted, while 27 more were ambiguous. We wrote a guess down before checking it: the database lists the same gene under four names (cepA, cepA-29, cepA-44 and cepA-49), so reads cannot choose between them. The check agreed: the four sequences are 98.8 to 99.7% identical, and 29 different reads matched the group. The miss came from our own rule for what counts as one family, not from the data. We fixed it with a short, written merge list (Addendum A5), said openly that the change came after seeing the practice result, and kept the original result next to the new one. The practice pool was therefore no longer a fair test of the fix. The exam pool had to be.</w:t>
      </w:r>
    </w:p>
    <w:p>
      <w:r>
        <w:rPr>
          <w:b/>
        </w:rPr>
        <w:t xml:space="preserve">The exam pool, scored once.  </w:t>
      </w:r>
      <w:r>
        <w:t xml:space="preserve">Before running it we froze everything and wrote five predictions (for example: all three families found; each within a factor of two of the practice count; nothing found outside the catalogue). All five were met.</w:t>
      </w:r>
    </w:p>
    <w:tbl>
      <w:tblPr>
        <w:tblStyle w:val="TableGrid"/>
        <w:tblW w:type="auto" w:w="0"/>
        <w:tblLayout w:type="fixed"/>
        <w:tblLook w:firstColumn="1" w:firstRow="1" w:lastColumn="0" w:lastRow="0" w:noHBand="0" w:noVBand="1" w:val="04A0"/>
      </w:tblPr>
      <w:tblGrid>
        <w:gridCol w:w="1500"/>
        <w:gridCol w:w="2300"/>
        <w:gridCol w:w="1900"/>
        <w:gridCol w:w="2500"/>
        <w:gridCol w:w="1546"/>
      </w:tblGrid>
      <w:tr>
        <w:trPr>
          <w:cantSplit/>
        </w:trPr>
        <w:tc>
          <w:tcPr>
            <w:tcW w:type="dxa" w:w="1500"/>
            <w:shd w:val="clear" w:fill="D9E4F2"/>
          </w:tcPr>
          <w:p>
            <w:r>
              <w:rPr>
                <w:b/>
                <w:sz w:val="20"/>
              </w:rPr>
              <w:t xml:space="preserve">Gene family</w:t>
            </w:r>
          </w:p>
        </w:tc>
        <w:tc>
          <w:tcPr>
            <w:tcW w:type="dxa" w:w="2300"/>
            <w:shd w:val="clear" w:fill="D9E4F2"/>
          </w:tcPr>
          <w:p>
            <w:r>
              <w:rPr>
                <w:b/>
                <w:sz w:val="20"/>
              </w:rPr>
              <w:t xml:space="preserve">Where (reference genomes)</w:t>
            </w:r>
          </w:p>
        </w:tc>
        <w:tc>
          <w:tcPr>
            <w:tcW w:type="dxa" w:w="1900"/>
            <w:shd w:val="clear" w:fill="D9E4F2"/>
          </w:tcPr>
          <w:p>
            <w:r>
              <w:rPr>
                <w:b/>
                <w:sz w:val="20"/>
              </w:rPr>
              <w:t xml:space="preserve">Expected reads (E)</w:t>
            </w:r>
          </w:p>
        </w:tc>
        <w:tc>
          <w:tcPr>
            <w:tcW w:type="dxa" w:w="2500"/>
            <w:shd w:val="clear" w:fill="D9E4F2"/>
          </w:tcPr>
          <w:p>
            <w:r>
              <w:rPr>
                <w:b/>
                <w:sz w:val="20"/>
              </w:rPr>
              <w:t xml:space="preserve">Practice pool</w:t>
            </w:r>
          </w:p>
        </w:tc>
        <w:tc>
          <w:tcPr>
            <w:tcW w:type="dxa" w:w="1546"/>
            <w:shd w:val="clear" w:fill="D9E4F2"/>
          </w:tcPr>
          <w:p>
            <w:r>
              <w:rPr>
                <w:b/>
                <w:sz w:val="20"/>
              </w:rPr>
              <w:t xml:space="preserve">Exam pool</w:t>
            </w:r>
          </w:p>
        </w:tc>
      </w:tr>
      <w:tr>
        <w:trPr>
          <w:cantSplit/>
        </w:trPr>
        <w:tc>
          <w:tcPr>
            <w:tcW w:type="dxa" w:w="1500"/>
          </w:tcPr>
          <w:p>
            <w:r>
              <w:rPr>
                <w:sz w:val="20"/>
              </w:rPr>
              <w:t xml:space="preserve">cepA</w:t>
            </w:r>
          </w:p>
        </w:tc>
        <w:tc>
          <w:tcPr>
            <w:tcW w:type="dxa" w:w="2300"/>
          </w:tcPr>
          <w:p>
            <w:r>
              <w:rPr>
                <w:sz w:val="20"/>
              </w:rPr>
              <w:t xml:space="preserve">B. fragilis</w:t>
            </w:r>
          </w:p>
        </w:tc>
        <w:tc>
          <w:tcPr>
            <w:tcW w:type="dxa" w:w="1900"/>
          </w:tcPr>
          <w:p>
            <w:r>
              <w:rPr>
                <w:sz w:val="20"/>
              </w:rPr>
              <w:t xml:space="preserve">about 32</w:t>
            </w:r>
          </w:p>
        </w:tc>
        <w:tc>
          <w:tcPr>
            <w:tcW w:type="dxa" w:w="2500"/>
          </w:tcPr>
          <w:p>
            <w:r>
              <w:rPr>
                <w:sz w:val="20"/>
              </w:rPr>
              <w:t xml:space="preserve">2, plus 27 ambiguous (29 after merging the four names)</w:t>
            </w:r>
          </w:p>
        </w:tc>
        <w:tc>
          <w:tcPr>
            <w:tcW w:type="dxa" w:w="1546"/>
          </w:tcPr>
          <w:p>
            <w:r>
              <w:rPr>
                <w:sz w:val="20"/>
              </w:rPr>
              <w:t xml:space="preserve">17</w:t>
            </w:r>
          </w:p>
        </w:tc>
      </w:tr>
      <w:tr>
        <w:trPr>
          <w:cantSplit/>
        </w:trPr>
        <w:tc>
          <w:tcPr>
            <w:tcW w:type="dxa" w:w="1500"/>
          </w:tcPr>
          <w:p>
            <w:r>
              <w:rPr>
                <w:sz w:val="20"/>
              </w:rPr>
              <w:t xml:space="preserve">tet(Q)</w:t>
            </w:r>
          </w:p>
        </w:tc>
        <w:tc>
          <w:tcPr>
            <w:tcW w:type="dxa" w:w="2300"/>
          </w:tcPr>
          <w:p>
            <w:r>
              <w:rPr>
                <w:sz w:val="20"/>
              </w:rPr>
              <w:t xml:space="preserve">B. fragilis and P. corporis</w:t>
            </w:r>
          </w:p>
        </w:tc>
        <w:tc>
          <w:tcPr>
            <w:tcW w:type="dxa" w:w="1900"/>
          </w:tcPr>
          <w:p>
            <w:r>
              <w:rPr>
                <w:sz w:val="20"/>
              </w:rPr>
              <w:t xml:space="preserve">about 29 + 22</w:t>
            </w:r>
          </w:p>
        </w:tc>
        <w:tc>
          <w:tcPr>
            <w:tcW w:type="dxa" w:w="2500"/>
          </w:tcPr>
          <w:p>
            <w:r>
              <w:rPr>
                <w:sz w:val="20"/>
              </w:rPr>
              <w:t xml:space="preserve">15</w:t>
            </w:r>
          </w:p>
        </w:tc>
        <w:tc>
          <w:tcPr>
            <w:tcW w:type="dxa" w:w="1546"/>
          </w:tcPr>
          <w:p>
            <w:r>
              <w:rPr>
                <w:sz w:val="20"/>
              </w:rPr>
              <w:t xml:space="preserve">22</w:t>
            </w:r>
          </w:p>
        </w:tc>
      </w:tr>
      <w:tr>
        <w:trPr>
          <w:cantSplit/>
        </w:trPr>
        <w:tc>
          <w:tcPr>
            <w:tcW w:type="dxa" w:w="1500"/>
          </w:tcPr>
          <w:p>
            <w:r>
              <w:rPr>
                <w:sz w:val="20"/>
              </w:rPr>
              <w:t xml:space="preserve">tet(W)</w:t>
            </w:r>
          </w:p>
        </w:tc>
        <w:tc>
          <w:tcPr>
            <w:tcW w:type="dxa" w:w="2300"/>
          </w:tcPr>
          <w:p>
            <w:r>
              <w:rPr>
                <w:sz w:val="20"/>
              </w:rPr>
              <w:t xml:space="preserve">F. prausnitzii</w:t>
            </w:r>
          </w:p>
        </w:tc>
        <w:tc>
          <w:tcPr>
            <w:tcW w:type="dxa" w:w="1900"/>
          </w:tcPr>
          <w:p>
            <w:r>
              <w:rPr>
                <w:sz w:val="20"/>
              </w:rPr>
              <w:t xml:space="preserve">about 22</w:t>
            </w:r>
          </w:p>
        </w:tc>
        <w:tc>
          <w:tcPr>
            <w:tcW w:type="dxa" w:w="2500"/>
          </w:tcPr>
          <w:p>
            <w:r>
              <w:rPr>
                <w:sz w:val="20"/>
              </w:rPr>
              <w:t xml:space="preserve">14</w:t>
            </w:r>
          </w:p>
        </w:tc>
        <w:tc>
          <w:tcPr>
            <w:tcW w:type="dxa" w:w="1546"/>
          </w:tcPr>
          <w:p>
            <w:r>
              <w:rPr>
                <w:sz w:val="20"/>
              </w:rPr>
              <w:t xml:space="preserve">14</w:t>
            </w:r>
          </w:p>
        </w:tc>
      </w:tr>
      <w:tr>
        <w:trPr>
          <w:cantSplit/>
        </w:trPr>
        <w:tc>
          <w:tcPr>
            <w:tcW w:type="dxa" w:w="1500"/>
          </w:tcPr>
          <w:p>
            <w:r>
              <w:rPr>
                <w:sz w:val="20"/>
              </w:rPr>
              <w:t xml:space="preserve">erm(B)</w:t>
            </w:r>
          </w:p>
        </w:tc>
        <w:tc>
          <w:tcPr>
            <w:tcW w:type="dxa" w:w="2300"/>
          </w:tcPr>
          <w:p>
            <w:r>
              <w:rPr>
                <w:sz w:val="20"/>
              </w:rPr>
              <w:t xml:space="preserve">C. difficile</w:t>
            </w:r>
          </w:p>
        </w:tc>
        <w:tc>
          <w:tcPr>
            <w:tcW w:type="dxa" w:w="1900"/>
          </w:tcPr>
          <w:p>
            <w:r>
              <w:rPr>
                <w:sz w:val="20"/>
              </w:rPr>
              <w:t xml:space="preserve">about 4 (too few to score)</w:t>
            </w:r>
          </w:p>
        </w:tc>
        <w:tc>
          <w:tcPr>
            <w:tcW w:type="dxa" w:w="2500"/>
          </w:tcPr>
          <w:p>
            <w:r>
              <w:rPr>
                <w:sz w:val="20"/>
              </w:rPr>
              <w:t xml:space="preserve">1</w:t>
            </w:r>
          </w:p>
        </w:tc>
        <w:tc>
          <w:tcPr>
            <w:tcW w:type="dxa" w:w="1546"/>
          </w:tcPr>
          <w:p>
            <w:r>
              <w:rPr>
                <w:sz w:val="20"/>
              </w:rPr>
              <w:t xml:space="preserve">2</w:t>
            </w:r>
          </w:p>
        </w:tc>
      </w:tr>
    </w:tbl>
    <w:p>
      <w:r>
        <w:t xml:space="preserve"/>
      </w:r>
    </w:p>
    <w:tbl>
      <w:tblPr>
        <w:tblStyle w:val="TableGrid"/>
        <w:tblW w:type="auto" w:w="0"/>
        <w:tblLook w:firstColumn="1" w:firstRow="1" w:lastColumn="0" w:lastRow="0" w:noHBand="0" w:noVBand="1" w:val="04A0"/>
      </w:tblPr>
      <w:tblGrid>
        <w:gridCol w:w="9746"/>
      </w:tblGrid>
      <w:tr>
        <w:tc>
          <w:tcPr>
            <w:tcW w:type="dxa" w:w="9746"/>
            <w:shd w:val="clear" w:fill="EAF1FB"/>
          </w:tcPr>
          <w:p>
            <w:r>
              <w:rPr>
                <w:b/>
              </w:rPr>
              <w:t xml:space="preserve">What this does and does not show.  </w:t>
            </w:r>
            <w:r>
              <w:t xml:space="preserve">Three gene families were all found on both pools, so the workflow can recover resistance genes that are well covered. That is a worked example, not an accuracy figure: three families are too few for a percentage to mean anything. Most of the catalogue was never tested (all 14 candidates and two of the eight high-confidence genes are not in ResFinder under the same name). The two pools come from one run, and the exam pool had been looked at before. The support for tet(Q) (22 reads) is well below what we expected from its two carriers (about 51), and we do not know why. Most importantly, finding sequence that matches a resistance gene does not tell you which organism carries it, whether it is an acquired or a natural gene, or whether the bacteria would actually resist the drug.</w:t>
            </w:r>
          </w:p>
        </w:tc>
      </w:tr>
    </w:tbl>
    <w:tbl>
      <w:tblPr>
        <w:tblStyle w:val="TableGrid"/>
        <w:tblW w:type="auto" w:w="0"/>
        <w:tblLook w:firstColumn="1" w:firstRow="1" w:lastColumn="0" w:lastRow="0" w:noHBand="0" w:noVBand="1" w:val="04A0"/>
      </w:tblPr>
      <w:tblGrid>
        <w:gridCol w:w="9746"/>
      </w:tblGrid>
      <w:tr>
        <w:tc>
          <w:tcPr>
            <w:tcW w:type="dxa" w:w="9746"/>
            <w:shd w:val="clear" w:fill="F2F2F2"/>
          </w:tcPr>
          <w:p>
            <w:r>
              <w:rPr>
                <w:b/>
              </w:rPr>
              <w:t xml:space="preserve">Check before moving on:  </w:t>
            </w:r>
            <w:r>
              <w:t xml:space="preserve">Can you say, for any resistance result, what the truth was, whether the gene could be seen at all (E), and what level it is (family, variant, or carrier organism)? And what did our own naming rule do to the cepA result?</w:t>
            </w:r>
          </w:p>
        </w:tc>
      </w:tr>
    </w:tbl>
    <w:p>
      <w:r>
        <w:t xml:space="preserve"/>
      </w:r>
    </w:p>
    <w:p>
      <w:pPr>
        <w:pStyle w:val="Heading2"/>
      </w:pPr>
      <w:r>
        <w:t>5.7 What we take away, and what we still do not know</w:t>
      </w:r>
    </w:p>
    <w:p>
      <w:pPr>
        <w:pStyle w:val="ListBullet"/>
      </w:pPr>
      <w:r>
        <w:rPr>
          <w:b/>
        </w:rPr>
        <w:t xml:space="preserve">Good at “who is there”. </w:t>
      </w:r>
      <w:r>
        <w:t>Across depth, confidence, database size and now a different profiler, the answer to “which species are present” stayed close to 14 of 14 findable species. Kraken2 adds the human reads; Sylph cannot report human and misses the yeast.</w:t>
      </w:r>
    </w:p>
    <w:p>
      <w:pPr>
        <w:pStyle w:val="ListBullet"/>
      </w:pPr>
      <w:r>
        <w:rPr>
          <w:b/>
        </w:rPr>
        <w:t xml:space="preserve">Abundance differs from the label, mostly because of the sequenced sample. </w:t>
      </w:r>
      <w:r>
        <w:t>Species counts depart from the manufacturer’s theoretical composition, and the read-by-read comparison (5.4) shows that most of that is already present in the reads themselves, before classification. Kraken2 loses reads mainly for species with close relatives (E. coli, Bifidobacterium adolescentis), and a bigger database recovers part of that. Sylph reached the written target for Bifidobacterium by a hair, but its abundances are worse overall. Depth and noise are not the cause. Counting DNA letters instead of reads changes the picture for species whose reads are short (section 5.5).</w:t>
      </w:r>
    </w:p>
    <w:p>
      <w:pPr>
        <w:pStyle w:val="ListBullet"/>
      </w:pPr>
      <w:r>
        <w:rPr>
          <w:b/>
        </w:rPr>
        <w:t xml:space="preserve">Count the right thing. </w:t>
      </w:r>
      <w:r>
        <w:t xml:space="preserve">A manufacturer’s composition is a share of DNA, but classifiers count reads. When species have different read lengths the two differ, sometimes by a factor of three (L. fermentum). Compare tools on the same basis, and look at the distribution of read length before explaining an abundance error.</w:t>
      </w:r>
    </w:p>
    <w:p>
      <w:pPr>
        <w:pStyle w:val="ListBullet"/>
      </w:pPr>
      <w:r>
        <w:rPr>
          <w:b/>
        </w:rPr>
        <w:t xml:space="preserve">Not yet known. </w:t>
      </w:r>
      <w:r>
        <w:t>Why the sequenced sample differs from its label (lot certificate, or preparation bias); why the human reads rise with database size; why the reads of some species are much shorter than those of others (Limosilactobacillus fermentum about 1.9 thousand letters against about 7 thousand for most); whether another profiler (Centrifuger, or mapping to species references) does better with close relatives; whether any of this holds on a different run, kit or sample.</w:t>
      </w:r>
      <w:r>
        <w:t xml:space="preserve"> For resistance genes: why tet(Q) has fewer reads than its two carriers suggest; whether the same genes would be found, and could be assigned to the right species, in a different sample; and how the catalogue behaves when more of its genes are included in the read-level database.</w:t>
      </w:r>
    </w:p>
    <w:p>
      <w:pPr>
        <w:pStyle w:val="ListBullet"/>
      </w:pPr>
      <w:r>
        <w:rPr>
          <w:b/>
        </w:rPr>
        <w:t xml:space="preserve">Honest limits. </w:t>
      </w:r>
      <w:r>
        <w:t>One run, one chemistry, two pools from the same run, and the exam pool has now been looked at several times (once per arm in each experiment, including Sylph). Results are reported as pre-registered comparisons, not as fresh held-out data, and the comparison in 5.4 is exploratory.</w:t>
      </w:r>
      <w:r>
        <w:t xml:space="preserve"> The resistance pilot rests on three evaluable gene families, a naming rule we had to amend after seeing the practice result, and the same one-run pools.</w:t>
      </w:r>
    </w:p>
    <w:p>
      <w:pPr>
        <w:pStyle w:val="Heading1"/>
      </w:pPr>
      <w:r>
        <w:t>6. Nine habits that prevent most mistakes</w:t>
      </w:r>
    </w:p>
    <w:p>
      <w:pPr>
        <w:pStyle w:val="ListBullet"/>
      </w:pPr>
      <w:r>
        <w:rPr>
          <w:b/>
        </w:rPr>
        <w:t>Verify, don’t transcribe.</w:t>
      </w:r>
      <w:r>
        <w:t xml:space="preserve"> Numbers come from primary records, and unverified items are labelled.</w:t>
      </w:r>
    </w:p>
    <w:p>
      <w:pPr>
        <w:pStyle w:val="ListBullet"/>
      </w:pPr>
      <w:r>
        <w:rPr>
          <w:b/>
        </w:rPr>
        <w:t>Define success before you look.</w:t>
      </w:r>
      <w:r>
        <w:t xml:space="preserve"> Metrics and thresholds are set before the evaluation data are used.</w:t>
      </w:r>
    </w:p>
    <w:p>
      <w:pPr>
        <w:pStyle w:val="ListBullet"/>
      </w:pPr>
      <w:r>
        <w:rPr>
          <w:b/>
        </w:rPr>
        <w:t>Separate tuning from reporting.</w:t>
      </w:r>
      <w:r>
        <w:t xml:space="preserve"> Development pool for choices, evaluation pool for the result.</w:t>
      </w:r>
    </w:p>
    <w:p>
      <w:pPr>
        <w:pStyle w:val="ListBullet"/>
      </w:pPr>
      <w:r>
        <w:rPr>
          <w:b/>
        </w:rPr>
        <w:t>Ask what the control or truth really is.</w:t>
      </w:r>
      <w:r>
        <w:t xml:space="preserve"> Nominal vs expected reads; strains vs species; circular AMR truth; and whether the sample really matches its label (here it did not, for several species).</w:t>
      </w:r>
    </w:p>
    <w:p>
      <w:pPr>
        <w:pStyle w:val="ListBullet"/>
      </w:pPr>
      <w:r>
        <w:rPr>
          <w:b/>
        </w:rPr>
        <w:t>Do not blame the tool for what the data cannot show.</w:t>
      </w:r>
      <w:r>
        <w:t xml:space="preserve"> Evaluable species, database coverage.</w:t>
      </w:r>
    </w:p>
    <w:p>
      <w:pPr>
        <w:pStyle w:val="ListBullet"/>
      </w:pPr>
      <w:r>
        <w:rPr>
          <w:b/>
        </w:rPr>
        <w:t>Say what your error bars mean.</w:t>
      </w:r>
      <w:r>
        <w:t xml:space="preserve"> Block resampling; replicates are within-pool only.</w:t>
      </w:r>
    </w:p>
    <w:p>
      <w:pPr>
        <w:pStyle w:val="ListBullet"/>
      </w:pPr>
      <w:r>
        <w:rPr>
          <w:b/>
        </w:rPr>
        <w:t>Write down decisions and why.</w:t>
      </w:r>
      <w:r>
        <w:t xml:space="preserve"> In PROJECT_STATE.md, before ending a session.</w:t>
      </w:r>
    </w:p>
    <w:p>
      <w:pPr>
        <w:pStyle w:val="ListBullet"/>
      </w:pPr>
      <w:r>
        <w:rPr>
          <w:b/>
        </w:rPr>
        <w:t>Register before you run.</w:t>
      </w:r>
      <w:r>
        <w:t xml:space="preserve"> Write the arms, the rules and the predictions down, commit and tag them, then run; and report every arm, including the ones that failed.</w:t>
      </w:r>
    </w:p>
    <w:p>
      <w:pPr>
        <w:pStyle w:val="ListBullet"/>
      </w:pPr>
      <w:r>
        <w:rPr>
          <w:b/>
        </w:rPr>
        <w:t xml:space="preserve">Check that two tools speak the same language. </w:t>
      </w:r>
      <w:r>
        <w:t xml:space="preserve">Names, ranks and abundance definitions differ between tools (NCBI against GTDB; shares against read counts). Map them with evidence before comparing, test the map on practice data, and keep your first attempt on record when it fails.</w:t>
      </w:r>
    </w:p>
    <w:p>
      <w:pPr>
        <w:pStyle w:val="Heading1"/>
      </w:pPr>
      <w:r>
        <w:t>7. Where the project stands (19 October 2026)</w:t>
      </w:r>
    </w:p>
    <w:tbl>
      <w:tblPr>
        <w:tblStyle w:val="TableGrid"/>
        <w:tblW w:type="auto" w:w="0"/>
        <w:tblLayout w:type="fixed"/>
        <w:tblLook w:firstColumn="1" w:firstRow="1" w:lastColumn="0" w:lastRow="0" w:noHBand="0" w:noVBand="1" w:val="04A0"/>
      </w:tblPr>
      <w:tblGrid>
        <w:gridCol w:w="4873"/>
        <w:gridCol w:w="4873"/>
      </w:tblGrid>
      <w:tr>
        <w:trPr>
          <w:cantSplit/>
        </w:trPr>
        <w:tc>
          <w:tcPr>
            <w:tcW w:type="dxa" w:w="4649"/>
            <w:shd w:val="clear" w:fill="D9E4F2"/>
          </w:tcPr>
          <w:p>
            <w:r/>
            <w:r>
              <w:rPr>
                <w:b/>
                <w:sz w:val="20"/>
              </w:rPr>
              <w:t>Done</w:t>
            </w:r>
          </w:p>
        </w:tc>
        <w:tc>
          <w:tcPr>
            <w:tcW w:type="dxa" w:w="4706"/>
            <w:shd w:val="clear" w:fill="D9E4F2"/>
          </w:tcPr>
          <w:p>
            <w:r/>
            <w:r>
              <w:rPr>
                <w:b/>
                <w:sz w:val="20"/>
              </w:rPr>
              <w:t>Not yet done</w:t>
            </w:r>
          </w:p>
        </w:tc>
      </w:tr>
      <w:tr>
        <w:trPr>
          <w:cantSplit/>
        </w:trPr>
        <w:tc>
          <w:tcPr>
            <w:tcW w:type="dxa" w:w="4649"/>
          </w:tcPr>
          <w:p>
            <w:r>
              <w:rPr>
                <w:sz w:val="20"/>
              </w:rPr>
              <w:t>ENA run record verified; pools sampled; composition checked against the manufacturer’s manual; chemistry and basecaller recorded; pool quality checked (pools match); baseline database and classifier frozen (Kraken2 + PlusPF-8); scoring script written; Fusobacterium naming fixed with evidence; evaluable minimum and detection threshold fixed; held-out pool scored once, matching predictions; depth series, Kraken2 confidence arms and database-size arms (16 October), all registered beforehand and scored once; an exploratory read-by-read comparison with alignment (17 October); a fourth experiment with the profiler Sylph, registered 17 October, with a crosswalk problem found and fixed in the open and the exam pool scored once per arm (18 October); a practice-pool investigation of why Sylph’s abundances were off (shared reads for E. coli, read length for L. fermentum); Addendum A2, registered before the run and scored once on the exam pool, with all eight predictions met (18 October); a resistance-gene pilot (Addenda A3 to A6): a reference catalogue from the supplier genomes, one read-level search, a naming problem found and fixed in the open, the exam pool scored once with all five predictions met (19 October); plan at revision 9; decisions D1–D23 recorded</w:t>
            </w:r>
          </w:p>
        </w:tc>
        <w:tc>
          <w:tcPr>
            <w:tcW w:type="dxa" w:w="4706"/>
          </w:tcPr>
          <w:p>
            <w:r>
              <w:rPr>
                <w:sz w:val="20"/>
              </w:rPr>
              <w:t>A reply from the study authors and from the manufacturer about the lot number and the basecalling model tier (the email to the study authors was sent on 19 October; no reply yet); the lot-specific composition certificate; resistance work beyond the pilot (assembly, naming the carrier species, point mutations, more genes in the database); Nextflow wrapping; a second library or run, which would need its own registered addendum; a base-share view of the 16 GB and full-index Kraken2 runs (decided against, because it would need a repeat cloud run)</w:t>
            </w:r>
          </w:p>
        </w:tc>
      </w:tr>
    </w:tbl>
    <w:p/>
    <w:p>
      <w:r>
        <w:rPr>
          <w:b w:val="0"/>
          <w:i w:val="0"/>
        </w:rPr>
        <w:t>Next, in order: wait for the study authors’ and the manufacturer’s replies about the lot number and the basecalling model tier, and compare any lot certificate with the composition seen in the reads; then decide whether a further test is worth it (a second library or run would need its own registered addendum; so would any resistance work beyond the pilot); Nextflow comes after the plain steps work.</w:t>
      </w:r>
    </w:p>
    <w:p>
      <w:pPr>
        <w:pStyle w:val="Heading1"/>
      </w:pPr>
      <w:r>
        <w:t>8. Where things live</w:t>
      </w:r>
    </w:p>
    <w:p>
      <w:pPr>
        <w:pStyle w:val="ListBullet"/>
      </w:pPr>
      <w:r>
        <w:rPr>
          <w:b/>
        </w:rPr>
        <w:t>Scripts and code</w:t>
      </w:r>
      <w:r>
        <w:t>: WSL, in ~/projects/metagenomics_1_Nanopore/ (GitHub: bkhimek/nanopore-metagenomics-benchmark). Never in OneDrive. Small result files are in reports/ (baseline_kraken2_pluspf8, arms, dbarms, trace, sylph, kraken_bases and amr); results/ exists only as an ignored scaffold folder. The raw outputs of the cloud run were copied home as a pack in the ignored data/ folder; the cloud machine no longer exists.</w:t>
      </w:r>
    </w:p>
    <w:p>
      <w:pPr>
        <w:pStyle w:val="ListBullet"/>
      </w:pPr>
      <w:r>
        <w:rPr>
          <w:b/>
        </w:rPr>
        <w:t>Data</w:t>
      </w:r>
      <w:r>
        <w:t>: the gitignored data/ folder inside the same project folder in WSL.</w:t>
      </w:r>
    </w:p>
    <w:p>
      <w:pPr>
        <w:pStyle w:val="ListBullet"/>
      </w:pPr>
      <w:r>
        <w:rPr>
          <w:b/>
        </w:rPr>
        <w:t>This guide, the plan and selected outputs</w:t>
      </w:r>
      <w:r>
        <w:t>: OneDrive, in Documents/Projects/metagenomics/metagenomics_1_Nanopore. They are copies, so update the repo versions first if you change a decision.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