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8)</w:t>
      </w:r>
    </w:p>
    <w:p>
      <w:r>
        <w:rPr>
          <w:b w:val="0"/>
          <w:i/>
        </w:rPr>
        <w:t>Version 6 • 18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 xml:space="preserve">5.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 xml:space="preserve">6.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 is provisional until its composition is verified and its quality is checked.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r>
        <w:trPr>
          <w:cantSplit/>
        </w:trPr>
        <w:tc>
          <w:tcPr>
            <w:tcW w:type="dxa" w:w="2551"/>
          </w:tcPr>
          <w:p>
            <w:r>
              <w:rPr>
                <w:sz w:val="20"/>
              </w:rPr>
              <w:t>17 Oct, evening</w:t>
            </w:r>
          </w:p>
        </w:tc>
        <w:tc>
          <w:tcPr>
            <w:tcW w:type="dxa" w:w="3118"/>
          </w:tcPr>
          <w:p>
            <w:r>
              <w:rPr>
                <w:sz w:val="20"/>
              </w:rPr>
              <w:t>Registered a fourth experiment with a different kind of profiler (Sylph); downloaded its 20 GB library; built the first translation table from mock names to its names; first run on the practice pool</w:t>
            </w:r>
          </w:p>
        </w:tc>
        <w:tc>
          <w:tcPr>
            <w:tcW w:type="dxa" w:w="3685"/>
          </w:tcPr>
          <w:p>
            <w:r>
              <w:rPr>
                <w:sz w:val="20"/>
              </w:rPr>
              <w:t>Test whether a different method handles close relatives better</w:t>
            </w:r>
          </w:p>
        </w:tc>
      </w:tr>
      <w:tr>
        <w:trPr>
          <w:cantSplit/>
        </w:trPr>
        <w:tc>
          <w:tcPr>
            <w:tcW w:type="dxa" w:w="2551"/>
          </w:tcPr>
          <w:p>
            <w:r>
              <w:rPr>
                <w:sz w:val="20"/>
              </w:rPr>
              <w:t>17–18 Oct</w:t>
            </w:r>
          </w:p>
        </w:tc>
        <w:tc>
          <w:tcPr>
            <w:tcW w:type="dxa" w:w="3118"/>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685"/>
          </w:tcPr>
          <w:p>
            <w:r>
              <w:rPr>
                <w:sz w:val="20"/>
              </w:rPr>
              <w:t>Correct a flawed design in the open, before touching the exam pool</w:t>
            </w:r>
          </w:p>
        </w:tc>
      </w:tr>
      <w:tr>
        <w:trPr>
          <w:cantSplit/>
        </w:trPr>
        <w:tc>
          <w:tcPr>
            <w:tcW w:type="dxa" w:w="2551"/>
          </w:tcPr>
          <w:p>
            <w:r>
              <w:rPr>
                <w:sz w:val="20"/>
              </w:rPr>
              <w:t>18 Oct</w:t>
            </w:r>
          </w:p>
        </w:tc>
        <w:tc>
          <w:tcPr>
            <w:tcW w:type="dxa" w:w="3118"/>
          </w:tcPr>
          <w:p>
            <w:r>
              <w:rPr>
                <w:sz w:val="20"/>
              </w:rPr>
              <w:t>Committed a rule for genomes that might appear only in the exam profile; scored the exam pool once per arm; compared with the written predictions</w:t>
            </w:r>
          </w:p>
        </w:tc>
        <w:tc>
          <w:tcPr>
            <w:tcW w:type="dxa" w:w="3685"/>
          </w:tcPr>
          <w:p>
            <w:r>
              <w:rPr>
                <w:sz w:val="20"/>
              </w:rPr>
              <w:t>Sit the exam once</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much of it comes from the sequenced sample itself).</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5.6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differs from the label, mostly because of the sequenced sample. </w:t>
      </w:r>
      <w:r>
        <w:t>Species counts depart from the manufacturer’s theoretical composition, and the read-by-read comparison (5.4) shows that most of that is already present in the reads themselves, before classification.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(18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plan at revision 8; decisions D1–D19 recorded</w:t>
            </w:r>
          </w:p>
        </w:tc>
        <w:tc>
          <w:tcPr>
            <w:tcW w:type="dxa" w:w="4706"/>
          </w:tcPr>
          <w:p>
            <w:r>
              <w:rPr>
                <w:sz w:val="20"/>
              </w:rPr>
              <w:t>A reply from the study authors and from the manufacturer about the lot number and the basecalling model tier (questions drafted or sent); the lot-specific composition certificate; AMR detection (design first, because it needs an independent truth set); Nextflow wrapping; a second library or run, which would need its own registered addendum; a base-share view of the 16 GB and full-index Kraken2 runs (decided against, because it would need a repeat cloud run)</w:t>
            </w:r>
          </w:p>
        </w:tc>
      </w:tr>
    </w:tbl>
    <w:p/>
    <w:p>
      <w:r>
        <w:rPr>
          <w:b w:val="0"/>
          <w:i w:val="0"/>
        </w:rPr>
        <w:t>Next, in order: ask the manufacturer and the study authors for the lot number and the basecalling model tier and compare any lot certificate with the composition seen in the reads; then AMR design (it needs an independent truth set before any result can be judged); then decide whether a further test is worth it (a second library or run would need its own registered addendum).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and sylph);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