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E12" w:rsidRPr="00691E12" w:rsidRDefault="00691E12" w:rsidP="00691E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bookmarkStart w:id="0" w:name="_GoBack"/>
      <w:bookmarkEnd w:id="0"/>
      <w:r w:rsidRPr="00691E12">
        <w:rPr>
          <w:rFonts w:ascii="Segoe UI" w:eastAsia="Times New Roman" w:hAnsi="Segoe UI" w:cs="Segoe UI"/>
          <w:b/>
          <w:color w:val="24292E"/>
          <w:sz w:val="24"/>
          <w:szCs w:val="24"/>
        </w:rPr>
        <w:t>HW4 – Pandas Challenge</w:t>
      </w:r>
    </w:p>
    <w:p w:rsidR="00691E12" w:rsidRDefault="00691E12" w:rsidP="00691E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Observable Trends in the Data</w:t>
      </w:r>
    </w:p>
    <w:p w:rsidR="00691E12" w:rsidRPr="00691E12" w:rsidRDefault="00691E12" w:rsidP="00691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1E12">
        <w:rPr>
          <w:rFonts w:ascii="Segoe UI" w:eastAsia="Times New Roman" w:hAnsi="Segoe UI" w:cs="Segoe UI"/>
          <w:color w:val="24292E"/>
          <w:sz w:val="24"/>
          <w:szCs w:val="24"/>
        </w:rPr>
        <w:t>While the majority of players are male (84%), the smaller proportion of female players (14%) spend more per purchase at $4.47/purchase than males, who spend $4.07/purchase).</w:t>
      </w:r>
    </w:p>
    <w:p w:rsidR="00691E12" w:rsidRPr="00691E12" w:rsidRDefault="00691E12" w:rsidP="00691E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1E12">
        <w:rPr>
          <w:rFonts w:ascii="Segoe UI" w:eastAsia="Times New Roman" w:hAnsi="Segoe UI" w:cs="Segoe UI"/>
          <w:color w:val="24292E"/>
          <w:sz w:val="24"/>
          <w:szCs w:val="24"/>
        </w:rPr>
        <w:t>The largest age group of players are those between 20 and 24 years of age (45% of players); their average spend per purchase is $4.32.</w:t>
      </w:r>
    </w:p>
    <w:p w:rsidR="00691E12" w:rsidRPr="00691E12" w:rsidRDefault="00691E12" w:rsidP="00691E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91E12">
        <w:rPr>
          <w:rFonts w:ascii="Segoe UI" w:eastAsia="Times New Roman" w:hAnsi="Segoe UI" w:cs="Segoe UI"/>
          <w:color w:val="24292E"/>
          <w:sz w:val="24"/>
          <w:szCs w:val="24"/>
        </w:rPr>
        <w:t>The most popular AND most profitable items are 1) Final Critic (13 total purchases, $59.93 in total revenue) and 2) Oathbreaker, Last Hope of the Breaking Storm (12 total purchases, $50.76 in total revenue).</w:t>
      </w:r>
    </w:p>
    <w:p w:rsidR="00775F9E" w:rsidRDefault="00775F9E"/>
    <w:sectPr w:rsidR="0077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60219"/>
    <w:multiLevelType w:val="multilevel"/>
    <w:tmpl w:val="32A0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12"/>
    <w:rsid w:val="00691E12"/>
    <w:rsid w:val="0077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3253"/>
  <w15:chartTrackingRefBased/>
  <w15:docId w15:val="{695936BA-E365-4C08-99D8-4B2586C7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King</dc:creator>
  <cp:keywords/>
  <dc:description/>
  <cp:lastModifiedBy>Betsy King</cp:lastModifiedBy>
  <cp:revision>1</cp:revision>
  <dcterms:created xsi:type="dcterms:W3CDTF">2020-06-02T19:00:00Z</dcterms:created>
  <dcterms:modified xsi:type="dcterms:W3CDTF">2020-06-02T19:02:00Z</dcterms:modified>
</cp:coreProperties>
</file>