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Fragment Similarity Search 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4A8E"/>
          <w:sz w:val="36"/>
          <w:szCs w:val="36"/>
        </w:rPr>
        <w:t xml:space="preserve">Implementation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Material Agent Project  |  2026-03-18</w:t>
      </w:r>
    </w:p>
    <w:p>
      <w:r>
        <w:br w:type="page"/>
      </w:r>
    </w:p>
    <w:p>
      <w:pPr>
        <w:pStyle w:val="Heading1"/>
      </w:pPr>
      <w:r>
        <w:t xml:space="preserve">1. 프로젝트 목표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사용자가 분자 fragment의 SMILES를 입력하면, QM8 데이터셋(~21,787개, 향후 1,000만건 DB)에서 해당 fragment를 포함하거나 유사한 전체 분자 SMILES + 유사도 점수를 반환하는 LangGraph 기반 에이전트를 개발합니다.</w:t>
      </w:r>
    </w:p>
    <w:p>
      <w:pPr>
        <w:pStyle w:val="Heading1"/>
      </w:pPr>
      <w:r>
        <w:t xml:space="preserve">2. 유사도 검색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Fingerprint
(Morgan/ECFP)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빠름, 업계 표준, DB 확장 용이 (pgvector 등)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 구조 정보 손실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MCS
(Maximum Common
Substructure)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정확한 부분구조 매칭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이상, 대용량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Substructure
Match (SMARTS)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 포함 여부 정확 판별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유사도 "정도"를 나타내기 어려움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GNN
(Graph Neural
Network)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구조적 유사성 학습 가능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필요, 복잡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RAG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분자 그래프를 knowledge graph로 모델링, fragment 관계 탐색에 유리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구축 비용 높음, 소분자에는 과도, 재료 분야 적용 사례 제한적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2.1 Graph RAG 분석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재료 분야에서 Graph RAG는 주로 문헌 기반 지식 추출(논문 → 재료 속성 관계 그래프)에 활용되고 있으며, 소분자 fragment 검색에는 RDKit 기반 화학정보학 방식이 더 직접적이고 효율적입니다. 다만 향후 "fragment → 물성 → 응용" 같은 다단계 추론이 필요하면 Graph RAG가 유의미해집니다.</w:t>
      </w:r>
    </w:p>
    <w:p>
      <w:pPr>
        <w:pStyle w:val="Heading2"/>
      </w:pPr>
      <w:r>
        <w:t xml:space="preserve">2.2 추천 접근법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 파이프라인: </w:t>
      </w:r>
      <w:r>
        <w:rPr>
          <w:rFonts w:ascii="Arial" w:cs="Arial" w:eastAsia="Arial" w:hAnsi="Arial"/>
          <w:sz w:val="22"/>
          <w:szCs w:val="22"/>
        </w:rPr>
        <w:t xml:space="preserve">① Substructure Match로 fragment 포함 분자 필터링 → ② Morgan Fingerprint Tanimoto 유사도로 랜킹. 이 방식이 정확성과 확장성(1,000만건)을 모두 충족합니다.</w:t>
      </w:r>
    </w:p>
    <w:p>
      <w:r>
        <w:br w:type="page"/>
      </w:r>
    </w:p>
    <w:p>
      <w:pPr>
        <w:pStyle w:val="Heading1"/>
      </w:pPr>
      <w:r>
        <w:t xml:space="preserve">3. 구현 단계 (6단계)</w:t>
      </w:r>
    </w:p>
    <w:p>
      <w:pPr>
        <w:pStyle w:val="Heading2"/>
      </w:pPr>
      <w:r>
        <w:t xml:space="preserve">Step 1 — 데이터 전처리 모듈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qm8.csv에서 SMILES 컬럼 로드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RDKit로 SMILES 유효성 검증 및 canonical화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각 분자에서 Murcko scaffold, 사이드체인 등 fragment 분해 (BRICS 또는 Murcko decomposition)</w:t>
      </w:r>
    </w:p>
    <w:p>
      <w:pPr>
        <w:pStyle w:val="Heading2"/>
      </w:pPr>
      <w:r>
        <w:t xml:space="preserve">Step 2 — 인덱싱 모듈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각 분자의 Morgan Fingerprint (radius=2, 2048bit) 생성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Fragment별 역인덱스 구축 (fragment → 포함 분자 목록)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numpy 배열로 메모리 인덱스 구성 (CSV 단계)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향후 DB 전환 시: PostgreSQL + RDKit cartridge 또는 pgvector 활용 설계</w:t>
      </w:r>
    </w:p>
    <w:p>
      <w:pPr>
        <w:pStyle w:val="Heading2"/>
      </w:pPr>
      <w:r>
        <w:t xml:space="preserve">Step 3 — 유사도 검색 엔진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1차 필터: </w:t>
      </w:r>
      <w:r>
        <w:rPr>
          <w:rFonts w:ascii="Arial" w:cs="Arial" w:eastAsia="Arial" w:hAnsi="Arial"/>
          <w:sz w:val="22"/>
          <w:szCs w:val="22"/>
        </w:rPr>
        <w:t xml:space="preserve">RDKit HasSubstructMatch로 fragment 포함 분자 후보군 추출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2차 랜킹: </w:t>
      </w:r>
      <w:r>
        <w:rPr>
          <w:rFonts w:ascii="Arial" w:cs="Arial" w:eastAsia="Arial" w:hAnsi="Arial"/>
          <w:sz w:val="22"/>
          <w:szCs w:val="22"/>
        </w:rPr>
        <w:t xml:space="preserve">fragment 중심 Morgan FP의 Tanimoto similarity로 점수화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유사도 점수 기준: Tanimoto coefficient (0~1), 0.7 이상이면 높은 유사도</w:t>
      </w:r>
    </w:p>
    <w:p>
      <w:pPr>
        <w:pStyle w:val="Heading2"/>
      </w:pPr>
      <w:r>
        <w:t xml:space="preserve">Step 4 — LangGraph Agent 구성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노드 설계: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parse_input: 사용자 SMILES 파싱 및 유효성 검증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search_substructure: substructure match 필터링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rank_similarity: Tanimoto 유사도 계산 및 정렬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format_output: 결과 포맷팅 (SMILES + score)</w:t>
      </w:r>
    </w:p>
    <w:p>
      <w:pPr>
        <w:pStyle w:val="Heading2"/>
      </w:pPr>
      <w:r>
        <w:t xml:space="preserve">Step 5 — 결과 출력 포맷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Input Fragment: c1ccccc1 (벤젤 링)
Results:
1. c1ccc(N)cc1O  | Score: 0.92
2. c1ccc(C=O)cc1  | Score: 0.87</w:t>
      </w:r>
    </w:p>
    <w:p>
      <w:pPr>
        <w:pStyle w:val="Heading2"/>
      </w:pPr>
      <w:r>
        <w:t xml:space="preserve">Step 6 — 확장성 대비 설계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검색 로직을 추상화하여 CSV/DB 백엔드 교체 가능하도록 인터페이스 분리. DB 전환 시 RDKit PostgreSQL cartridge의 @&gt; (substructure) 연산자 + GiST 인덱스 활용.</w:t>
      </w:r>
    </w:p>
    <w:p>
      <w:r>
        <w:br w:type="page"/>
      </w:r>
    </w:p>
    <w:p>
      <w:pPr>
        <w:pStyle w:val="Heading1"/>
      </w:pPr>
      <w:r>
        <w:t xml:space="preserve">4. 기술 스택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3.10+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RDKit</w:t>
      </w:r>
      <w:r>
        <w:rPr>
          <w:rFonts w:ascii="Arial" w:cs="Arial" w:eastAsia="Arial" w:hAnsi="Arial"/>
          <w:sz w:val="22"/>
          <w:szCs w:val="22"/>
        </w:rPr>
        <w:t xml:space="preserve"> (화학정보학),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LangGraph</w:t>
      </w:r>
      <w:r>
        <w:rPr>
          <w:rFonts w:ascii="Arial" w:cs="Arial" w:eastAsia="Arial" w:hAnsi="Arial"/>
          <w:sz w:val="22"/>
          <w:szCs w:val="22"/>
        </w:rPr>
        <w:t xml:space="preserve"> (에이전트 오케스트레이션),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numpy</w:t>
      </w:r>
      <w:r>
        <w:rPr>
          <w:rFonts w:ascii="Arial" w:cs="Arial" w:eastAsia="Arial" w:hAnsi="Arial"/>
          <w:sz w:val="22"/>
          <w:szCs w:val="22"/>
        </w:rPr>
        <w:t xml:space="preserve"> (fingerprint 연산),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pandas</w:t>
      </w:r>
      <w:r>
        <w:rPr>
          <w:rFonts w:ascii="Arial" w:cs="Arial" w:eastAsia="Arial" w:hAnsi="Arial"/>
          <w:sz w:val="22"/>
          <w:szCs w:val="22"/>
        </w:rPr>
        <w:t xml:space="preserve"> (데이터 로드)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향후: PostgreSQL + RDKit cartridge 또는 pgvector</w:t>
      </w:r>
    </w:p>
    <w:p>
      <w:pPr>
        <w:pStyle w:val="Heading1"/>
      </w:pPr>
      <w:r>
        <w:t xml:space="preserve">5. 산출물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 디렉토리: </w:t>
      </w:r>
      <w:r>
        <w:rPr>
          <w:rFonts w:ascii="Arial" w:cs="Arial" w:eastAsia="Arial" w:hAnsi="Arial"/>
          <w:sz w:val="22"/>
          <w:szCs w:val="22"/>
        </w:rPr>
        <w:t xml:space="preserve">전처리, 인덱싱, 검색, LangGraph 에이전트 코드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README.md: </w:t>
      </w:r>
      <w:r>
        <w:rPr>
          <w:rFonts w:ascii="Arial" w:cs="Arial" w:eastAsia="Arial" w:hAnsi="Arial"/>
          <w:sz w:val="22"/>
          <w:szCs w:val="22"/>
        </w:rPr>
        <w:t xml:space="preserve">사용법 및 아키텍처 설명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유사도 방식 비교 문서: </w:t>
      </w:r>
      <w:r>
        <w:rPr>
          <w:rFonts w:ascii="Arial" w:cs="Arial" w:eastAsia="Arial" w:hAnsi="Arial"/>
          <w:sz w:val="22"/>
          <w:szCs w:val="22"/>
        </w:rPr>
        <w:t xml:space="preserve">기술 검토</w:t>
      </w:r>
    </w:p>
    <w:p>
      <w:pPr>
        <w:pStyle w:val="Heading1"/>
      </w:pPr>
      <w:r>
        <w:t xml:space="preserve">6. 제약사항 및 고려사항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현재 CSV 파일 기반이나 향후 DB에 적재 예정 (1,000만건 수준). 검색 로직을 추상화하여 백엔드 교체가 용이하도록 설계합니다.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Fragment Similarity Search Agent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4A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A5D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2026-03-18T05:50:02.627Z</dcterms:created>
  <dcterms:modified xsi:type="dcterms:W3CDTF">2026-03-18T05:50:02.627Z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