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E4B54"/>
          <w:sz w:val="34"/>
          <w:szCs w:val="34"/>
        </w:rPr>
        <w:t xml:space="preserve">Month-End Fuel Retainage Checklist</w:t>
      </w:r>
    </w:p>
    <w:p>
      <w:pPr>
        <w:spacing w:after="120"/>
      </w:pPr>
      <w:r>
        <w:rPr>
          <w:i/>
          <w:iCs/>
          <w:color w:val="7A8A8C"/>
          <w:sz w:val="19"/>
          <w:szCs w:val="19"/>
        </w:rPr>
        <w:t xml:space="preserve">From principle to workbook — a recurring month-end practice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9DC3E6" w:sz="1"/>
              <w:left w:val="single" w:color="2A9D8F" w:sz="16"/>
              <w:bottom w:val="single" w:color="9DC3E6" w:sz="1"/>
              <w:right w:val="single" w:color="9DC3E6" w:sz="1"/>
            </w:tcBorders>
            <w:shd w:fill="EAF3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0E4B54"/>
                <w:sz w:val="20"/>
                <w:szCs w:val="20"/>
              </w:rPr>
              <w:t xml:space="preserve">Set the rate to break even on fuel — never to profit from it.  </w:t>
            </w:r>
            <w:r>
              <w:rPr>
                <w:color w:val="33484D"/>
                <w:sz w:val="18"/>
                <w:szCs w:val="18"/>
              </w:rPr>
              <w:t xml:space="preserve">Every box below serves that one idea.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F7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E4B54"/>
                <w:sz w:val="18"/>
                <w:szCs w:val="18"/>
              </w:rPr>
              <w:t xml:space="preserve">Period:  </w:t>
            </w:r>
            <w:r>
              <w:rPr>
                <w:color w:val="7A8A8C"/>
                <w:sz w:val="18"/>
                <w:szCs w:val="18"/>
              </w:rPr>
              <w:t xml:space="preserve">__________</w:t>
            </w:r>
          </w:p>
        </w:tc>
        <w:tc>
          <w:tcPr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F7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E4B54"/>
                <w:sz w:val="18"/>
                <w:szCs w:val="18"/>
              </w:rPr>
              <w:t xml:space="preserve">Prepared by:  </w:t>
            </w:r>
            <w:r>
              <w:rPr>
                <w:color w:val="7A8A8C"/>
                <w:sz w:val="18"/>
                <w:szCs w:val="18"/>
              </w:rPr>
              <w:t xml:space="preserve">__________</w:t>
            </w:r>
          </w:p>
        </w:tc>
        <w:tc>
          <w:tcPr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F7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E4B54"/>
                <w:sz w:val="18"/>
                <w:szCs w:val="18"/>
              </w:rPr>
              <w:t xml:space="preserve">Reviewed by:  </w:t>
            </w:r>
            <w:r>
              <w:rPr>
                <w:color w:val="7A8A8C"/>
                <w:sz w:val="18"/>
                <w:szCs w:val="18"/>
              </w:rPr>
              <w:t xml:space="preserve">__________</w:t>
            </w:r>
          </w:p>
        </w:tc>
        <w:tc>
          <w:tcPr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F7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E4B54"/>
                <w:sz w:val="18"/>
                <w:szCs w:val="18"/>
              </w:rPr>
              <w:t xml:space="preserve">Date:  </w:t>
            </w:r>
            <w:r>
              <w:rPr>
                <w:color w:val="7A8A8C"/>
                <w:sz w:val="18"/>
                <w:szCs w:val="18"/>
              </w:rPr>
              <w:t xml:space="preserve">__________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80"/>
        <w:gridCol w:w="3800"/>
      </w:tblGrid>
      <w:tr>
        <w:trPr>
          <w:tblHeader/>
        </w:trP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2A9D8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2A9D8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confirm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2A9D8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 your workbook — fill in your own reference</w:t>
            </w:r>
          </w:p>
        </w:tc>
      </w:tr>
      <w:tr>
        <w:tc>
          <w:tcPr>
            <w:gridSpan w:val="3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0E4B5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9FE3D8"/>
                <w:sz w:val="19"/>
                <w:szCs w:val="19"/>
              </w:rPr>
              <w:t xml:space="preserve">A 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Step 1 — Estimate (early in the period)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Gas retained = throughput × tariff retention %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tab / col: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Estimated fuel used + lost-and-unaccounted-for captured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tab / col: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Estimated over/under = retained − used, valued at gas price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cell: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Estimated accrual booked to the tracker (reg. asset / liability)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GL acct: __________</w:t>
            </w:r>
          </w:p>
        </w:tc>
      </w:tr>
      <w:tr>
        <w:tc>
          <w:tcPr>
            <w:gridSpan w:val="3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0E4B5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9FE3D8"/>
                <w:sz w:val="19"/>
                <w:szCs w:val="19"/>
              </w:rPr>
              <w:t xml:space="preserve">B 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Step 2 — True-up (measured actuals in)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Measured actual fuel used + L&amp;U replaces the estimate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source: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Actual over/under = retained − actual used, recomputed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cell: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Accrual / tracker adjusted to measured position; difference recorded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GL acct: __________</w:t>
            </w:r>
          </w:p>
        </w:tc>
      </w:tr>
      <w:tr>
        <w:tc>
          <w:tcPr>
            <w:gridSpan w:val="3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0E4B5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9FE3D8"/>
                <w:sz w:val="19"/>
                <w:szCs w:val="19"/>
              </w:rPr>
              <w:t xml:space="preserve">C 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Balance &amp; books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Tracker roll-forward ties to GL:  </w:t>
            </w:r>
            <w:r>
              <w:rPr>
                <w:i/>
                <w:iCs/>
                <w:sz w:val="18"/>
                <w:szCs w:val="18"/>
              </w:rPr>
              <w:t xml:space="preserve">opening + over/under − returned/collected = closing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schedule: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Direction confirmed:  </w:t>
            </w:r>
            <w:r>
              <w:rPr>
                <w:sz w:val="18"/>
                <w:szCs w:val="18"/>
              </w:rPr>
              <w:t xml:space="preserve">over = liability (owe back)  ·  under = asset (if probable)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Fuel nets to ~zero in earnings — no gain or loss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P&amp;L acct: __________</w:t>
            </w:r>
          </w:p>
        </w:tc>
      </w:tr>
      <w:tr>
        <w:tc>
          <w:tcPr>
            <w:gridSpan w:val="3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0E4B5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9FE3D8"/>
                <w:sz w:val="19"/>
                <w:szCs w:val="19"/>
              </w:rPr>
              <w:t xml:space="preserve">D 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Is “good” happening?  (the diagnostic — bridge to rate management)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Retained ≈ used over the disclosed look-back period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look-back: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Running balance trending toward zero — not steadily growing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current bal: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Estimate-to-actual variance in line with prior periods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variance: __________</w:t>
            </w:r>
          </w:p>
        </w:tc>
      </w:tr>
      <w:tr>
        <w:tc>
          <w:tcPr>
            <w:tcW w:type="dxa" w:w="56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48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18"/>
                <w:szCs w:val="18"/>
              </w:rPr>
              <w:t xml:space="preserve">If any box in Section D is </w:t>
            </w:r>
            <w:r>
              <w:rPr>
                <w:b/>
                <w:bCs/>
                <w:color w:val="B4791F"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→ flag for rate reset and/or true-up surcharge</w:t>
            </w:r>
          </w:p>
        </w:tc>
        <w:tc>
          <w:tcPr>
            <w:tcW w:type="dxa" w:w="3800"/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i/>
                <w:iCs/>
                <w:color w:val="7A8A8C"/>
                <w:sz w:val="16"/>
                <w:szCs w:val="16"/>
              </w:rPr>
              <w:t xml:space="preserve">route below</w:t>
            </w:r>
          </w:p>
        </w:tc>
      </w:tr>
    </w:tbl>
    <w:p>
      <w:pPr>
        <w:spacing w:after="40" w:before="140"/>
      </w:pPr>
      <w:r>
        <w:rPr>
          <w:b/>
          <w:bCs/>
          <w:color w:val="B4791F"/>
          <w:sz w:val="18"/>
          <w:szCs w:val="18"/>
        </w:rPr>
        <w:t xml:space="preserve">If Section D isn’t all checked: </w:t>
      </w:r>
      <w:r>
        <w:rPr>
          <w:color w:val="33484D"/>
          <w:sz w:val="18"/>
          <w:szCs w:val="18"/>
        </w:rPr>
        <w:t xml:space="preserve">note it here and route to the rate-management review. A persistent over/under is exactly what regulators and shippers challenge.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C4D3D1" w:sz="1"/>
              <w:left w:val="single" w:color="C4D3D1" w:sz="1"/>
              <w:bottom w:val="single" w:color="C4D3D1" w:sz="1"/>
              <w:right w:val="single" w:color="C4D3D1" w:sz="1"/>
            </w:tcBorders>
            <w:shd w:fill="FBFC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0E4B54"/>
                <w:sz w:val="17"/>
                <w:szCs w:val="17"/>
              </w:rPr>
              <w:t xml:space="preserve">Notes / items to park for the workbook working session:</w:t>
            </w:r>
          </w:p>
          <w:p>
            <w:pPr>
              <w:spacing w:after="60"/>
            </w:pPr>
            <w:r>
              <w:rPr>
                <w:sz w:val="17"/>
                <w:szCs w:val="17"/>
              </w:rPr>
              <w:t xml:space="preserve"> </w:t>
            </w:r>
          </w:p>
          <w:p>
            <w:r>
              <w:rPr>
                <w:sz w:val="17"/>
                <w:szCs w:val="17"/>
              </w:rPr>
              <w:t xml:space="preserve"> </w:t>
            </w:r>
          </w:p>
        </w:tc>
      </w:tr>
    </w:tbl>
    <w:p>
      <w:pPr>
        <w:spacing w:before="60"/>
      </w:pPr>
      <w:r>
        <w:rPr>
          <w:i/>
          <w:iCs/>
          <w:color w:val="7A8A8C"/>
          <w:sz w:val="16"/>
          <w:szCs w:val="16"/>
        </w:rPr>
        <w:t xml:space="preserve">First time through, write your workbook’s own tab / column / account references in the right-hand column — this sheet then becomes your localized month-end SOP.</w:t>
      </w:r>
    </w:p>
    <w:sectPr>
      <w:pgSz w:w="12240" w:h="15840" w:orient="portrait"/>
      <w:pgMar w:top="720" w:right="864" w:bottom="648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2026-07-03T14:37:16.242Z</dcterms:created>
  <dcterms:modified xsi:type="dcterms:W3CDTF">2026-07-03T14:37:16.242Z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