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578D" w14:textId="5DC796EB" w:rsidR="00D27267" w:rsidRDefault="00D27267">
      <w:pPr>
        <w:rPr>
          <w:b/>
          <w:bCs/>
          <w:u w:val="single"/>
        </w:rPr>
      </w:pPr>
      <w:r w:rsidRPr="00D27267">
        <w:rPr>
          <w:b/>
          <w:bCs/>
          <w:u w:val="single"/>
        </w:rPr>
        <w:t>Estimated Type I Errors of two sample t test after a passed Shapiro-Wilk test for normality.</w:t>
      </w:r>
    </w:p>
    <w:p w14:paraId="68F1A5D9" w14:textId="0B5C33BF" w:rsidR="007C6563" w:rsidRPr="007C6563" w:rsidRDefault="007C6563">
      <w:r>
        <w:t xml:space="preserve">The tables below contain the estimated type I error rate for the two-sample t test for samples drawn from uniform and normally distributed population. at </w:t>
      </w:r>
      <m:oMath>
        <m:r>
          <w:rPr>
            <w:rFonts w:ascii="Cambria Math" w:hAnsi="Cambria Math"/>
          </w:rPr>
          <m:t>α=0.05</m:t>
        </m:r>
      </m:oMath>
      <w:r>
        <w:t xml:space="preserve"> after both samples had passed Shapiro-Wilk test for normality. To the left are our simulations, and to the right are the estimates from the paper “To test or not to test.”</w:t>
      </w:r>
    </w:p>
    <w:tbl>
      <w:tblPr>
        <w:tblW w:w="9195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627"/>
      </w:tblGrid>
      <w:tr w:rsidR="001C79AC" w:rsidRPr="001C79AC" w14:paraId="27D6F85D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1083B2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34E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6245B8F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1C79AC" w:rsidRPr="001C79AC" w14:paraId="57C66A79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2C69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D77B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BF810C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</w:tr>
      <w:tr w:rsidR="001C79AC" w:rsidRPr="001C79AC" w14:paraId="6F083A23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EF77E0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D6B7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3740C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BC30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9B09F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AE57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C5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F7591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22D7D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BF74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EAF5D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E55A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C3FE8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3F8CCFDD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AB45D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AC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C7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41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92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9BC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0B3D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7B1D3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C30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0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E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7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F9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</w:tr>
      <w:tr w:rsidR="001C79AC" w:rsidRPr="001C79AC" w14:paraId="5625CEB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0F3AB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1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2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3D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6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BE2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E7F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3A170A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998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62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0F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7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</w:tr>
      <w:tr w:rsidR="001C79AC" w:rsidRPr="001C79AC" w14:paraId="4643112B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77C07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26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354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C09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014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F9A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2EE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75AA6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3FD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99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7CF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F2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A2C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</w:t>
            </w:r>
          </w:p>
        </w:tc>
      </w:tr>
      <w:tr w:rsidR="001C79AC" w:rsidRPr="001C79AC" w14:paraId="04BA3E5A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F681E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48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DB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F7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21A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D0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130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A435C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FE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0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045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7E3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9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</w:tr>
      <w:tr w:rsidR="001C79AC" w:rsidRPr="001C79AC" w14:paraId="527DB51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F6C52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6DC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C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92C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D23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D1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602C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70517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7D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11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CC1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AC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08A7665A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8A01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522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91925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1C79AC" w:rsidRPr="001C79AC" w14:paraId="4B3B4F49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0E494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1D5C8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73113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69307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7547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3A81E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F167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5AD3A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75D82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F3068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4E03C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F456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ADA26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2CB2DAAF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5D7A8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C9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2E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A6B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2E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647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542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8FCF4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CD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65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3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D7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C2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317D551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C23FE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B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69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7F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AB6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E5165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824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ED6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5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F9A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0A9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</w:tr>
      <w:tr w:rsidR="001C79AC" w:rsidRPr="001C79AC" w14:paraId="0E3C7F5C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5F6BC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11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389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76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0EA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351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98B0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DF7B2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C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18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F5B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D6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9B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1C79AC" w:rsidRPr="001C79AC" w14:paraId="2B458766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E9E0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F7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8F3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360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5B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5C4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C1D8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53623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F32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001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81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70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E71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15CBE07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68268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C88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D6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5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77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1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0479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2569B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E1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6E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4A0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ED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9A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</w:tbl>
    <w:p w14:paraId="4404E3E2" w14:textId="7ECF9AD0" w:rsidR="00341262" w:rsidRDefault="00341262" w:rsidP="001C79AC"/>
    <w:p w14:paraId="660F5469" w14:textId="393820AE" w:rsidR="00D27267" w:rsidRPr="007C6563" w:rsidRDefault="007C6563" w:rsidP="001C79AC">
      <w:pPr>
        <w:rPr>
          <w:b/>
          <w:bCs/>
        </w:rPr>
      </w:pPr>
      <w:r w:rsidRPr="007C6563">
        <w:rPr>
          <w:b/>
          <w:bCs/>
        </w:rPr>
        <w:t>Observations:</w:t>
      </w:r>
    </w:p>
    <w:p w14:paraId="269E36FE" w14:textId="2AB4D640" w:rsidR="007C6563" w:rsidRDefault="007C6563" w:rsidP="001C79AC">
      <w:r>
        <w:t xml:space="preserve">The two results are relatively the same with a few differences in decimal places. There </w:t>
      </w:r>
      <w:proofErr w:type="gramStart"/>
      <w:r>
        <w:t>is</w:t>
      </w:r>
      <w:proofErr w:type="gramEnd"/>
      <w:r>
        <w:t xml:space="preserve"> no results</w:t>
      </w:r>
      <w:r w:rsidR="00751A77">
        <w:t xml:space="preserve"> for exponential. It has unreasonable runtime after sample size 30. I verified that my code works with different sample sizes and </w:t>
      </w:r>
      <w:proofErr w:type="gramStart"/>
      <w:r w:rsidR="00751A77">
        <w:t>that</w:t>
      </w:r>
      <w:proofErr w:type="gramEnd"/>
      <w:r w:rsidR="00751A77">
        <w:t xml:space="preserve"> result is shown below. The plot of Type I error rate against various sample sizes are also shown below.</w:t>
      </w:r>
    </w:p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72"/>
        <w:gridCol w:w="672"/>
        <w:gridCol w:w="672"/>
        <w:gridCol w:w="672"/>
        <w:gridCol w:w="672"/>
      </w:tblGrid>
      <w:tr w:rsidR="00751A77" w:rsidRPr="00751A77" w14:paraId="39C9D13A" w14:textId="77777777" w:rsidTr="00751A77">
        <w:trPr>
          <w:trHeight w:val="288"/>
        </w:trPr>
        <w:tc>
          <w:tcPr>
            <w:tcW w:w="4400" w:type="dxa"/>
            <w:gridSpan w:val="6"/>
            <w:shd w:val="clear" w:color="000000" w:fill="FFF2CC"/>
            <w:noWrap/>
            <w:vAlign w:val="bottom"/>
            <w:hideMark/>
          </w:tcPr>
          <w:p w14:paraId="29D70AE6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Exponential Distribution</w:t>
            </w:r>
          </w:p>
        </w:tc>
      </w:tr>
      <w:tr w:rsidR="00751A77" w:rsidRPr="00751A77" w14:paraId="15314AC2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0E6C7657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α_pre/n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72049A0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3596081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57C206E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498F482C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18D096A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751A77" w:rsidRPr="00751A77" w14:paraId="166F26E5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1F0DBB23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CD0EC3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6027377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7145759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267D73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4B8F3D6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0.155</w:t>
            </w:r>
          </w:p>
        </w:tc>
      </w:tr>
      <w:tr w:rsidR="00751A77" w:rsidRPr="00751A77" w14:paraId="6B9DEE9F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4133E3FA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EBDBDE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02BC0E1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9934FC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3686F8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88BF0B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0.135</w:t>
            </w:r>
          </w:p>
        </w:tc>
      </w:tr>
      <w:tr w:rsidR="00751A77" w:rsidRPr="00751A77" w14:paraId="27F52760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24D843AC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7A8E55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5731BD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C00BE4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90B78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1DEB5E7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0.105</w:t>
            </w:r>
          </w:p>
        </w:tc>
      </w:tr>
      <w:tr w:rsidR="00751A77" w:rsidRPr="00751A77" w14:paraId="322D7B9D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02F45A28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33608F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50C385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0DA9C8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DB4AE7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79675AF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</w:tr>
      <w:tr w:rsidR="00751A77" w:rsidRPr="00751A77" w14:paraId="2A357AB5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15EC02FD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w/o pretest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A3B6C4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4B63E8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E8AA81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85FB11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A1A337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0.046</w:t>
            </w:r>
          </w:p>
        </w:tc>
      </w:tr>
    </w:tbl>
    <w:p w14:paraId="1200DA75" w14:textId="1D963528" w:rsidR="003A1538" w:rsidRDefault="003A1538" w:rsidP="001C79AC"/>
    <w:p w14:paraId="73AB4779" w14:textId="52DE096F" w:rsidR="00D27267" w:rsidRDefault="00D27267" w:rsidP="001C79AC">
      <w:r>
        <w:rPr>
          <w:noProof/>
        </w:rPr>
        <w:lastRenderedPageBreak/>
        <w:drawing>
          <wp:inline distT="0" distB="0" distL="0" distR="0" wp14:anchorId="2B1CC1B0" wp14:editId="272958F6">
            <wp:extent cx="5943600" cy="3329940"/>
            <wp:effectExtent l="0" t="0" r="0" b="381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D1D" w14:textId="65CF0211" w:rsidR="00D27267" w:rsidRDefault="00D27267" w:rsidP="001C79AC">
      <w:r>
        <w:rPr>
          <w:noProof/>
        </w:rPr>
        <w:drawing>
          <wp:inline distT="0" distB="0" distL="0" distR="0" wp14:anchorId="518F2D0D" wp14:editId="64E24C30">
            <wp:extent cx="5943600" cy="39643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9EC" w14:textId="77777777" w:rsidR="00D27267" w:rsidRPr="001C79AC" w:rsidRDefault="00D27267" w:rsidP="001C79AC"/>
    <w:sectPr w:rsidR="00D27267" w:rsidRPr="001C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AC"/>
    <w:rsid w:val="001C79AC"/>
    <w:rsid w:val="00232223"/>
    <w:rsid w:val="00341262"/>
    <w:rsid w:val="003A1538"/>
    <w:rsid w:val="00751A77"/>
    <w:rsid w:val="007C6563"/>
    <w:rsid w:val="009B2D62"/>
    <w:rsid w:val="00A92827"/>
    <w:rsid w:val="00D27267"/>
    <w:rsid w:val="00F4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2C4"/>
  <w15:chartTrackingRefBased/>
  <w15:docId w15:val="{F96AD1B8-E065-45DE-B541-EEEB93A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Kongyir</dc:creator>
  <cp:keywords/>
  <dc:description/>
  <cp:lastModifiedBy>Benedict Kongyir</cp:lastModifiedBy>
  <cp:revision>2</cp:revision>
  <dcterms:created xsi:type="dcterms:W3CDTF">2023-04-27T01:41:00Z</dcterms:created>
  <dcterms:modified xsi:type="dcterms:W3CDTF">2023-04-27T19:29:00Z</dcterms:modified>
</cp:coreProperties>
</file>