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91DF7" w14:textId="77777777" w:rsidR="006724CE" w:rsidRPr="006724CE" w:rsidRDefault="006724CE" w:rsidP="006724CE">
      <w:pPr>
        <w:spacing w:before="100" w:beforeAutospacing="1" w:after="100" w:afterAutospacing="1" w:line="240" w:lineRule="auto"/>
        <w:outlineLvl w:val="1"/>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Technisches Datenblatt</w:t>
      </w:r>
    </w:p>
    <w:p w14:paraId="3C23A8CD" w14:textId="77777777" w:rsidR="006724CE" w:rsidRPr="006724CE" w:rsidRDefault="6E462792" w:rsidP="4EC14C07">
      <w:pPr>
        <w:spacing w:before="100" w:beforeAutospacing="1" w:after="100" w:afterAutospacing="1" w:line="240" w:lineRule="auto"/>
        <w:outlineLvl w:val="0"/>
      </w:pPr>
      <w:r w:rsidRPr="006724CE">
        <w:rPr>
          <w:rFonts w:ascii="TT Norms Pro VF" w:eastAsia="Times New Roman" w:hAnsi="TT Norms Pro VF" w:cs="Times New Roman"/>
          <w:color w:val="000000"/>
          <w:kern w:val="36"/>
          <w:lang w:eastAsia="de-DE"/>
          <w14:ligatures w14:val="none"/>
        </w:rPr>
        <w:t>NovuShield</w:t>
      </w:r>
    </w:p>
    <w:p w14:paraId="356DDBD2" w14:textId="487EB2F0" w:rsidR="7FE292B7" w:rsidRDefault="7FE292B7" w:rsidP="4EC14C07">
      <w:pPr>
        <w:spacing w:beforeAutospacing="1" w:afterAutospacing="1" w:line="240" w:lineRule="auto"/>
        <w:outlineLvl w:val="0"/>
        <w:rPr>
          <w:rFonts w:ascii="TT Norms Pro VF" w:eastAsia="Times New Roman" w:hAnsi="TT Norms Pro VF" w:cs="Times New Roman"/>
          <w:color w:val="000000" w:themeColor="text1"/>
          <w:lang w:eastAsia="de-DE"/>
        </w:rPr>
      </w:pPr>
      <w:r w:rsidRPr="4EC14C07">
        <w:rPr>
          <w:rFonts w:ascii="TT Norms Pro VF" w:eastAsia="Times New Roman" w:hAnsi="TT Norms Pro VF" w:cs="Times New Roman"/>
          <w:color w:val="000000" w:themeColor="text1"/>
          <w:lang w:eastAsia="de-DE"/>
        </w:rPr>
        <w:t>Die Imprägnierung für mineralische A</w:t>
      </w:r>
      <w:r w:rsidR="5059626F" w:rsidRPr="4EC14C07">
        <w:rPr>
          <w:rFonts w:ascii="TT Norms Pro VF" w:eastAsia="Times New Roman" w:hAnsi="TT Norms Pro VF" w:cs="Times New Roman"/>
          <w:color w:val="000000" w:themeColor="text1"/>
          <w:lang w:eastAsia="de-DE"/>
        </w:rPr>
        <w:t>ußenflächen</w:t>
      </w:r>
    </w:p>
    <w:p w14:paraId="56492D98" w14:textId="77777777" w:rsidR="006724CE" w:rsidRPr="006724CE" w:rsidRDefault="6E462792" w:rsidP="4EC14C07">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Produktbeschreibung</w:t>
      </w:r>
    </w:p>
    <w:p w14:paraId="5066FD81" w14:textId="4A53F28C" w:rsidR="006724CE" w:rsidRPr="006724CE" w:rsidRDefault="45B13AC9" w:rsidP="4EC14C07">
      <w:pPr>
        <w:spacing w:beforeAutospacing="1" w:afterAutospacing="1" w:line="240" w:lineRule="auto"/>
        <w:rPr>
          <w:rFonts w:ascii="TT Norms Pro VF" w:eastAsia="Times New Roman" w:hAnsi="TT Norms Pro VF" w:cs="Times New Roman"/>
          <w:color w:val="000000" w:themeColor="text1"/>
          <w:lang w:eastAsia="de-DE"/>
        </w:rPr>
      </w:pPr>
      <w:r w:rsidRPr="4EC14C07">
        <w:rPr>
          <w:rFonts w:ascii="TT Norms Pro VF" w:eastAsia="Times New Roman" w:hAnsi="TT Norms Pro VF" w:cs="Times New Roman"/>
          <w:color w:val="000000" w:themeColor="text1"/>
          <w:lang w:eastAsia="de-DE"/>
        </w:rPr>
        <w:t xml:space="preserve">NovuShield ist eine wasserbasierte, hydrophobierende Imprägnierung für saugfähige, mineralische Oberflächen im Außenbereich. </w:t>
      </w:r>
      <w:r w:rsidR="006724CE">
        <w:br/>
      </w:r>
      <w:r w:rsidR="6E462792" w:rsidRPr="4EC14C07">
        <w:rPr>
          <w:rFonts w:ascii="TT Norms Pro VF" w:eastAsia="Times New Roman" w:hAnsi="TT Norms Pro VF" w:cs="Times New Roman"/>
          <w:color w:val="000000" w:themeColor="text1"/>
          <w:lang w:eastAsia="de-DE"/>
        </w:rPr>
        <w:t>Das Produkt dringt in d</w:t>
      </w:r>
      <w:r w:rsidR="507D8451" w:rsidRPr="4EC14C07">
        <w:rPr>
          <w:rFonts w:ascii="TT Norms Pro VF" w:eastAsia="Times New Roman" w:hAnsi="TT Norms Pro VF" w:cs="Times New Roman"/>
          <w:color w:val="000000" w:themeColor="text1"/>
          <w:lang w:eastAsia="de-DE"/>
        </w:rPr>
        <w:t>ie</w:t>
      </w:r>
      <w:r w:rsidR="6E462792" w:rsidRPr="4EC14C07">
        <w:rPr>
          <w:rFonts w:ascii="TT Norms Pro VF" w:eastAsia="Times New Roman" w:hAnsi="TT Norms Pro VF" w:cs="Times New Roman"/>
          <w:color w:val="000000" w:themeColor="text1"/>
          <w:lang w:eastAsia="de-DE"/>
        </w:rPr>
        <w:t xml:space="preserve"> </w:t>
      </w:r>
      <w:r w:rsidR="42710D05" w:rsidRPr="4EC14C07">
        <w:rPr>
          <w:rFonts w:ascii="TT Norms Pro VF" w:eastAsia="Times New Roman" w:hAnsi="TT Norms Pro VF" w:cs="Times New Roman"/>
          <w:color w:val="000000" w:themeColor="text1"/>
          <w:lang w:eastAsia="de-DE"/>
        </w:rPr>
        <w:t xml:space="preserve">Oberfläche </w:t>
      </w:r>
      <w:r w:rsidR="6E462792" w:rsidRPr="4EC14C07">
        <w:rPr>
          <w:rFonts w:ascii="TT Norms Pro VF" w:eastAsia="Times New Roman" w:hAnsi="TT Norms Pro VF" w:cs="Times New Roman"/>
          <w:color w:val="000000" w:themeColor="text1"/>
          <w:lang w:eastAsia="de-DE"/>
        </w:rPr>
        <w:t>ein und verleiht der Oberfläche wasser-</w:t>
      </w:r>
      <w:r w:rsidR="31A5D2F4" w:rsidRPr="4EC14C07">
        <w:rPr>
          <w:rFonts w:ascii="TT Norms Pro VF" w:eastAsia="Times New Roman" w:hAnsi="TT Norms Pro VF" w:cs="Times New Roman"/>
          <w:color w:val="000000" w:themeColor="text1"/>
          <w:lang w:eastAsia="de-DE"/>
        </w:rPr>
        <w:t xml:space="preserve"> und</w:t>
      </w:r>
      <w:r w:rsidR="6E462792" w:rsidRPr="4EC14C07">
        <w:rPr>
          <w:rFonts w:ascii="TT Norms Pro VF" w:eastAsia="Times New Roman" w:hAnsi="TT Norms Pro VF" w:cs="Times New Roman"/>
          <w:color w:val="000000" w:themeColor="text1"/>
          <w:lang w:eastAsia="de-DE"/>
        </w:rPr>
        <w:t xml:space="preserve"> schmutz</w:t>
      </w:r>
      <w:r w:rsidR="7C5362B2" w:rsidRPr="4EC14C07">
        <w:rPr>
          <w:rFonts w:ascii="TT Norms Pro VF" w:eastAsia="Times New Roman" w:hAnsi="TT Norms Pro VF" w:cs="Times New Roman"/>
          <w:color w:val="000000" w:themeColor="text1"/>
          <w:lang w:eastAsia="de-DE"/>
        </w:rPr>
        <w:t>a</w:t>
      </w:r>
      <w:r w:rsidR="6E462792" w:rsidRPr="4EC14C07">
        <w:rPr>
          <w:rFonts w:ascii="TT Norms Pro VF" w:eastAsia="Times New Roman" w:hAnsi="TT Norms Pro VF" w:cs="Times New Roman"/>
          <w:color w:val="000000" w:themeColor="text1"/>
          <w:lang w:eastAsia="de-DE"/>
        </w:rPr>
        <w:t>bweisende Eigenschaften.</w:t>
      </w:r>
      <w:r w:rsidR="23086207" w:rsidRPr="4EC14C07">
        <w:rPr>
          <w:rFonts w:ascii="TT Norms Pro VF" w:eastAsia="Times New Roman" w:hAnsi="TT Norms Pro VF" w:cs="Times New Roman"/>
          <w:color w:val="000000" w:themeColor="text1"/>
          <w:lang w:eastAsia="de-DE"/>
        </w:rPr>
        <w:t xml:space="preserve"> </w:t>
      </w:r>
      <w:r w:rsidR="1291C2C6" w:rsidRPr="4EC14C07">
        <w:rPr>
          <w:rFonts w:ascii="TT Norms Pro VF" w:eastAsia="Times New Roman" w:hAnsi="TT Norms Pro VF" w:cs="Times New Roman"/>
          <w:color w:val="000000" w:themeColor="text1"/>
          <w:lang w:eastAsia="de-DE"/>
        </w:rPr>
        <w:t>Es vermindert die Bildung von Algen- und Moosbelag und reduziert</w:t>
      </w:r>
      <w:r w:rsidR="06C2E830" w:rsidRPr="4EC14C07">
        <w:rPr>
          <w:rFonts w:ascii="TT Norms Pro VF" w:eastAsia="Times New Roman" w:hAnsi="TT Norms Pro VF" w:cs="Times New Roman"/>
          <w:color w:val="000000" w:themeColor="text1"/>
          <w:lang w:eastAsia="de-DE"/>
        </w:rPr>
        <w:t xml:space="preserve"> Frostschäden im Win</w:t>
      </w:r>
      <w:r w:rsidR="50373FE8" w:rsidRPr="4EC14C07">
        <w:rPr>
          <w:rFonts w:ascii="TT Norms Pro VF" w:eastAsia="Times New Roman" w:hAnsi="TT Norms Pro VF" w:cs="Times New Roman"/>
          <w:color w:val="000000" w:themeColor="text1"/>
          <w:lang w:eastAsia="de-DE"/>
        </w:rPr>
        <w:t>t</w:t>
      </w:r>
      <w:r w:rsidR="06C2E830" w:rsidRPr="4EC14C07">
        <w:rPr>
          <w:rFonts w:ascii="TT Norms Pro VF" w:eastAsia="Times New Roman" w:hAnsi="TT Norms Pro VF" w:cs="Times New Roman"/>
          <w:color w:val="000000" w:themeColor="text1"/>
          <w:lang w:eastAsia="de-DE"/>
        </w:rPr>
        <w:t>er</w:t>
      </w:r>
      <w:r w:rsidR="2AFB179D" w:rsidRPr="4EC14C07">
        <w:rPr>
          <w:rFonts w:ascii="TT Norms Pro VF" w:eastAsia="Times New Roman" w:hAnsi="TT Norms Pro VF" w:cs="Times New Roman"/>
          <w:color w:val="000000" w:themeColor="text1"/>
          <w:lang w:eastAsia="de-DE"/>
        </w:rPr>
        <w:t>.</w:t>
      </w:r>
      <w:r w:rsidR="006724CE">
        <w:br/>
      </w:r>
      <w:r w:rsidR="2D2E5551" w:rsidRPr="4EC14C07">
        <w:rPr>
          <w:rFonts w:ascii="TT Norms Pro VF" w:eastAsia="Times New Roman" w:hAnsi="TT Norms Pro VF" w:cs="Times New Roman"/>
          <w:color w:val="000000" w:themeColor="text1"/>
          <w:lang w:eastAsia="de-DE"/>
        </w:rPr>
        <w:t>NovuShield</w:t>
      </w:r>
      <w:r w:rsidR="6E462792" w:rsidRPr="4EC14C07">
        <w:rPr>
          <w:rFonts w:ascii="TT Norms Pro VF" w:eastAsia="Times New Roman" w:hAnsi="TT Norms Pro VF" w:cs="Times New Roman"/>
          <w:color w:val="000000" w:themeColor="text1"/>
          <w:lang w:eastAsia="de-DE"/>
        </w:rPr>
        <w:t xml:space="preserve"> trocknet farblos auf, bildet keinen Film und erhält dadurch den natürlichen Charakter de</w:t>
      </w:r>
      <w:r w:rsidR="43DEB315" w:rsidRPr="4EC14C07">
        <w:rPr>
          <w:rFonts w:ascii="TT Norms Pro VF" w:eastAsia="Times New Roman" w:hAnsi="TT Norms Pro VF" w:cs="Times New Roman"/>
          <w:color w:val="000000" w:themeColor="text1"/>
          <w:lang w:eastAsia="de-DE"/>
        </w:rPr>
        <w:t>r Oberfläche</w:t>
      </w:r>
      <w:r w:rsidR="6E462792" w:rsidRPr="4EC14C07">
        <w:rPr>
          <w:rFonts w:ascii="TT Norms Pro VF" w:eastAsia="Times New Roman" w:hAnsi="TT Norms Pro VF" w:cs="Times New Roman"/>
          <w:color w:val="000000" w:themeColor="text1"/>
          <w:lang w:eastAsia="de-DE"/>
        </w:rPr>
        <w:t>.</w:t>
      </w:r>
    </w:p>
    <w:p w14:paraId="1A181D2D" w14:textId="77777777" w:rsidR="006724CE" w:rsidRPr="006724CE" w:rsidRDefault="6E462792" w:rsidP="4EC14C07">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Vorteile</w:t>
      </w:r>
    </w:p>
    <w:p w14:paraId="2A23FCA0" w14:textId="565FB902" w:rsidR="006724CE" w:rsidRPr="006724CE" w:rsidRDefault="6E462792" w:rsidP="4EC14C07">
      <w:pPr>
        <w:numPr>
          <w:ilvl w:val="0"/>
          <w:numId w:val="1"/>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Wasser</w:t>
      </w:r>
      <w:r w:rsidR="2081AB92" w:rsidRPr="4EC14C07">
        <w:rPr>
          <w:rFonts w:ascii="TT Norms Pro VF" w:eastAsia="Times New Roman" w:hAnsi="TT Norms Pro VF" w:cs="Times New Roman"/>
          <w:color w:val="000000" w:themeColor="text1"/>
          <w:lang w:eastAsia="de-DE"/>
        </w:rPr>
        <w:t xml:space="preserve">- </w:t>
      </w:r>
      <w:r w:rsidR="00E633B2">
        <w:rPr>
          <w:rFonts w:ascii="TT Norms Pro VF" w:eastAsia="Times New Roman" w:hAnsi="TT Norms Pro VF" w:cs="Times New Roman"/>
          <w:color w:val="000000" w:themeColor="text1"/>
          <w:lang w:eastAsia="de-DE"/>
        </w:rPr>
        <w:t>und s</w:t>
      </w:r>
      <w:r w:rsidR="2081AB92" w:rsidRPr="4EC14C07">
        <w:rPr>
          <w:rFonts w:ascii="TT Norms Pro VF" w:eastAsia="Times New Roman" w:hAnsi="TT Norms Pro VF" w:cs="Times New Roman"/>
          <w:color w:val="000000" w:themeColor="text1"/>
          <w:lang w:eastAsia="de-DE"/>
        </w:rPr>
        <w:t>chmutz</w:t>
      </w:r>
      <w:r w:rsidRPr="4EC14C07">
        <w:rPr>
          <w:rFonts w:ascii="TT Norms Pro VF" w:eastAsia="Times New Roman" w:hAnsi="TT Norms Pro VF" w:cs="Times New Roman"/>
          <w:color w:val="000000" w:themeColor="text1"/>
          <w:lang w:eastAsia="de-DE"/>
        </w:rPr>
        <w:t>abweisende Oberfläche</w:t>
      </w:r>
    </w:p>
    <w:p w14:paraId="154930EC" w14:textId="77777777" w:rsidR="006724CE" w:rsidRPr="006724CE" w:rsidRDefault="006724CE" w:rsidP="006724CE">
      <w:pPr>
        <w:numPr>
          <w:ilvl w:val="0"/>
          <w:numId w:val="1"/>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Erhält die natürliche Optik</w:t>
      </w:r>
    </w:p>
    <w:p w14:paraId="33E67E97" w14:textId="247F3937" w:rsidR="006724CE" w:rsidRPr="006724CE" w:rsidRDefault="553835E3" w:rsidP="4EC14C07">
      <w:pPr>
        <w:numPr>
          <w:ilvl w:val="0"/>
          <w:numId w:val="1"/>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Pr>
          <w:rFonts w:ascii="TT Norms Pro VF" w:eastAsia="Times New Roman" w:hAnsi="TT Norms Pro VF" w:cs="Times New Roman"/>
          <w:color w:val="000000"/>
          <w:kern w:val="0"/>
          <w:lang w:eastAsia="de-DE"/>
          <w14:ligatures w14:val="none"/>
        </w:rPr>
        <w:t>Reduziert</w:t>
      </w:r>
      <w:r w:rsidR="6E462792" w:rsidRPr="4EC14C07">
        <w:rPr>
          <w:rFonts w:ascii="TT Norms Pro VF" w:eastAsia="Times New Roman" w:hAnsi="TT Norms Pro VF" w:cs="Times New Roman"/>
          <w:color w:val="000000" w:themeColor="text1"/>
          <w:lang w:eastAsia="de-DE"/>
        </w:rPr>
        <w:t xml:space="preserve"> Grünbelag </w:t>
      </w:r>
      <w:r w:rsidR="00E633B2">
        <w:rPr>
          <w:rFonts w:ascii="TT Norms Pro VF" w:eastAsia="Times New Roman" w:hAnsi="TT Norms Pro VF" w:cs="Times New Roman"/>
          <w:color w:val="000000" w:themeColor="text1"/>
          <w:lang w:eastAsia="de-DE"/>
        </w:rPr>
        <w:t>und</w:t>
      </w:r>
      <w:r w:rsidR="484121EF" w:rsidRPr="4EC14C07">
        <w:rPr>
          <w:rFonts w:ascii="TT Norms Pro VF" w:eastAsia="Times New Roman" w:hAnsi="TT Norms Pro VF" w:cs="Times New Roman"/>
          <w:color w:val="000000" w:themeColor="text1"/>
          <w:lang w:eastAsia="de-DE"/>
        </w:rPr>
        <w:t xml:space="preserve"> Frostschäden</w:t>
      </w:r>
    </w:p>
    <w:p w14:paraId="2C932AD1" w14:textId="77777777" w:rsidR="006724CE" w:rsidRPr="006724CE" w:rsidRDefault="006724CE" w:rsidP="006724CE">
      <w:pPr>
        <w:numPr>
          <w:ilvl w:val="0"/>
          <w:numId w:val="1"/>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Für viele Außenflächen geeignet</w:t>
      </w:r>
    </w:p>
    <w:p w14:paraId="24DE641A" w14:textId="77777777" w:rsidR="006724CE" w:rsidRPr="006724CE" w:rsidRDefault="006724CE" w:rsidP="006724CE">
      <w:pPr>
        <w:numPr>
          <w:ilvl w:val="0"/>
          <w:numId w:val="1"/>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Einfache Anwendung</w:t>
      </w:r>
    </w:p>
    <w:p w14:paraId="02B2FA90" w14:textId="77777777" w:rsidR="006724CE" w:rsidRPr="006724CE" w:rsidRDefault="6E462792"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Eigenschaften</w:t>
      </w:r>
    </w:p>
    <w:p w14:paraId="535E1646" w14:textId="77777777" w:rsidR="006724CE" w:rsidRPr="006724CE" w:rsidRDefault="006724CE" w:rsidP="006724CE">
      <w:pPr>
        <w:numPr>
          <w:ilvl w:val="0"/>
          <w:numId w:val="2"/>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Hydrophobierend</w:t>
      </w:r>
    </w:p>
    <w:p w14:paraId="5B89581D" w14:textId="77777777" w:rsidR="006724CE" w:rsidRPr="006724CE" w:rsidRDefault="6E462792" w:rsidP="006724CE">
      <w:pPr>
        <w:numPr>
          <w:ilvl w:val="0"/>
          <w:numId w:val="2"/>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Farblos auftrocknend</w:t>
      </w:r>
    </w:p>
    <w:p w14:paraId="6E8B28E4" w14:textId="77777777" w:rsidR="006724CE" w:rsidRPr="006724CE" w:rsidRDefault="006724CE" w:rsidP="006724CE">
      <w:pPr>
        <w:numPr>
          <w:ilvl w:val="0"/>
          <w:numId w:val="2"/>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Tief eindringend</w:t>
      </w:r>
    </w:p>
    <w:p w14:paraId="6BACB5A7" w14:textId="77777777" w:rsidR="006724CE" w:rsidRPr="006724CE" w:rsidRDefault="006724CE" w:rsidP="006724CE">
      <w:pPr>
        <w:numPr>
          <w:ilvl w:val="0"/>
          <w:numId w:val="2"/>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UV- und alkalibeständig</w:t>
      </w:r>
    </w:p>
    <w:p w14:paraId="5BC1A70D" w14:textId="77777777" w:rsidR="006724CE" w:rsidRPr="006724CE" w:rsidRDefault="006724CE" w:rsidP="006724CE">
      <w:pPr>
        <w:numPr>
          <w:ilvl w:val="0"/>
          <w:numId w:val="2"/>
        </w:num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Gebrauchsfertig</w:t>
      </w:r>
    </w:p>
    <w:p w14:paraId="2F328068" w14:textId="77777777" w:rsidR="006724CE" w:rsidRPr="006724CE"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Technische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3843"/>
      </w:tblGrid>
      <w:tr w:rsidR="006724CE" w:rsidRPr="006724CE" w14:paraId="006F0958" w14:textId="77777777" w:rsidTr="4EC14C07">
        <w:trPr>
          <w:tblHeader/>
          <w:tblCellSpacing w:w="15" w:type="dxa"/>
        </w:trPr>
        <w:tc>
          <w:tcPr>
            <w:tcW w:w="3783" w:type="dxa"/>
            <w:vAlign w:val="center"/>
            <w:hideMark/>
          </w:tcPr>
          <w:p w14:paraId="3F74D1B9"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Parameter</w:t>
            </w:r>
          </w:p>
        </w:tc>
        <w:tc>
          <w:tcPr>
            <w:tcW w:w="3798" w:type="dxa"/>
            <w:vAlign w:val="center"/>
            <w:hideMark/>
          </w:tcPr>
          <w:p w14:paraId="7F9E8C08"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Wert</w:t>
            </w:r>
          </w:p>
        </w:tc>
      </w:tr>
      <w:tr w:rsidR="006724CE" w:rsidRPr="006724CE" w14:paraId="624652FF" w14:textId="77777777" w:rsidTr="4EC14C07">
        <w:trPr>
          <w:tblCellSpacing w:w="15" w:type="dxa"/>
        </w:trPr>
        <w:tc>
          <w:tcPr>
            <w:tcW w:w="3783" w:type="dxa"/>
            <w:vAlign w:val="center"/>
            <w:hideMark/>
          </w:tcPr>
          <w:p w14:paraId="3EC620CD"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Form</w:t>
            </w:r>
          </w:p>
        </w:tc>
        <w:tc>
          <w:tcPr>
            <w:tcW w:w="3798" w:type="dxa"/>
            <w:vAlign w:val="center"/>
            <w:hideMark/>
          </w:tcPr>
          <w:p w14:paraId="51E53C47"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Flüssig</w:t>
            </w:r>
          </w:p>
        </w:tc>
      </w:tr>
      <w:tr w:rsidR="006724CE" w:rsidRPr="006724CE" w14:paraId="0FDC651D" w14:textId="77777777" w:rsidTr="4EC14C07">
        <w:trPr>
          <w:tblCellSpacing w:w="15" w:type="dxa"/>
        </w:trPr>
        <w:tc>
          <w:tcPr>
            <w:tcW w:w="3783" w:type="dxa"/>
            <w:vAlign w:val="center"/>
            <w:hideMark/>
          </w:tcPr>
          <w:p w14:paraId="3EEAED5C"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Farbe</w:t>
            </w:r>
          </w:p>
        </w:tc>
        <w:tc>
          <w:tcPr>
            <w:tcW w:w="3798" w:type="dxa"/>
            <w:vAlign w:val="center"/>
            <w:hideMark/>
          </w:tcPr>
          <w:p w14:paraId="55A0AB67" w14:textId="013497A6" w:rsidR="006724CE" w:rsidRPr="006724CE" w:rsidRDefault="5EC2C88F" w:rsidP="4EC14C07">
            <w:pPr>
              <w:spacing w:after="0" w:line="240" w:lineRule="auto"/>
              <w:rPr>
                <w:rFonts w:ascii="TT Norms Pro VF" w:eastAsia="Times New Roman" w:hAnsi="TT Norms Pro VF" w:cs="Times New Roman"/>
                <w:kern w:val="0"/>
                <w:highlight w:val="cyan"/>
                <w:lang w:eastAsia="de-DE"/>
                <w14:ligatures w14:val="none"/>
              </w:rPr>
            </w:pPr>
            <w:r w:rsidRPr="4EC14C07">
              <w:rPr>
                <w:rFonts w:ascii="TT Norms Pro VF" w:eastAsia="Times New Roman" w:hAnsi="TT Norms Pro VF" w:cs="Times New Roman"/>
                <w:kern w:val="0"/>
                <w:lang w:eastAsia="de-DE"/>
                <w14:ligatures w14:val="none"/>
              </w:rPr>
              <w:t>milchig</w:t>
            </w:r>
            <w:r w:rsidR="6E462792" w:rsidRPr="4EC14C07">
              <w:rPr>
                <w:rFonts w:ascii="TT Norms Pro VF" w:eastAsia="Times New Roman" w:hAnsi="TT Norms Pro VF" w:cs="Times New Roman"/>
                <w:lang w:eastAsia="de-DE"/>
              </w:rPr>
              <w:t>; transparent auftrocknend</w:t>
            </w:r>
            <w:r w:rsidR="7DF650BC" w:rsidRPr="4EC14C07">
              <w:rPr>
                <w:rFonts w:ascii="TT Norms Pro VF" w:eastAsia="Times New Roman" w:hAnsi="TT Norms Pro VF" w:cs="Times New Roman"/>
                <w:lang w:eastAsia="de-DE"/>
              </w:rPr>
              <w:t xml:space="preserve"> </w:t>
            </w:r>
          </w:p>
        </w:tc>
      </w:tr>
      <w:tr w:rsidR="006724CE" w:rsidRPr="006724CE" w14:paraId="52CFAC5F" w14:textId="77777777" w:rsidTr="4EC14C07">
        <w:trPr>
          <w:tblCellSpacing w:w="15" w:type="dxa"/>
        </w:trPr>
        <w:tc>
          <w:tcPr>
            <w:tcW w:w="3783" w:type="dxa"/>
            <w:vAlign w:val="center"/>
            <w:hideMark/>
          </w:tcPr>
          <w:p w14:paraId="151FC315"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Geruch</w:t>
            </w:r>
          </w:p>
        </w:tc>
        <w:tc>
          <w:tcPr>
            <w:tcW w:w="3798" w:type="dxa"/>
            <w:vAlign w:val="center"/>
            <w:hideMark/>
          </w:tcPr>
          <w:p w14:paraId="7E8BC348" w14:textId="7E4F0BFE" w:rsidR="006724CE" w:rsidRPr="006724CE" w:rsidRDefault="613BB88B"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s</w:t>
            </w:r>
            <w:r w:rsidR="006724CE" w:rsidRPr="25BBFF47">
              <w:rPr>
                <w:rFonts w:ascii="TT Norms Pro VF" w:eastAsia="Times New Roman" w:hAnsi="TT Norms Pro VF" w:cs="Times New Roman"/>
                <w:lang w:eastAsia="de-DE"/>
              </w:rPr>
              <w:t>chwach, charakteristisch</w:t>
            </w:r>
          </w:p>
        </w:tc>
      </w:tr>
      <w:tr w:rsidR="006724CE" w:rsidRPr="006724CE" w14:paraId="5DF15034" w14:textId="77777777" w:rsidTr="4EC14C07">
        <w:trPr>
          <w:tblCellSpacing w:w="15" w:type="dxa"/>
        </w:trPr>
        <w:tc>
          <w:tcPr>
            <w:tcW w:w="3783" w:type="dxa"/>
            <w:vAlign w:val="center"/>
            <w:hideMark/>
          </w:tcPr>
          <w:p w14:paraId="501808D2" w14:textId="77777777" w:rsid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Basis</w:t>
            </w:r>
          </w:p>
          <w:p w14:paraId="14A9990D" w14:textId="77777777" w:rsid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Verbrauch</w:t>
            </w:r>
          </w:p>
          <w:p w14:paraId="0414A516" w14:textId="4EF6CE49"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Verarbeitung</w:t>
            </w:r>
          </w:p>
        </w:tc>
        <w:tc>
          <w:tcPr>
            <w:tcW w:w="3798" w:type="dxa"/>
            <w:vAlign w:val="center"/>
            <w:hideMark/>
          </w:tcPr>
          <w:p w14:paraId="71993DDD" w14:textId="77777777" w:rsid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Wasserbasierte Silan-/Siloxan-Formulieru</w:t>
            </w:r>
            <w:r>
              <w:rPr>
                <w:rFonts w:ascii="TT Norms Pro VF" w:eastAsia="Times New Roman" w:hAnsi="TT Norms Pro VF" w:cs="Times New Roman"/>
                <w:kern w:val="0"/>
                <w:lang w:eastAsia="de-DE"/>
                <w14:ligatures w14:val="none"/>
              </w:rPr>
              <w:t>n</w:t>
            </w:r>
            <w:r w:rsidRPr="006724CE">
              <w:rPr>
                <w:rFonts w:ascii="TT Norms Pro VF" w:eastAsia="Times New Roman" w:hAnsi="TT Norms Pro VF" w:cs="Times New Roman"/>
                <w:kern w:val="0"/>
                <w:lang w:eastAsia="de-DE"/>
                <w14:ligatures w14:val="none"/>
              </w:rPr>
              <w:t>g</w:t>
            </w:r>
          </w:p>
          <w:p w14:paraId="3481AA2C" w14:textId="77777777" w:rsid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Ca. 80 – 120 ml/</w:t>
            </w:r>
            <w:r w:rsidRPr="006724CE">
              <w:rPr>
                <w:rFonts w:ascii="TT Norms Pro VF" w:eastAsia="Times New Roman" w:hAnsi="TT Norms Pro VF" w:cs="Times New Roman"/>
                <w:kern w:val="0"/>
                <w:lang w:eastAsia="de-DE"/>
                <w14:ligatures w14:val="none"/>
              </w:rPr>
              <w:t xml:space="preserve"> m²</w:t>
            </w:r>
          </w:p>
          <w:p w14:paraId="270DF80A" w14:textId="287484A3"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Unverdünnt</w:t>
            </w:r>
          </w:p>
        </w:tc>
      </w:tr>
      <w:tr w:rsidR="006724CE" w:rsidRPr="006724CE" w14:paraId="00BF3641" w14:textId="77777777" w:rsidTr="4EC14C07">
        <w:trPr>
          <w:tblCellSpacing w:w="15" w:type="dxa"/>
        </w:trPr>
        <w:tc>
          <w:tcPr>
            <w:tcW w:w="3783" w:type="dxa"/>
            <w:vAlign w:val="center"/>
            <w:hideMark/>
          </w:tcPr>
          <w:p w14:paraId="5FCE1332"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Auftrag</w:t>
            </w:r>
          </w:p>
        </w:tc>
        <w:tc>
          <w:tcPr>
            <w:tcW w:w="3798" w:type="dxa"/>
            <w:vAlign w:val="center"/>
            <w:hideMark/>
          </w:tcPr>
          <w:p w14:paraId="7FC341C6"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Gartenspritze, Pinsel, Rolle oder Quast</w:t>
            </w:r>
          </w:p>
        </w:tc>
      </w:tr>
      <w:tr w:rsidR="006724CE" w:rsidRPr="006724CE" w14:paraId="5939BB85" w14:textId="77777777" w:rsidTr="4EC14C07">
        <w:trPr>
          <w:tblCellSpacing w:w="15" w:type="dxa"/>
        </w:trPr>
        <w:tc>
          <w:tcPr>
            <w:tcW w:w="3783" w:type="dxa"/>
            <w:vAlign w:val="center"/>
            <w:hideMark/>
          </w:tcPr>
          <w:p w14:paraId="42910FB0"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Verarbeitungstemperatur</w:t>
            </w:r>
          </w:p>
        </w:tc>
        <w:tc>
          <w:tcPr>
            <w:tcW w:w="3798" w:type="dxa"/>
            <w:vAlign w:val="center"/>
            <w:hideMark/>
          </w:tcPr>
          <w:p w14:paraId="5213B5FE"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mindestens +5 °C</w:t>
            </w:r>
          </w:p>
        </w:tc>
      </w:tr>
      <w:tr w:rsidR="006724CE" w:rsidRPr="006724CE" w14:paraId="592BD792" w14:textId="77777777" w:rsidTr="4EC14C07">
        <w:trPr>
          <w:tblCellSpacing w:w="15" w:type="dxa"/>
        </w:trPr>
        <w:tc>
          <w:tcPr>
            <w:tcW w:w="3783" w:type="dxa"/>
            <w:vAlign w:val="center"/>
            <w:hideMark/>
          </w:tcPr>
          <w:p w14:paraId="16DBCCE3" w14:textId="5C2FF997" w:rsidR="006724CE" w:rsidRPr="006724CE" w:rsidRDefault="6E462792" w:rsidP="4EC14C07">
            <w:pPr>
              <w:spacing w:after="0" w:line="240" w:lineRule="auto"/>
              <w:rPr>
                <w:rFonts w:ascii="TT Norms Pro VF" w:eastAsia="Times New Roman" w:hAnsi="TT Norms Pro VF" w:cs="Times New Roman"/>
                <w:kern w:val="0"/>
                <w:lang w:eastAsia="de-DE"/>
                <w14:ligatures w14:val="none"/>
              </w:rPr>
            </w:pPr>
            <w:r w:rsidRPr="4EC14C07">
              <w:rPr>
                <w:rFonts w:ascii="TT Norms Pro VF" w:eastAsia="Times New Roman" w:hAnsi="TT Norms Pro VF" w:cs="Times New Roman"/>
                <w:kern w:val="0"/>
                <w:lang w:eastAsia="de-DE"/>
                <w14:ligatures w14:val="none"/>
              </w:rPr>
              <w:lastRenderedPageBreak/>
              <w:t>Ein</w:t>
            </w:r>
            <w:r w:rsidR="18E598BC" w:rsidRPr="4EC14C07">
              <w:rPr>
                <w:rFonts w:ascii="TT Norms Pro VF" w:eastAsia="Times New Roman" w:hAnsi="TT Norms Pro VF" w:cs="Times New Roman"/>
                <w:lang w:eastAsia="de-DE"/>
              </w:rPr>
              <w:t>wirkzeit</w:t>
            </w:r>
          </w:p>
        </w:tc>
        <w:tc>
          <w:tcPr>
            <w:tcW w:w="3798" w:type="dxa"/>
            <w:vAlign w:val="center"/>
            <w:hideMark/>
          </w:tcPr>
          <w:p w14:paraId="094FE5B4"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ca. 2–4 Stunden</w:t>
            </w:r>
          </w:p>
        </w:tc>
      </w:tr>
      <w:tr w:rsidR="006724CE" w:rsidRPr="006724CE" w14:paraId="0A4DAFE9" w14:textId="77777777" w:rsidTr="4EC14C07">
        <w:trPr>
          <w:tblCellSpacing w:w="15" w:type="dxa"/>
        </w:trPr>
        <w:tc>
          <w:tcPr>
            <w:tcW w:w="3783" w:type="dxa"/>
            <w:vAlign w:val="center"/>
            <w:hideMark/>
          </w:tcPr>
          <w:p w14:paraId="01F9EA30"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Begehbarkeit</w:t>
            </w:r>
          </w:p>
        </w:tc>
        <w:tc>
          <w:tcPr>
            <w:tcW w:w="3798" w:type="dxa"/>
            <w:vAlign w:val="center"/>
            <w:hideMark/>
          </w:tcPr>
          <w:p w14:paraId="6B99E75C"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nach ca. 12 Stunden</w:t>
            </w:r>
          </w:p>
        </w:tc>
      </w:tr>
      <w:tr w:rsidR="006724CE" w:rsidRPr="006724CE" w14:paraId="1F11987F" w14:textId="77777777" w:rsidTr="4EC14C07">
        <w:trPr>
          <w:tblCellSpacing w:w="15" w:type="dxa"/>
        </w:trPr>
        <w:tc>
          <w:tcPr>
            <w:tcW w:w="3783" w:type="dxa"/>
            <w:vAlign w:val="center"/>
            <w:hideMark/>
          </w:tcPr>
          <w:p w14:paraId="61622EDF"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Regenfestigkeit</w:t>
            </w:r>
          </w:p>
        </w:tc>
        <w:tc>
          <w:tcPr>
            <w:tcW w:w="3798" w:type="dxa"/>
            <w:vAlign w:val="center"/>
            <w:hideMark/>
          </w:tcPr>
          <w:p w14:paraId="0EAD07D1" w14:textId="77777777"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nach ca. 24 Stunden</w:t>
            </w:r>
          </w:p>
        </w:tc>
      </w:tr>
      <w:tr w:rsidR="006724CE" w:rsidRPr="006724CE" w14:paraId="676C5B82" w14:textId="77777777" w:rsidTr="4EC14C07">
        <w:trPr>
          <w:tblCellSpacing w:w="15" w:type="dxa"/>
        </w:trPr>
        <w:tc>
          <w:tcPr>
            <w:tcW w:w="3783" w:type="dxa"/>
            <w:vAlign w:val="center"/>
            <w:hideMark/>
          </w:tcPr>
          <w:p w14:paraId="2B83663F" w14:textId="77777777" w:rsid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Dichte</w:t>
            </w:r>
          </w:p>
          <w:p w14:paraId="450CD6B9" w14:textId="2D338FD5" w:rsid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pH-Wert</w:t>
            </w:r>
          </w:p>
          <w:p w14:paraId="01140320" w14:textId="7BD0DBA4"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p>
        </w:tc>
        <w:tc>
          <w:tcPr>
            <w:tcW w:w="3798" w:type="dxa"/>
            <w:vAlign w:val="center"/>
            <w:hideMark/>
          </w:tcPr>
          <w:p w14:paraId="03FF340E" w14:textId="26070146" w:rsidR="006724CE" w:rsidRDefault="006724CE" w:rsidP="006724CE">
            <w:pPr>
              <w:spacing w:after="0" w:line="240" w:lineRule="auto"/>
              <w:rPr>
                <w:rFonts w:ascii="TT Norms Pro VF" w:eastAsia="Times New Roman" w:hAnsi="TT Norms Pro VF" w:cs="Times New Roman"/>
                <w:kern w:val="0"/>
                <w:lang w:eastAsia="de-DE"/>
                <w14:ligatures w14:val="none"/>
              </w:rPr>
            </w:pPr>
            <w:r w:rsidRPr="006724CE">
              <w:rPr>
                <w:rFonts w:ascii="TT Norms Pro VF" w:eastAsia="Times New Roman" w:hAnsi="TT Norms Pro VF" w:cs="Times New Roman"/>
                <w:kern w:val="0"/>
                <w:lang w:eastAsia="de-DE"/>
                <w14:ligatures w14:val="none"/>
              </w:rPr>
              <w:t>ca. 0,9–1,1 kg/l</w:t>
            </w:r>
          </w:p>
          <w:p w14:paraId="574EA672" w14:textId="2AF003D5" w:rsidR="006724CE" w:rsidRDefault="006724CE" w:rsidP="006724CE">
            <w:pPr>
              <w:spacing w:after="0" w:line="240" w:lineRule="auto"/>
              <w:rPr>
                <w:rFonts w:ascii="TT Norms Pro VF" w:eastAsia="Times New Roman" w:hAnsi="TT Norms Pro VF" w:cs="Times New Roman"/>
                <w:kern w:val="0"/>
                <w:lang w:eastAsia="de-DE"/>
                <w14:ligatures w14:val="none"/>
              </w:rPr>
            </w:pPr>
            <w:r>
              <w:rPr>
                <w:rFonts w:ascii="TT Norms Pro VF" w:eastAsia="Times New Roman" w:hAnsi="TT Norms Pro VF" w:cs="Times New Roman"/>
                <w:kern w:val="0"/>
                <w:lang w:eastAsia="de-DE"/>
                <w14:ligatures w14:val="none"/>
              </w:rPr>
              <w:t>ca. 7,4–7,6</w:t>
            </w:r>
          </w:p>
          <w:p w14:paraId="77C8A4EF" w14:textId="583D109D" w:rsidR="006724CE" w:rsidRPr="006724CE" w:rsidRDefault="006724CE" w:rsidP="006724CE">
            <w:pPr>
              <w:spacing w:after="0" w:line="240" w:lineRule="auto"/>
              <w:rPr>
                <w:rFonts w:ascii="TT Norms Pro VF" w:eastAsia="Times New Roman" w:hAnsi="TT Norms Pro VF" w:cs="Times New Roman"/>
                <w:kern w:val="0"/>
                <w:lang w:eastAsia="de-DE"/>
                <w14:ligatures w14:val="none"/>
              </w:rPr>
            </w:pPr>
          </w:p>
        </w:tc>
      </w:tr>
    </w:tbl>
    <w:p w14:paraId="608B2E56" w14:textId="77777777" w:rsidR="006724CE" w:rsidRPr="006724CE"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6724CE">
        <w:rPr>
          <w:rFonts w:ascii="TT Norms Pro VF" w:eastAsia="Times New Roman" w:hAnsi="TT Norms Pro VF" w:cs="Times New Roman"/>
          <w:b/>
          <w:bCs/>
          <w:color w:val="000000"/>
          <w:kern w:val="0"/>
          <w:lang w:eastAsia="de-DE"/>
          <w14:ligatures w14:val="none"/>
        </w:rPr>
        <w:t>Anwendungsgebiete</w:t>
      </w:r>
    </w:p>
    <w:p w14:paraId="567D9626" w14:textId="3FC2A8A1"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NovuShield eignet sich für die Imprägnierung saugfähiger</w:t>
      </w:r>
      <w:r w:rsidR="00E633B2">
        <w:rPr>
          <w:rFonts w:ascii="TT Norms Pro VF" w:eastAsia="Times New Roman" w:hAnsi="TT Norms Pro VF" w:cs="Times New Roman"/>
          <w:color w:val="000000"/>
          <w:kern w:val="0"/>
          <w:lang w:eastAsia="de-DE"/>
          <w14:ligatures w14:val="none"/>
        </w:rPr>
        <w:t>,</w:t>
      </w:r>
      <w:r w:rsidRPr="006724CE">
        <w:rPr>
          <w:rFonts w:ascii="TT Norms Pro VF" w:eastAsia="Times New Roman" w:hAnsi="TT Norms Pro VF" w:cs="Times New Roman"/>
          <w:color w:val="000000"/>
          <w:kern w:val="0"/>
          <w:lang w:eastAsia="de-DE"/>
          <w14:ligatures w14:val="none"/>
        </w:rPr>
        <w:t xml:space="preserve"> mineralischer Oberflächen im Außenbereich. Geeignete Einsatzbereiche sind insbesondere Betonpflaster, Natursteinpflaster, Terrassenplatten, Gehwege, Zufahrten, Betonflächen, Betonfertigteile, Klinker, Kalksandstein und Tondachziegel.</w:t>
      </w:r>
    </w:p>
    <w:p w14:paraId="3031EE35" w14:textId="7C4CD154" w:rsidR="006724CE" w:rsidRPr="006724CE" w:rsidRDefault="006724CE" w:rsidP="006724CE">
      <w:pPr>
        <w:spacing w:before="100" w:beforeAutospacing="1" w:after="100" w:afterAutospacing="1" w:line="240" w:lineRule="auto"/>
        <w:rPr>
          <w:rFonts w:ascii="TT Norms Pro VF" w:hAnsi="TT Norms Pro VF"/>
          <w:color w:val="000000"/>
        </w:rPr>
      </w:pPr>
      <w:r w:rsidRPr="006724CE">
        <w:rPr>
          <w:rFonts w:ascii="TT Norms Pro VF" w:hAnsi="TT Norms Pro VF"/>
          <w:color w:val="000000"/>
        </w:rPr>
        <w:t xml:space="preserve">Nicht geeignet ist das Produkt für Glas, Metall, Kunststoff, Holz, glasierte Keramik sowie lackierte, versiegelte oder bereits imprägnierte Oberflächen. </w:t>
      </w:r>
      <w:r w:rsidR="00E633B2">
        <w:rPr>
          <w:rFonts w:ascii="TT Norms Pro VF" w:hAnsi="TT Norms Pro VF"/>
          <w:color w:val="000000"/>
        </w:rPr>
        <w:t xml:space="preserve">Bei </w:t>
      </w:r>
      <w:r w:rsidRPr="006724CE">
        <w:rPr>
          <w:rFonts w:ascii="TT Norms Pro VF" w:hAnsi="TT Norms Pro VF"/>
          <w:color w:val="000000"/>
        </w:rPr>
        <w:t xml:space="preserve">Anwendungen außerhalb der genannten Einsatzbereiche </w:t>
      </w:r>
      <w:r w:rsidR="00E633B2">
        <w:rPr>
          <w:rFonts w:ascii="TT Norms Pro VF" w:hAnsi="TT Norms Pro VF"/>
          <w:color w:val="000000"/>
        </w:rPr>
        <w:t>ist die Eignung vorab zu prüfen.</w:t>
      </w:r>
    </w:p>
    <w:p w14:paraId="3AAEFE31" w14:textId="3D6D9675"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Für eine detaillierte Erklärung zur Verwendung des Produktes nutze bitte unsere separate Verarbeitungsanleitung.</w:t>
      </w:r>
    </w:p>
    <w:p w14:paraId="665A81E7" w14:textId="77777777" w:rsidR="006724CE" w:rsidRPr="001D071C" w:rsidRDefault="6E462792"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Hinweise</w:t>
      </w:r>
    </w:p>
    <w:p w14:paraId="38E8023C" w14:textId="37BE5A1F" w:rsidR="2C9F9B3C" w:rsidRDefault="2C9F9B3C" w:rsidP="4EC14C07">
      <w:pPr>
        <w:spacing w:beforeAutospacing="1" w:afterAutospacing="1" w:line="240" w:lineRule="auto"/>
        <w:rPr>
          <w:rFonts w:ascii="TT Norms Pro VF" w:eastAsia="Times New Roman" w:hAnsi="TT Norms Pro VF" w:cs="Times New Roman"/>
          <w:color w:val="000000" w:themeColor="text1"/>
          <w:lang w:eastAsia="de-DE"/>
        </w:rPr>
      </w:pPr>
      <w:r w:rsidRPr="4EC14C07">
        <w:rPr>
          <w:rFonts w:ascii="TT Norms Pro VF" w:eastAsia="Times New Roman" w:hAnsi="TT Norms Pro VF" w:cs="Times New Roman"/>
          <w:color w:val="000000" w:themeColor="text1"/>
          <w:lang w:eastAsia="de-DE"/>
        </w:rPr>
        <w:t>Der tatsächliche Verbrauch hängt von der Saugfähigkeit, Beschaffenheit und Struktur des Untergrundes sowie vom Auftragsverfahren ab.</w:t>
      </w:r>
    </w:p>
    <w:p w14:paraId="39366E88"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Der Untergrund muss saugfähig, sauber, trocken und tragfähig sein. Vor der Anwendung sollte eine Probefläche angelegt werden, um die Verträglichkeit und das Eindringverhalten zu prüfen.</w:t>
      </w:r>
    </w:p>
    <w:p w14:paraId="783B3BA8" w14:textId="77777777" w:rsidR="006724CE" w:rsidRPr="006724CE" w:rsidRDefault="6E462792" w:rsidP="4EC14C07">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Angrenzende Bauteile aus Glas, Holz, Metall oder Kunststoff sowie Pflanzen sind vor Produktspritzern zu schützen. Spritzer müssen unmittelbar mit klarem Wasser ent</w:t>
      </w:r>
      <w:r w:rsidRPr="4EC14C07">
        <w:rPr>
          <w:rFonts w:ascii="TT Norms Pro VF" w:eastAsia="Times New Roman" w:hAnsi="TT Norms Pro VF" w:cs="Times New Roman"/>
          <w:color w:val="000000" w:themeColor="text1"/>
          <w:lang w:eastAsia="de-DE"/>
        </w:rPr>
        <w:t>fernt werden.</w:t>
      </w:r>
    </w:p>
    <w:p w14:paraId="136C9D96" w14:textId="716F7A5D" w:rsidR="006724CE" w:rsidRPr="006724CE" w:rsidRDefault="6E462792" w:rsidP="25BBFF47">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 xml:space="preserve">Das Produkt nicht bei direkter Sonneneinstrahlung, starkem Wind oder auf aufgeheizten Untergründen einsetzen. </w:t>
      </w:r>
      <w:r w:rsidR="13FA0913" w:rsidRPr="4EC14C07">
        <w:rPr>
          <w:rFonts w:ascii="TT Norms Pro VF" w:eastAsia="TT Norms Pro VF" w:hAnsi="TT Norms Pro VF" w:cs="TT Norms Pro VF"/>
          <w:color w:val="000000" w:themeColor="text1"/>
        </w:rPr>
        <w:t>Es ist darauf zu achten</w:t>
      </w:r>
      <w:r w:rsidR="285D4489" w:rsidRPr="4EC14C07">
        <w:rPr>
          <w:rFonts w:ascii="TT Norms Pro VF" w:eastAsia="TT Norms Pro VF" w:hAnsi="TT Norms Pro VF" w:cs="TT Norms Pro VF"/>
          <w:color w:val="000000" w:themeColor="text1"/>
        </w:rPr>
        <w:t xml:space="preserve">, dass </w:t>
      </w:r>
      <w:r w:rsidR="4DA15B69" w:rsidRPr="4EC14C07">
        <w:rPr>
          <w:rFonts w:ascii="TT Norms Pro VF" w:eastAsia="TT Norms Pro VF" w:hAnsi="TT Norms Pro VF" w:cs="TT Norms Pro VF"/>
          <w:color w:val="000000" w:themeColor="text1"/>
        </w:rPr>
        <w:t xml:space="preserve">während </w:t>
      </w:r>
      <w:r w:rsidR="00E633B2">
        <w:rPr>
          <w:rFonts w:ascii="TT Norms Pro VF" w:eastAsia="TT Norms Pro VF" w:hAnsi="TT Norms Pro VF" w:cs="TT Norms Pro VF"/>
          <w:color w:val="000000" w:themeColor="text1"/>
        </w:rPr>
        <w:t xml:space="preserve">der Anwendung </w:t>
      </w:r>
      <w:r w:rsidR="4DA15B69" w:rsidRPr="4EC14C07">
        <w:rPr>
          <w:rFonts w:ascii="TT Norms Pro VF" w:eastAsia="TT Norms Pro VF" w:hAnsi="TT Norms Pro VF" w:cs="TT Norms Pro VF"/>
          <w:color w:val="000000" w:themeColor="text1"/>
        </w:rPr>
        <w:t>und</w:t>
      </w:r>
      <w:r w:rsidR="1F2146B8" w:rsidRPr="4EC14C07">
        <w:rPr>
          <w:rFonts w:ascii="TT Norms Pro VF" w:eastAsia="TT Norms Pro VF" w:hAnsi="TT Norms Pro VF" w:cs="TT Norms Pro VF"/>
          <w:color w:val="000000" w:themeColor="text1"/>
        </w:rPr>
        <w:t xml:space="preserve"> mindestens 24 Stunden </w:t>
      </w:r>
      <w:r w:rsidR="00E633B2">
        <w:rPr>
          <w:rFonts w:ascii="TT Norms Pro VF" w:eastAsia="TT Norms Pro VF" w:hAnsi="TT Norms Pro VF" w:cs="TT Norms Pro VF"/>
          <w:color w:val="000000" w:themeColor="text1"/>
        </w:rPr>
        <w:t>danach</w:t>
      </w:r>
      <w:r w:rsidR="1F2146B8" w:rsidRPr="4EC14C07">
        <w:rPr>
          <w:rFonts w:ascii="TT Norms Pro VF" w:eastAsia="TT Norms Pro VF" w:hAnsi="TT Norms Pro VF" w:cs="TT Norms Pro VF"/>
          <w:color w:val="000000" w:themeColor="text1"/>
        </w:rPr>
        <w:t xml:space="preserve"> trockene und frostfreie Witterung zu erwarten ist.</w:t>
      </w:r>
      <w:r w:rsidR="53FB8812" w:rsidRPr="4EC14C07">
        <w:rPr>
          <w:rFonts w:ascii="TT Norms Pro VF" w:eastAsia="TT Norms Pro VF" w:hAnsi="TT Norms Pro VF" w:cs="TT Norms Pro VF"/>
          <w:color w:val="000000" w:themeColor="text1"/>
        </w:rPr>
        <w:t xml:space="preserve"> </w:t>
      </w:r>
      <w:r w:rsidRPr="4EC14C07">
        <w:rPr>
          <w:rFonts w:ascii="TT Norms Pro VF" w:eastAsia="Times New Roman" w:hAnsi="TT Norms Pro VF" w:cs="Times New Roman"/>
          <w:color w:val="000000" w:themeColor="text1"/>
          <w:lang w:eastAsia="de-DE"/>
        </w:rPr>
        <w:t>Arbeitsgeräte direkt nach Gebrauch mit Wasser reinigen.</w:t>
      </w:r>
    </w:p>
    <w:p w14:paraId="48E63937"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Gefahrenhinweise und Sicherheitsratschläge sind auf den Gebinden und im Sicherheitsdatenblatt zu finden. Das aktuelle Sicherheitsdatenblatt ist auf Anfrage erhältlich.</w:t>
      </w:r>
    </w:p>
    <w:p w14:paraId="432DD5E3" w14:textId="528ACCA5" w:rsidR="006724CE" w:rsidRPr="001D071C"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Verpackungseinheiten/Gebinde</w:t>
      </w:r>
    </w:p>
    <w:p w14:paraId="50733650" w14:textId="69C463CE" w:rsidR="006724CE" w:rsidRPr="006724CE" w:rsidRDefault="006724CE" w:rsidP="25BBFF47">
      <w:pPr>
        <w:spacing w:before="100" w:beforeAutospacing="1" w:after="100" w:afterAutospacing="1" w:line="240" w:lineRule="auto"/>
      </w:pPr>
      <w:r w:rsidRPr="006724CE">
        <w:rPr>
          <w:rFonts w:ascii="TT Norms Pro VF" w:eastAsia="Times New Roman" w:hAnsi="TT Norms Pro VF" w:cs="Times New Roman"/>
          <w:color w:val="000000"/>
          <w:kern w:val="0"/>
          <w:lang w:eastAsia="de-DE"/>
          <w14:ligatures w14:val="none"/>
        </w:rPr>
        <w:lastRenderedPageBreak/>
        <w:t>1 Liter</w:t>
      </w:r>
      <w:r w:rsidRPr="006724CE">
        <w:rPr>
          <w:rFonts w:ascii="TT Norms Pro VF" w:eastAsia="Times New Roman" w:hAnsi="TT Norms Pro VF" w:cs="Times New Roman"/>
          <w:color w:val="000000"/>
          <w:kern w:val="0"/>
          <w:lang w:eastAsia="de-DE"/>
          <w14:ligatures w14:val="none"/>
        </w:rPr>
        <w:br/>
        <w:t xml:space="preserve">Art.-Nr. </w:t>
      </w:r>
      <w:r w:rsidR="69DC7F37" w:rsidRPr="25BBFF47">
        <w:rPr>
          <w:rFonts w:ascii="TT Norms Pro VF" w:eastAsia="Times New Roman" w:hAnsi="TT Norms Pro VF" w:cs="Times New Roman"/>
          <w:color w:val="000000" w:themeColor="text1"/>
          <w:lang w:eastAsia="de-DE"/>
        </w:rPr>
        <w:t>24243166-01</w:t>
      </w:r>
    </w:p>
    <w:p w14:paraId="6EF77486" w14:textId="2C256BC2" w:rsidR="006724CE" w:rsidRPr="006724CE" w:rsidRDefault="006724CE" w:rsidP="25BBFF47">
      <w:pPr>
        <w:spacing w:before="100" w:beforeAutospacing="1" w:after="100" w:afterAutospacing="1" w:line="240" w:lineRule="auto"/>
      </w:pPr>
      <w:r w:rsidRPr="006724CE">
        <w:rPr>
          <w:rFonts w:ascii="TT Norms Pro VF" w:eastAsia="Times New Roman" w:hAnsi="TT Norms Pro VF" w:cs="Times New Roman"/>
          <w:color w:val="000000"/>
          <w:kern w:val="0"/>
          <w:lang w:eastAsia="de-DE"/>
          <w14:ligatures w14:val="none"/>
        </w:rPr>
        <w:t>5 Liter</w:t>
      </w:r>
      <w:r w:rsidRPr="006724CE">
        <w:rPr>
          <w:rFonts w:ascii="TT Norms Pro VF" w:eastAsia="Times New Roman" w:hAnsi="TT Norms Pro VF" w:cs="Times New Roman"/>
          <w:color w:val="000000"/>
          <w:kern w:val="0"/>
          <w:lang w:eastAsia="de-DE"/>
          <w14:ligatures w14:val="none"/>
        </w:rPr>
        <w:br/>
        <w:t xml:space="preserve">Art.-Nr. </w:t>
      </w:r>
      <w:r w:rsidR="4ECF15D5" w:rsidRPr="25BBFF47">
        <w:rPr>
          <w:rFonts w:ascii="TT Norms Pro VF" w:eastAsia="Times New Roman" w:hAnsi="TT Norms Pro VF" w:cs="Times New Roman"/>
          <w:color w:val="000000" w:themeColor="text1"/>
          <w:lang w:eastAsia="de-DE"/>
        </w:rPr>
        <w:t>24243269-01</w:t>
      </w:r>
    </w:p>
    <w:p w14:paraId="263E343D" w14:textId="28A844BD" w:rsidR="006724CE" w:rsidRPr="006724CE" w:rsidRDefault="006724CE" w:rsidP="25BBFF47">
      <w:pPr>
        <w:spacing w:before="100" w:beforeAutospacing="1" w:after="100" w:afterAutospacing="1" w:line="240" w:lineRule="auto"/>
      </w:pPr>
      <w:r w:rsidRPr="006724CE">
        <w:rPr>
          <w:rFonts w:ascii="TT Norms Pro VF" w:eastAsia="Times New Roman" w:hAnsi="TT Norms Pro VF" w:cs="Times New Roman"/>
          <w:color w:val="000000"/>
          <w:kern w:val="0"/>
          <w:lang w:eastAsia="de-DE"/>
          <w14:ligatures w14:val="none"/>
        </w:rPr>
        <w:t>10 Liter</w:t>
      </w:r>
      <w:r w:rsidRPr="006724CE">
        <w:rPr>
          <w:rFonts w:ascii="TT Norms Pro VF" w:eastAsia="Times New Roman" w:hAnsi="TT Norms Pro VF" w:cs="Times New Roman"/>
          <w:color w:val="000000"/>
          <w:kern w:val="0"/>
          <w:lang w:eastAsia="de-DE"/>
          <w14:ligatures w14:val="none"/>
        </w:rPr>
        <w:br/>
        <w:t xml:space="preserve">Art.-Nr. </w:t>
      </w:r>
      <w:r w:rsidR="20F08DE6" w:rsidRPr="25BBFF47">
        <w:rPr>
          <w:rFonts w:ascii="TT Norms Pro VF" w:eastAsia="Times New Roman" w:hAnsi="TT Norms Pro VF" w:cs="Times New Roman"/>
          <w:color w:val="000000" w:themeColor="text1"/>
          <w:lang w:eastAsia="de-DE"/>
        </w:rPr>
        <w:t>24243272-01</w:t>
      </w:r>
    </w:p>
    <w:p w14:paraId="3B66CFDE" w14:textId="7E8D207C" w:rsidR="006724CE" w:rsidRPr="006724CE" w:rsidRDefault="006724CE" w:rsidP="25BBFF47">
      <w:pPr>
        <w:spacing w:before="100" w:beforeAutospacing="1" w:after="100" w:afterAutospacing="1" w:line="240" w:lineRule="auto"/>
      </w:pPr>
      <w:r w:rsidRPr="006724CE">
        <w:rPr>
          <w:rFonts w:ascii="TT Norms Pro VF" w:eastAsia="Times New Roman" w:hAnsi="TT Norms Pro VF" w:cs="Times New Roman"/>
          <w:color w:val="000000"/>
          <w:kern w:val="0"/>
          <w:lang w:eastAsia="de-DE"/>
          <w14:ligatures w14:val="none"/>
        </w:rPr>
        <w:t>25 Liter</w:t>
      </w:r>
      <w:r w:rsidRPr="006724CE">
        <w:rPr>
          <w:rFonts w:ascii="TT Norms Pro VF" w:eastAsia="Times New Roman" w:hAnsi="TT Norms Pro VF" w:cs="Times New Roman"/>
          <w:color w:val="000000"/>
          <w:kern w:val="0"/>
          <w:lang w:eastAsia="de-DE"/>
          <w14:ligatures w14:val="none"/>
        </w:rPr>
        <w:br/>
        <w:t xml:space="preserve">Art.-Nr. </w:t>
      </w:r>
      <w:r w:rsidR="14ED0A42" w:rsidRPr="25BBFF47">
        <w:rPr>
          <w:rFonts w:ascii="TT Norms Pro VF" w:eastAsia="Times New Roman" w:hAnsi="TT Norms Pro VF" w:cs="Times New Roman"/>
          <w:color w:val="000000" w:themeColor="text1"/>
          <w:lang w:eastAsia="de-DE"/>
        </w:rPr>
        <w:t>24243276-01</w:t>
      </w:r>
    </w:p>
    <w:p w14:paraId="72414AF7" w14:textId="77777777" w:rsidR="006724CE" w:rsidRPr="001D071C"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Lagerbedingungen</w:t>
      </w:r>
    </w:p>
    <w:p w14:paraId="14E76931" w14:textId="31D9BD58" w:rsidR="001D071C" w:rsidRDefault="3286D429" w:rsidP="25BBFF47">
      <w:pPr>
        <w:spacing w:before="100" w:beforeAutospacing="1" w:after="100" w:afterAutospacing="1" w:line="240" w:lineRule="auto"/>
        <w:outlineLvl w:val="2"/>
        <w:rPr>
          <w:rFonts w:ascii="TT Norms Pro VF" w:eastAsia="Times New Roman" w:hAnsi="TT Norms Pro VF" w:cs="Times New Roman"/>
          <w:color w:val="000000"/>
          <w:kern w:val="0"/>
          <w:lang w:eastAsia="de-DE"/>
          <w14:ligatures w14:val="none"/>
        </w:rPr>
      </w:pPr>
      <w:r w:rsidRPr="001D071C">
        <w:rPr>
          <w:rFonts w:ascii="TT Norms Pro VF" w:eastAsia="Times New Roman" w:hAnsi="TT Norms Pro VF" w:cs="Times New Roman"/>
          <w:color w:val="000000"/>
          <w:kern w:val="0"/>
          <w:lang w:eastAsia="de-DE"/>
          <w14:ligatures w14:val="none"/>
        </w:rPr>
        <w:t>Kühl, trocken, frostfrei und vor direkter Sonneneinstrahlung geschützt im originalverschlossenen Gebinde lagern. Angebrochene Gebinde gut verschließen und zeitnah verbrauchen. Im ungeöffneten Originalgebinde ist das Produkt</w:t>
      </w:r>
      <w:r w:rsidR="3C30441B" w:rsidRPr="4EC14C07">
        <w:rPr>
          <w:rFonts w:ascii="TT Norms Pro VF" w:eastAsia="Times New Roman" w:hAnsi="TT Norms Pro VF" w:cs="Times New Roman"/>
          <w:color w:val="000000" w:themeColor="text1"/>
          <w:lang w:eastAsia="de-DE"/>
        </w:rPr>
        <w:t xml:space="preserve"> mindestens</w:t>
      </w:r>
      <w:r w:rsidRPr="4EC14C07">
        <w:rPr>
          <w:rFonts w:ascii="TT Norms Pro VF" w:eastAsia="Times New Roman" w:hAnsi="TT Norms Pro VF" w:cs="Times New Roman"/>
          <w:color w:val="000000" w:themeColor="text1"/>
          <w:lang w:eastAsia="de-DE"/>
        </w:rPr>
        <w:t xml:space="preserve"> </w:t>
      </w:r>
      <w:r w:rsidR="2DDB54F6" w:rsidRPr="4EC14C07">
        <w:rPr>
          <w:rFonts w:ascii="TT Norms Pro VF" w:eastAsia="Times New Roman" w:hAnsi="TT Norms Pro VF" w:cs="Times New Roman"/>
          <w:color w:val="000000" w:themeColor="text1"/>
          <w:lang w:eastAsia="de-DE"/>
        </w:rPr>
        <w:t>12</w:t>
      </w:r>
      <w:r w:rsidRPr="4EC14C07">
        <w:rPr>
          <w:rFonts w:ascii="TT Norms Pro VF" w:eastAsia="Times New Roman" w:hAnsi="TT Norms Pro VF" w:cs="Times New Roman"/>
          <w:color w:val="000000" w:themeColor="text1"/>
          <w:lang w:eastAsia="de-DE"/>
        </w:rPr>
        <w:t xml:space="preserve"> Monate haltbar.</w:t>
      </w:r>
    </w:p>
    <w:p w14:paraId="079BD49C" w14:textId="679B3B2E" w:rsidR="006724CE" w:rsidRPr="001D071C"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Entsorgung</w:t>
      </w:r>
    </w:p>
    <w:p w14:paraId="00381947"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Die Entsorgung muss gemäß den örtlichen Vorschriften erfolgen. Restentleerte Verpackungen können der Wiederverwertung zugeführt werden.</w:t>
      </w:r>
    </w:p>
    <w:p w14:paraId="032E598A" w14:textId="77777777" w:rsidR="006724CE" w:rsidRPr="001D071C" w:rsidRDefault="006724CE" w:rsidP="006724CE">
      <w:pPr>
        <w:spacing w:before="100" w:beforeAutospacing="1" w:after="100" w:afterAutospacing="1" w:line="240" w:lineRule="auto"/>
        <w:outlineLvl w:val="2"/>
        <w:rPr>
          <w:rFonts w:ascii="TT Norms Pro VF" w:eastAsia="Times New Roman" w:hAnsi="TT Norms Pro VF" w:cs="Times New Roman"/>
          <w:b/>
          <w:bCs/>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Rechtliche Hinweise</w:t>
      </w:r>
    </w:p>
    <w:p w14:paraId="242DC513"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Diese Hinweise basieren auf unserem aktuellen Wissensstand und unseren Erfahrungen, unter der Voraussetzung, dass unsere Produkte ordnungsgemäß gelagert und eingesetzt werden. Aufgrund unterschiedlicher Materialien und Bedingungen können wir keine Garantie für das Arbeitsergebnis übernehmen. Eine Haftung unsererseits besteht nur bei nachweislichem Vorsatz oder grober Fahrlässigkeit.</w:t>
      </w:r>
    </w:p>
    <w:p w14:paraId="0AEE25C3"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Der Anwender ist dafür verantwortlich, die Produkte auf deren Eignung für den vorgesehenen Zweck zu prüfen. Die jeweils aktuelle Produktspezifikation sollte berücksichtigt werden. Änderungen sind vorbehalten. Eventuelle Schutzrechte Dritter sind zu beachten.</w:t>
      </w:r>
    </w:p>
    <w:p w14:paraId="6D2B6272" w14:textId="77777777" w:rsidR="006724CE" w:rsidRPr="006724CE" w:rsidRDefault="006724CE" w:rsidP="006724C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6724CE">
        <w:rPr>
          <w:rFonts w:ascii="TT Norms Pro VF" w:eastAsia="Times New Roman" w:hAnsi="TT Norms Pro VF" w:cs="Times New Roman"/>
          <w:color w:val="000000"/>
          <w:kern w:val="0"/>
          <w:lang w:eastAsia="de-DE"/>
          <w14:ligatures w14:val="none"/>
        </w:rPr>
        <w:t>Für die Qualität unserer Produkte bürgen wir gemäß unseren Verkaufs- und Lieferbedingungen. Eine Garantie für den Anwendungserfolg wird nicht übernommen. Unsere technischen Datenblätter bieten eine unverbindliche Beratung und erfordern schriftliche Zustimmung für Zusicherungen, die darüber hinausgehen.</w:t>
      </w:r>
    </w:p>
    <w:p w14:paraId="3D1DF64C" w14:textId="0941A5EC" w:rsidR="00B46001" w:rsidRPr="00E633B2" w:rsidRDefault="006724CE" w:rsidP="00E633B2">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1D071C">
        <w:rPr>
          <w:rFonts w:ascii="TT Norms Pro VF" w:eastAsia="Times New Roman" w:hAnsi="TT Norms Pro VF" w:cs="Times New Roman"/>
          <w:b/>
          <w:bCs/>
          <w:color w:val="000000"/>
          <w:kern w:val="0"/>
          <w:lang w:eastAsia="de-DE"/>
          <w14:ligatures w14:val="none"/>
        </w:rPr>
        <w:t>Hinweis:</w:t>
      </w:r>
      <w:r w:rsidRPr="006724CE">
        <w:rPr>
          <w:rFonts w:ascii="TT Norms Pro VF" w:eastAsia="Times New Roman" w:hAnsi="TT Norms Pro VF" w:cs="Times New Roman"/>
          <w:color w:val="000000"/>
          <w:kern w:val="0"/>
          <w:lang w:eastAsia="de-DE"/>
          <w14:ligatures w14:val="none"/>
        </w:rPr>
        <w:br/>
        <w:t>Beachte bitte das neueste Produktdatenblatt als verbindliche Informationsquelle.</w:t>
      </w:r>
    </w:p>
    <w:sectPr w:rsidR="00B46001" w:rsidRPr="00E633B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T Norms Pro VF">
    <w:panose1 w:val="020B0103030101020204"/>
    <w:charset w:val="00"/>
    <w:family w:val="swiss"/>
    <w:notTrueType/>
    <w:pitch w:val="variable"/>
    <w:sig w:usb0="A00002FF" w:usb1="5000A4F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81402"/>
    <w:multiLevelType w:val="multilevel"/>
    <w:tmpl w:val="9AC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101DB"/>
    <w:multiLevelType w:val="multilevel"/>
    <w:tmpl w:val="D6C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580341">
    <w:abstractNumId w:val="0"/>
  </w:num>
  <w:num w:numId="2" w16cid:durableId="17786779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4CE"/>
    <w:rsid w:val="001D071C"/>
    <w:rsid w:val="00396160"/>
    <w:rsid w:val="004C5F82"/>
    <w:rsid w:val="005246F2"/>
    <w:rsid w:val="006525E5"/>
    <w:rsid w:val="006724CE"/>
    <w:rsid w:val="008F5ED0"/>
    <w:rsid w:val="00B46001"/>
    <w:rsid w:val="00BF0376"/>
    <w:rsid w:val="00C83650"/>
    <w:rsid w:val="00CE1B62"/>
    <w:rsid w:val="00E633B2"/>
    <w:rsid w:val="00FF5447"/>
    <w:rsid w:val="02B8373E"/>
    <w:rsid w:val="02FFA3D8"/>
    <w:rsid w:val="038AC478"/>
    <w:rsid w:val="06C2E830"/>
    <w:rsid w:val="0D8438CD"/>
    <w:rsid w:val="1291C2C6"/>
    <w:rsid w:val="133F8CE4"/>
    <w:rsid w:val="13EFEAEA"/>
    <w:rsid w:val="13FA0913"/>
    <w:rsid w:val="14ED0A42"/>
    <w:rsid w:val="1541A836"/>
    <w:rsid w:val="1743D105"/>
    <w:rsid w:val="17B02AEB"/>
    <w:rsid w:val="18E598BC"/>
    <w:rsid w:val="1BFBB34B"/>
    <w:rsid w:val="1D0203B4"/>
    <w:rsid w:val="1E9F518C"/>
    <w:rsid w:val="1EAEE660"/>
    <w:rsid w:val="1F2146B8"/>
    <w:rsid w:val="2081AB92"/>
    <w:rsid w:val="20F08DE6"/>
    <w:rsid w:val="2202D764"/>
    <w:rsid w:val="222CBDA3"/>
    <w:rsid w:val="22B58703"/>
    <w:rsid w:val="22BC7EF1"/>
    <w:rsid w:val="23086207"/>
    <w:rsid w:val="23E1FE05"/>
    <w:rsid w:val="25BBFF47"/>
    <w:rsid w:val="26A45788"/>
    <w:rsid w:val="285D4489"/>
    <w:rsid w:val="292697AA"/>
    <w:rsid w:val="2932FC41"/>
    <w:rsid w:val="29FF7F7C"/>
    <w:rsid w:val="2AFB179D"/>
    <w:rsid w:val="2B6BFCB4"/>
    <w:rsid w:val="2B968020"/>
    <w:rsid w:val="2C9F9B3C"/>
    <w:rsid w:val="2D2E5551"/>
    <w:rsid w:val="2DDB54F6"/>
    <w:rsid w:val="2EA21B7A"/>
    <w:rsid w:val="2EEBD089"/>
    <w:rsid w:val="31A5D2F4"/>
    <w:rsid w:val="3286D429"/>
    <w:rsid w:val="33AF84E3"/>
    <w:rsid w:val="361772E0"/>
    <w:rsid w:val="36DB8339"/>
    <w:rsid w:val="38DA874B"/>
    <w:rsid w:val="38DCD309"/>
    <w:rsid w:val="38F7B02F"/>
    <w:rsid w:val="3A0474DF"/>
    <w:rsid w:val="3A6724EC"/>
    <w:rsid w:val="3B347291"/>
    <w:rsid w:val="3C30441B"/>
    <w:rsid w:val="3CE954D1"/>
    <w:rsid w:val="41207CDB"/>
    <w:rsid w:val="42710D05"/>
    <w:rsid w:val="42DE5C32"/>
    <w:rsid w:val="43DEB315"/>
    <w:rsid w:val="443B481B"/>
    <w:rsid w:val="4573D8D6"/>
    <w:rsid w:val="45B13AC9"/>
    <w:rsid w:val="483A4631"/>
    <w:rsid w:val="484121EF"/>
    <w:rsid w:val="498183A8"/>
    <w:rsid w:val="4DA15B69"/>
    <w:rsid w:val="4EC14C07"/>
    <w:rsid w:val="4ECF15D5"/>
    <w:rsid w:val="50373FE8"/>
    <w:rsid w:val="5059626F"/>
    <w:rsid w:val="505E8CB4"/>
    <w:rsid w:val="506DAC47"/>
    <w:rsid w:val="507D8451"/>
    <w:rsid w:val="5321C29E"/>
    <w:rsid w:val="53FB8812"/>
    <w:rsid w:val="553835E3"/>
    <w:rsid w:val="57001FD4"/>
    <w:rsid w:val="58FB93C0"/>
    <w:rsid w:val="59416FF2"/>
    <w:rsid w:val="5DC82B6B"/>
    <w:rsid w:val="5EC2C88F"/>
    <w:rsid w:val="612E95D3"/>
    <w:rsid w:val="613BB88B"/>
    <w:rsid w:val="62125412"/>
    <w:rsid w:val="67668B53"/>
    <w:rsid w:val="686A4CB7"/>
    <w:rsid w:val="69DC7F37"/>
    <w:rsid w:val="6B595E0D"/>
    <w:rsid w:val="6E462792"/>
    <w:rsid w:val="70B81332"/>
    <w:rsid w:val="70EF319D"/>
    <w:rsid w:val="719F9B45"/>
    <w:rsid w:val="7593F958"/>
    <w:rsid w:val="79461A7B"/>
    <w:rsid w:val="79B425D4"/>
    <w:rsid w:val="7B148027"/>
    <w:rsid w:val="7BD3C2A2"/>
    <w:rsid w:val="7C5362B2"/>
    <w:rsid w:val="7C6F8D71"/>
    <w:rsid w:val="7DF650BC"/>
    <w:rsid w:val="7FE292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111C892"/>
  <w15:chartTrackingRefBased/>
  <w15:docId w15:val="{2FE5F6BD-0844-7D41-B402-5FA0FAA77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2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72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724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24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24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24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24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24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24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24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724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724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24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24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24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24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24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24CE"/>
    <w:rPr>
      <w:rFonts w:eastAsiaTheme="majorEastAsia" w:cstheme="majorBidi"/>
      <w:color w:val="272727" w:themeColor="text1" w:themeTint="D8"/>
    </w:rPr>
  </w:style>
  <w:style w:type="paragraph" w:styleId="Titel">
    <w:name w:val="Title"/>
    <w:basedOn w:val="Standard"/>
    <w:next w:val="Standard"/>
    <w:link w:val="TitelZchn"/>
    <w:uiPriority w:val="10"/>
    <w:qFormat/>
    <w:rsid w:val="00672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24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24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24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24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24CE"/>
    <w:rPr>
      <w:i/>
      <w:iCs/>
      <w:color w:val="404040" w:themeColor="text1" w:themeTint="BF"/>
    </w:rPr>
  </w:style>
  <w:style w:type="paragraph" w:styleId="Listenabsatz">
    <w:name w:val="List Paragraph"/>
    <w:basedOn w:val="Standard"/>
    <w:uiPriority w:val="34"/>
    <w:qFormat/>
    <w:rsid w:val="006724CE"/>
    <w:pPr>
      <w:ind w:left="720"/>
      <w:contextualSpacing/>
    </w:pPr>
  </w:style>
  <w:style w:type="character" w:styleId="IntensiveHervorhebung">
    <w:name w:val="Intense Emphasis"/>
    <w:basedOn w:val="Absatz-Standardschriftart"/>
    <w:uiPriority w:val="21"/>
    <w:qFormat/>
    <w:rsid w:val="006724CE"/>
    <w:rPr>
      <w:i/>
      <w:iCs/>
      <w:color w:val="0F4761" w:themeColor="accent1" w:themeShade="BF"/>
    </w:rPr>
  </w:style>
  <w:style w:type="paragraph" w:styleId="IntensivesZitat">
    <w:name w:val="Intense Quote"/>
    <w:basedOn w:val="Standard"/>
    <w:next w:val="Standard"/>
    <w:link w:val="IntensivesZitatZchn"/>
    <w:uiPriority w:val="30"/>
    <w:qFormat/>
    <w:rsid w:val="00672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24CE"/>
    <w:rPr>
      <w:i/>
      <w:iCs/>
      <w:color w:val="0F4761" w:themeColor="accent1" w:themeShade="BF"/>
    </w:rPr>
  </w:style>
  <w:style w:type="character" w:styleId="IntensiverVerweis">
    <w:name w:val="Intense Reference"/>
    <w:basedOn w:val="Absatz-Standardschriftart"/>
    <w:uiPriority w:val="32"/>
    <w:qFormat/>
    <w:rsid w:val="006724CE"/>
    <w:rPr>
      <w:b/>
      <w:bCs/>
      <w:smallCaps/>
      <w:color w:val="0F4761" w:themeColor="accent1" w:themeShade="BF"/>
      <w:spacing w:val="5"/>
    </w:rPr>
  </w:style>
  <w:style w:type="paragraph" w:styleId="StandardWeb">
    <w:name w:val="Normal (Web)"/>
    <w:basedOn w:val="Standard"/>
    <w:uiPriority w:val="99"/>
    <w:semiHidden/>
    <w:unhideWhenUsed/>
    <w:rsid w:val="006724C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724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97a860-2161-43f5-b39e-5d93d2829195">
      <Terms xmlns="http://schemas.microsoft.com/office/infopath/2007/PartnerControls"/>
    </lcf76f155ced4ddcb4097134ff3c332f>
    <TaxCatchAll xmlns="8b78f789-b605-4343-bba0-3ae6b73a0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BCF4B27FEE6F24882A5D42B3969C306" ma:contentTypeVersion="12" ma:contentTypeDescription="Ein neues Dokument erstellen." ma:contentTypeScope="" ma:versionID="598c02d1ca8eb6f8ed25399075cccd6b">
  <xsd:schema xmlns:xsd="http://www.w3.org/2001/XMLSchema" xmlns:xs="http://www.w3.org/2001/XMLSchema" xmlns:p="http://schemas.microsoft.com/office/2006/metadata/properties" xmlns:ns2="8297a860-2161-43f5-b39e-5d93d2829195" xmlns:ns3="8b78f789-b605-4343-bba0-3ae6b73a0f39" targetNamespace="http://schemas.microsoft.com/office/2006/metadata/properties" ma:root="true" ma:fieldsID="4efc0a96f5278d6967ed8b43d853324f" ns2:_="" ns3:_="">
    <xsd:import namespace="8297a860-2161-43f5-b39e-5d93d2829195"/>
    <xsd:import namespace="8b78f789-b605-4343-bba0-3ae6b73a0f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7a860-2161-43f5-b39e-5d93d282919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15f37d8c-aa2d-4400-a47f-a8c8426168e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78f789-b605-4343-bba0-3ae6b73a0f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9131f36-36e7-496e-a037-a0aea93087ca}" ma:internalName="TaxCatchAll" ma:showField="CatchAllData" ma:web="8b78f789-b605-4343-bba0-3ae6b73a0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DEA9C-12EB-4926-A068-FBFC3993BE2D}">
  <ds:schemaRefs>
    <ds:schemaRef ds:uri="http://schemas.microsoft.com/sharepoint/v3/contenttype/forms"/>
  </ds:schemaRefs>
</ds:datastoreItem>
</file>

<file path=customXml/itemProps2.xml><?xml version="1.0" encoding="utf-8"?>
<ds:datastoreItem xmlns:ds="http://schemas.openxmlformats.org/officeDocument/2006/customXml" ds:itemID="{CEFF240C-59C0-4889-A889-DB78637B9A95}">
  <ds:schemaRefs>
    <ds:schemaRef ds:uri="http://schemas.microsoft.com/office/2006/metadata/properties"/>
    <ds:schemaRef ds:uri="http://schemas.microsoft.com/office/infopath/2007/PartnerControls"/>
    <ds:schemaRef ds:uri="8297a860-2161-43f5-b39e-5d93d2829195"/>
    <ds:schemaRef ds:uri="8b78f789-b605-4343-bba0-3ae6b73a0f39"/>
  </ds:schemaRefs>
</ds:datastoreItem>
</file>

<file path=customXml/itemProps3.xml><?xml version="1.0" encoding="utf-8"?>
<ds:datastoreItem xmlns:ds="http://schemas.openxmlformats.org/officeDocument/2006/customXml" ds:itemID="{AE56B152-724A-41DF-9370-F1A8C751D3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7a860-2161-43f5-b39e-5d93d2829195"/>
    <ds:schemaRef ds:uri="8b78f789-b605-4343-bba0-3ae6b73a0f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622</Words>
  <Characters>3925</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Hein</dc:creator>
  <cp:keywords/>
  <dc:description/>
  <cp:lastModifiedBy>Annika Blass</cp:lastModifiedBy>
  <cp:revision>2</cp:revision>
  <dcterms:created xsi:type="dcterms:W3CDTF">2026-08-19T11:14:00Z</dcterms:created>
  <dcterms:modified xsi:type="dcterms:W3CDTF">2026-08-19T11:14:00Z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0x010100FBCF4B27FEE6F24882A5D42B3969C306</vt:lpwstr>
  </property>
  <property fmtid="{D5CDD505-2E9C-101B-9397-08002B2CF9AE}" pid="3" name="MediaServiceImageTags">
    <vt:lpwstr/>
  </property>
</Properties>
</file>