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8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996"/>
        <w:gridCol w:w="1265"/>
        <w:gridCol w:w="4174"/>
        <w:gridCol w:w="4048"/>
      </w:tblGrid>
      <w:tr w:rsidR="004D4EDE" w:rsidRPr="004D4EDE" w:rsidTr="009D11E9">
        <w:trPr>
          <w:trHeight w:val="1575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т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ермин</w:t>
            </w:r>
            <w:proofErr w:type="spell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(понятие)</w:t>
            </w:r>
          </w:p>
        </w:tc>
        <w:tc>
          <w:tcPr>
            <w:tcW w:w="41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Определение</w:t>
            </w:r>
          </w:p>
        </w:tc>
        <w:tc>
          <w:tcPr>
            <w:tcW w:w="4048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4D4EDE" w:rsidRPr="004D4EDE" w:rsidRDefault="004D4EDE" w:rsidP="00FC0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ИСТОЧН ИК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(ГОСТ, ОСТ, РД,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</w:p>
          <w:p w:rsidR="004D4EDE" w:rsidRPr="004D4EDE" w:rsidRDefault="004D4EDE" w:rsidP="00FC0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учебник, пособие,</w:t>
            </w:r>
          </w:p>
          <w:p w:rsidR="004D4EDE" w:rsidRPr="004D4EDE" w:rsidRDefault="004D4EDE" w:rsidP="00FC0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статья,</w:t>
            </w:r>
          </w:p>
          <w:p w:rsidR="004D4EDE" w:rsidRPr="004D4EDE" w:rsidRDefault="004D4EDE" w:rsidP="00FC0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lang w:eastAsia="ru-RU"/>
              </w:rPr>
              <w:t>др. источники)</w:t>
            </w:r>
          </w:p>
        </w:tc>
      </w:tr>
      <w:tr w:rsidR="004D4EDE" w:rsidRPr="004D4EDE" w:rsidTr="009D11E9">
        <w:trPr>
          <w:trHeight w:val="126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п.п</w:t>
            </w:r>
            <w:proofErr w:type="spell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4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9D11E9">
        <w:trPr>
          <w:trHeight w:val="31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4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9D11E9">
        <w:trPr>
          <w:trHeight w:val="960"/>
        </w:trPr>
        <w:tc>
          <w:tcPr>
            <w:tcW w:w="1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4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441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12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Защита информации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Деятельность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</w:t>
            </w:r>
            <w:proofErr w:type="gramEnd"/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78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 w:colFirst="2" w:colLast="2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предотвращению утечки защищаемой информации,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несанкционированных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и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непреднамеренных воздействий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[1]</w:t>
            </w:r>
          </w:p>
        </w:tc>
      </w:tr>
      <w:tr w:rsidR="004D4EDE" w:rsidRPr="004D4EDE" w:rsidTr="004D4EDE">
        <w:trPr>
          <w:trHeight w:val="15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на защищаемую информацию.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598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Защита информации представляет собой принятие правовых, организационных и технических мер, направленных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на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: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bookmarkEnd w:id="0"/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1)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обеспечение  защиты информации от неправомерного доступа,  уничтожения, модифицирования,  блокирования, копирования, предоставления, распространения, а также от иных неправомерных действий в отношении такой информации;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84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2)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соблюдение конфиденциальности информации ограниченного доступа;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289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3)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реализацию права на доступ к информации.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4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960"/>
        </w:trPr>
        <w:tc>
          <w:tcPr>
            <w:tcW w:w="1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[2]</w:t>
            </w:r>
          </w:p>
        </w:tc>
      </w:tr>
      <w:tr w:rsidR="004D4EDE" w:rsidRPr="004D4EDE" w:rsidTr="004D4EDE">
        <w:trPr>
          <w:trHeight w:val="346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Система защиты информации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Совокупность организационных мероприятий, технических, программных и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41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lastRenderedPageBreak/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lang w:eastAsia="ru-RU"/>
              </w:rPr>
              <w:t>автоматизированной системы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программно-технических средств защиты информации и средств контроля эффективности защиты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480"/>
        </w:trPr>
        <w:tc>
          <w:tcPr>
            <w:tcW w:w="1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информации.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[3]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6300"/>
        </w:trPr>
        <w:tc>
          <w:tcPr>
            <w:tcW w:w="1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Система защиты информации АС должна обеспечивать комплексное решение задач по защите информации от следующих угроз:</w:t>
            </w:r>
          </w:p>
        </w:tc>
        <w:tc>
          <w:tcPr>
            <w:tcW w:w="40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5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2895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—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несанкционированный доступ (НСД) к информации АС;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21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—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утечка защищаемой информации по техническим каналам;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2895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—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несанкционированные воздействия на информацию (на</w:t>
            </w:r>
            <w:proofErr w:type="gramEnd"/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5985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носители информации);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2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3"/>
                <w:szCs w:val="33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3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96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[4]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Безопасность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Под информационной безопасностью РФ понимается состояние защищённости её национальных интересов и информационной сфере, определяющей совокупность интересов личности, общества и государства. В частности, среди основных задач, кои необходимо решить в области безопасности является обеспечение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эффективного</w:t>
            </w:r>
            <w:proofErr w:type="gramEnd"/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157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lang w:eastAsia="ru-RU"/>
              </w:rPr>
              <w:t>компьютерной информации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функционирования электронного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бизнеса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0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3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96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[5]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Практика предотвращения несанкционированного  доступа, использования, раскрытия, искажения, изменения, исследования, записи или уничтожения информации. Это универсальное понятие применяется вне зависимости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от</w:t>
            </w:r>
            <w:proofErr w:type="gramEnd"/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94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формы, которую могут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960"/>
        </w:trPr>
        <w:tc>
          <w:tcPr>
            <w:tcW w:w="1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принимать данные.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[6]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3780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Метод защиты</w:t>
            </w:r>
          </w:p>
        </w:tc>
        <w:tc>
          <w:tcPr>
            <w:tcW w:w="41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На практике используют несколько групп методов защиты, в том числе:</w:t>
            </w:r>
          </w:p>
        </w:tc>
        <w:tc>
          <w:tcPr>
            <w:tcW w:w="40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5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lastRenderedPageBreak/>
              <w:t>4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504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препятствие на пути предполагаемого похитителя, которое создают физическими и программными средствами;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09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управление, или оказание воздействия на элементы защищаемой системы;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18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маскировка, или преобразование данных, обычно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18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– криптографическими способами;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регламентация, или разработка нормативн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о-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правовых актов и набора мер, направленных на то, чтобы побудить пользователей, взаимодействующих с базами данных, к должному поведению;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630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принуждение, или создание таких условий, при которых пользователь будет вынужден соблюдать правила обращения с данными;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15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побуждение, или создание условий, которые мотивируют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126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пользователей к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должному</w:t>
            </w:r>
            <w:proofErr w:type="gramEnd"/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6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поведению.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5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[7]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4095"/>
        </w:trPr>
        <w:tc>
          <w:tcPr>
            <w:tcW w:w="1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Методами и способами защиты информации от несанкционированного доступа являются:</w:t>
            </w:r>
          </w:p>
        </w:tc>
        <w:tc>
          <w:tcPr>
            <w:tcW w:w="40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-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разрешительной системы допуска пользователей (обслуживающего персонала) к информационным ресурсам, информационной системе и связанным с ее использованием работам, документам;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-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ограничение доступа пользователей в помещения, где размещены технические средства, позволяющие осуществлять обработку персональных данных, а также хранятся носители информации;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-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разграничение доступа пользователей и обслуживающего персонала к информационным ресурсам, программным средствам обработки (передачи) и защиты информации;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785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 xml:space="preserve">-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 действий пользователей и обслуживающего персонала, контроль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78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несанкционированного доступа и действий пользователей, обслуживающего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1575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персонала и посторонних лиц;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0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3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[8]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2520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Механизм защиты</w:t>
            </w:r>
          </w:p>
        </w:tc>
        <w:tc>
          <w:tcPr>
            <w:tcW w:w="41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 </w:t>
            </w:r>
            <w:proofErr w:type="spell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NetWare</w:t>
            </w:r>
            <w:proofErr w:type="spell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реализованы три уровня защиты данных</w:t>
            </w:r>
          </w:p>
        </w:tc>
        <w:tc>
          <w:tcPr>
            <w:tcW w:w="40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220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Здесь под аутентификацией понимается: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5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52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процесс подтверждения подлинности клиента при его подключении к сети,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510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процесс установления подлинности пакетов, передаваемых между сервером и рабочей станцией.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Права по отношению к файлу (каталогу) определяют, какие операции пользователь может выполнить с файлом (каталогом). Администратор может для каждого клиента сети определить права по отношению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157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к любому сетевому файлу или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6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каталогу.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4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[9]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Для защиты компьютерных систем от неправомерного вмешательства в процессы их функционирования и НСД к информации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используются следующие основные методы зашиты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:</w:t>
            </w:r>
          </w:p>
        </w:tc>
        <w:tc>
          <w:tcPr>
            <w:tcW w:w="404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5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4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636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идентификация (именование и  опознавание), аутентификация (подтверждение подлинности) пользователей системы;</w:t>
            </w:r>
          </w:p>
        </w:tc>
        <w:tc>
          <w:tcPr>
            <w:tcW w:w="4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46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6"/>
                <w:lang w:eastAsia="ru-RU"/>
              </w:rPr>
              <w:t> </w:t>
            </w:r>
          </w:p>
        </w:tc>
        <w:tc>
          <w:tcPr>
            <w:tcW w:w="4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604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разграничение доступа пользователей к ресурсам системы и авторизация (присвоение полномочий) пользователям;</w:t>
            </w:r>
          </w:p>
        </w:tc>
        <w:tc>
          <w:tcPr>
            <w:tcW w:w="4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1020"/>
        </w:trPr>
        <w:tc>
          <w:tcPr>
            <w:tcW w:w="1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регистрация и</w:t>
            </w:r>
          </w:p>
        </w:tc>
        <w:tc>
          <w:tcPr>
            <w:tcW w:w="40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2820"/>
        </w:trPr>
        <w:tc>
          <w:tcPr>
            <w:tcW w:w="1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оперативное оповещение о событиях, происходящих в системе; (аудит)</w:t>
            </w:r>
          </w:p>
        </w:tc>
        <w:tc>
          <w:tcPr>
            <w:tcW w:w="40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[10]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4470"/>
        </w:trPr>
        <w:tc>
          <w:tcPr>
            <w:tcW w:w="1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криптографическое закрытие хранимых и передаваемых по каналам связи данных;</w:t>
            </w:r>
          </w:p>
        </w:tc>
        <w:tc>
          <w:tcPr>
            <w:tcW w:w="40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155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контроль целостности и аутентичности (подлинности и авторства) данных;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3525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выявление и нейтрализация действий компьютерных вирусов;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2895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затирание остаточной информации на носителях;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2895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выявление уязвимостей (слабых мест) системы;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изоляция (защита периметра) компьютерных сетей (фильтрация трафика, скрытие внутренней структуры и адресации, противодействие атакам на внутренние ресурсы и т.д.);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258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обнаружение атак и оперативное реагирование.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1635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Резервное копирование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102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Маскировка.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8192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Защита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от</w:t>
            </w:r>
            <w:proofErr w:type="gramEnd"/>
          </w:p>
        </w:tc>
        <w:tc>
          <w:tcPr>
            <w:tcW w:w="417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Это программные и/или аппаратные средства, позволяющие предотвратить попытки несанкционированного доступа, такие как неавторизованный физический доступ, доступ к файлам, хранящимся на компьютере, уничтожение конфиденциальных данных.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126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lang w:eastAsia="ru-RU"/>
              </w:rPr>
              <w:t>несанкционированного доступа</w:t>
            </w:r>
          </w:p>
        </w:tc>
        <w:tc>
          <w:tcPr>
            <w:tcW w:w="41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[11]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Средства защиты от несанкционированного доступа (СЗИ от НСД) - программные, технические или программн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о-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технические средства, предназначенные для предотвращения или существенного затруднения</w:t>
            </w:r>
          </w:p>
        </w:tc>
        <w:tc>
          <w:tcPr>
            <w:tcW w:w="40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1575"/>
        </w:trPr>
        <w:tc>
          <w:tcPr>
            <w:tcW w:w="1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несанкционированного доступа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к</w:t>
            </w:r>
            <w:proofErr w:type="gramEnd"/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645"/>
        </w:trPr>
        <w:tc>
          <w:tcPr>
            <w:tcW w:w="1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информации.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2205"/>
        </w:trPr>
        <w:tc>
          <w:tcPr>
            <w:tcW w:w="1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СЗИ от НСД может выполнять функции</w:t>
            </w:r>
          </w:p>
        </w:tc>
        <w:tc>
          <w:tcPr>
            <w:tcW w:w="40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5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84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идентификация и аутентификация пользователей и устройств;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[12]</w:t>
            </w:r>
          </w:p>
        </w:tc>
      </w:tr>
      <w:tr w:rsidR="004D4EDE" w:rsidRPr="004D4EDE" w:rsidTr="004D4EDE">
        <w:trPr>
          <w:trHeight w:val="258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регистрация запуска программ и процессов;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155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реализация необходимых методов, типов и правил разграничения доступа;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525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управление информационными потоками между устройствами;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291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8"/>
                <w:szCs w:val="28"/>
                <w:lang w:eastAsia="ru-RU"/>
              </w:rPr>
              <w:t>-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14"/>
                <w:szCs w:val="14"/>
                <w:lang w:eastAsia="ru-RU"/>
              </w:rPr>
              <w:t xml:space="preserve">                     </w:t>
            </w: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szCs w:val="24"/>
                <w:lang w:eastAsia="ru-RU"/>
              </w:rPr>
              <w:t>учет носителей информации и другие функции.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15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12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Фактор, воздействующий на защищаемую информацию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Явление, действие или процесс, результатом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которых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могут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252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быть утечка, искажение, уничтожение защищаемой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724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информации, блокирование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[13]</w:t>
            </w:r>
          </w:p>
        </w:tc>
      </w:tr>
      <w:tr w:rsidR="004D4EDE" w:rsidRPr="004D4EDE" w:rsidTr="004D4EDE">
        <w:trPr>
          <w:trHeight w:val="645"/>
        </w:trPr>
        <w:tc>
          <w:tcPr>
            <w:tcW w:w="1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доступа к ней.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1890"/>
        </w:trPr>
        <w:tc>
          <w:tcPr>
            <w:tcW w:w="19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12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Под факторами, воздействующими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на</w:t>
            </w:r>
            <w:proofErr w:type="gramEnd"/>
          </w:p>
        </w:tc>
        <w:tc>
          <w:tcPr>
            <w:tcW w:w="40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7560"/>
        </w:trPr>
        <w:tc>
          <w:tcPr>
            <w:tcW w:w="1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защищаемую информацию, подразумевают явления, действия или процессы, результатом которых могут быть утечка, искажение, уничтожение защищаемой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2205"/>
        </w:trPr>
        <w:tc>
          <w:tcPr>
            <w:tcW w:w="1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информации или блокирование доступа к ней.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450"/>
        </w:trPr>
        <w:tc>
          <w:tcPr>
            <w:tcW w:w="1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3780"/>
        </w:trPr>
        <w:tc>
          <w:tcPr>
            <w:tcW w:w="1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Различают объективные и субъективные факторы и в каждом классе выделяют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6615"/>
        </w:trPr>
        <w:tc>
          <w:tcPr>
            <w:tcW w:w="1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внешние и внутренние факторы. Подробный перечень факторов можно найти в ГОСТ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51275- 2006 (взамен ГОСТ Р 51275-99) ,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6615"/>
        </w:trPr>
        <w:tc>
          <w:tcPr>
            <w:tcW w:w="1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который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распространяется на требования по организации ЗИ при создании и эксплуатации объектов информатизации, используемых в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645"/>
        </w:trPr>
        <w:tc>
          <w:tcPr>
            <w:tcW w:w="19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различных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3780"/>
        </w:trPr>
        <w:tc>
          <w:tcPr>
            <w:tcW w:w="1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областях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деятельности (обороны, экономики, науки и других областях).</w:t>
            </w:r>
          </w:p>
        </w:tc>
        <w:tc>
          <w:tcPr>
            <w:tcW w:w="40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[14]</w:t>
            </w:r>
          </w:p>
        </w:tc>
      </w:tr>
      <w:tr w:rsidR="004D4EDE" w:rsidRPr="004D4EDE" w:rsidTr="004D4EDE">
        <w:trPr>
          <w:trHeight w:val="45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4"/>
                <w:lang w:eastAsia="ru-RU"/>
              </w:rPr>
              <w:t> 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Значение  некоторых используемых терминов: побочное электромагнитное излучение – излучение, возникающее при работе технических средств обработки информации; паразитное электромагнитное излучение – излучение, вызванное паразитной генерацией в электрических цепях технических средств обработки информации; «маскарад» – маскировка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под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зарегистрированного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3795"/>
        </w:trPr>
        <w:tc>
          <w:tcPr>
            <w:tcW w:w="1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пользователя.</w:t>
            </w:r>
          </w:p>
        </w:tc>
        <w:tc>
          <w:tcPr>
            <w:tcW w:w="40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12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lang w:eastAsia="ru-RU"/>
              </w:rPr>
              <w:t>Администратор защиты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Администратор безопасности является лицом, выполняющим функции по обеспечению безопасности информации, обрабатываемой, передаваемой и хранимой при помощи средств вычислительной техники, в пределах своей зоны ответственности.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94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Изменение зоны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ответственности администратора безопасности производится приказом руководителя СИБ в случае изменения организационной структуры или по предложению СИБ.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[15]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Способы управления безопасностью информационных технологий</w:t>
            </w:r>
          </w:p>
        </w:tc>
        <w:tc>
          <w:tcPr>
            <w:tcW w:w="41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Процесс  управления безопасностью  информационных технологий основывается на принципах, изложенных в ИСО/МЭК 13335- 1,  и может быть реализован как в масштабе всей организации, так и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конкретной</w:t>
            </w:r>
          </w:p>
        </w:tc>
        <w:tc>
          <w:tcPr>
            <w:tcW w:w="40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126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ее части. На схеме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41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1) приведены основные этапы этого процесса, а также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показана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обратная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связь между результатами процесса и его отдельными частями. Такая обратная связь должна устанавливается по мере необходимости как в пределах продолжительности одного из этапов, так и после завершения одного или нескольких этапов.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09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Данная схема демонстрирует основные направления, рассматриваемые в настоящем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6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стандарте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8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7"/>
                <w:szCs w:val="37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7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[16]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Цели и стратегия безопасности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 качестве первого шага в процессе управления безопасностью информационных технологий необходимо рассмотреть вопрос о том, какой общий уровень риска является приемлемым для данной организации. Правильно выбранный уровень приемлемого риска и, соответственно, допустимый уровень безопасности являются ключевыми моментами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157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lang w:eastAsia="ru-RU"/>
              </w:rPr>
              <w:t>информационных технологий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успешного управления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6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безопасностью.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0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3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[17]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5040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Политика безопасности</w:t>
            </w:r>
          </w:p>
        </w:tc>
        <w:tc>
          <w:tcPr>
            <w:tcW w:w="417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Политика безопасности информационных технологий должна вырабатываться на основе содержания</w:t>
            </w:r>
          </w:p>
        </w:tc>
        <w:tc>
          <w:tcPr>
            <w:tcW w:w="40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w w:val="95"/>
                <w:sz w:val="24"/>
                <w:lang w:eastAsia="ru-RU"/>
              </w:rPr>
              <w:t>информационных технологий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стратегии и целей создания системы обеспечения безопасности. Важно сформировать политику безопасности и затем проводить ее в соответствии с направленностью деятельности организации, состоянием обеспечения безопасности, содержанием политики в области информационных технологий, а также с учетом положений законодательства и нормативных документов в области обеспечения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09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ind w:firstLineChars="500" w:firstLine="1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безопасности.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4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7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[18]</w:t>
            </w:r>
          </w:p>
        </w:tc>
      </w:tr>
      <w:tr w:rsidR="004D4EDE" w:rsidRPr="004D4EDE" w:rsidTr="004D4EDE">
        <w:trPr>
          <w:trHeight w:val="472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5"/>
                <w:szCs w:val="35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5"/>
                <w:lang w:eastAsia="ru-RU"/>
              </w:rPr>
              <w:t> </w:t>
            </w:r>
          </w:p>
        </w:tc>
        <w:tc>
          <w:tcPr>
            <w:tcW w:w="126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Основные варианты стратегии анализа риска организации</w:t>
            </w: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Прежде чем приступить  к любым действиям, связанным с анализом риска, организация должна иметь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535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lastRenderedPageBreak/>
              <w:t>12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стратегию проведения такого анализа, причем составные части этой стратегии (методы, способы и т.д.)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819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должны быть отражены в содержании политики обеспечения безопасности информационных технологий. Эти методы и критерии </w:t>
            </w: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выбора вариантов стратегии анализа риска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должны отвечать потребностям организации.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283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Стратегия анализа риска должна обеспечивать соответствие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69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выбранного варианта стратегии условиям осуществления деловых операций и приложения усилий по обеспечению      безопасности      в    тех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1575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областях</w:t>
            </w:r>
            <w:proofErr w:type="gramEnd"/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,      где      это     действительно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6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480"/>
        </w:trPr>
        <w:tc>
          <w:tcPr>
            <w:tcW w:w="199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7"/>
                <w:szCs w:val="37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37"/>
                <w:lang w:eastAsia="ru-RU"/>
              </w:rPr>
              <w:t> 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6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D4EDE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4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[19]</w:t>
            </w:r>
          </w:p>
        </w:tc>
      </w:tr>
      <w:tr w:rsidR="004D4EDE" w:rsidRPr="004D4EDE" w:rsidTr="004D4EDE">
        <w:trPr>
          <w:trHeight w:val="33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4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4D4EDE" w:rsidRPr="004D4EDE" w:rsidTr="004D4EDE">
        <w:trPr>
          <w:trHeight w:val="645"/>
        </w:trPr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lastRenderedPageBreak/>
              <w:t> 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4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необходимо.</w:t>
            </w:r>
          </w:p>
        </w:tc>
        <w:tc>
          <w:tcPr>
            <w:tcW w:w="4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4EDE" w:rsidRPr="004D4EDE" w:rsidRDefault="004D4EDE" w:rsidP="004D4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E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</w:tr>
    </w:tbl>
    <w:p w:rsidR="005704EE" w:rsidRPr="004D4EDE" w:rsidRDefault="005704EE" w:rsidP="004D4EDE"/>
    <w:sectPr w:rsidR="005704EE" w:rsidRPr="004D4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EDE"/>
    <w:rsid w:val="004D4EDE"/>
    <w:rsid w:val="005704EE"/>
    <w:rsid w:val="00C3770E"/>
    <w:rsid w:val="00C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4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4D4E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D4EDE"/>
    <w:rPr>
      <w:color w:val="800080"/>
      <w:u w:val="single"/>
    </w:rPr>
  </w:style>
  <w:style w:type="paragraph" w:customStyle="1" w:styleId="font5">
    <w:name w:val="font5"/>
    <w:basedOn w:val="a"/>
    <w:rsid w:val="004D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ont6">
    <w:name w:val="font6"/>
    <w:basedOn w:val="a"/>
    <w:rsid w:val="004D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  <w:lang w:eastAsia="ru-RU"/>
    </w:rPr>
  </w:style>
  <w:style w:type="paragraph" w:customStyle="1" w:styleId="xl65">
    <w:name w:val="xl65"/>
    <w:basedOn w:val="a"/>
    <w:rsid w:val="004D4ED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5"/>
      <w:szCs w:val="35"/>
      <w:lang w:eastAsia="ru-RU"/>
    </w:rPr>
  </w:style>
  <w:style w:type="paragraph" w:customStyle="1" w:styleId="xl66">
    <w:name w:val="xl66"/>
    <w:basedOn w:val="a"/>
    <w:rsid w:val="004D4ED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4D4ED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4D4ED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4D4EDE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4D4ED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5"/>
      <w:szCs w:val="35"/>
      <w:lang w:eastAsia="ru-RU"/>
    </w:rPr>
  </w:style>
  <w:style w:type="paragraph" w:customStyle="1" w:styleId="xl74">
    <w:name w:val="xl74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ind w:firstLineChars="50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xl77">
    <w:name w:val="xl77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0">
    <w:name w:val="xl80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1">
    <w:name w:val="xl81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xl83">
    <w:name w:val="xl83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Chars="50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4D4EDE"/>
    <w:pPr>
      <w:pBdr>
        <w:top w:val="single" w:sz="8" w:space="0" w:color="000000"/>
        <w:left w:val="single" w:sz="8" w:space="31" w:color="000000"/>
        <w:right w:val="single" w:sz="8" w:space="0" w:color="000000"/>
      </w:pBdr>
      <w:spacing w:before="100" w:beforeAutospacing="1" w:after="100" w:afterAutospacing="1" w:line="240" w:lineRule="auto"/>
      <w:ind w:firstLineChars="50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4D4EDE"/>
    <w:pPr>
      <w:pBdr>
        <w:left w:val="single" w:sz="8" w:space="31" w:color="000000"/>
        <w:right w:val="single" w:sz="8" w:space="0" w:color="000000"/>
      </w:pBdr>
      <w:spacing w:before="100" w:beforeAutospacing="1" w:after="100" w:afterAutospacing="1" w:line="240" w:lineRule="auto"/>
      <w:ind w:firstLineChars="50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4D4EDE"/>
    <w:pPr>
      <w:pBdr>
        <w:left w:val="single" w:sz="8" w:space="31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Chars="50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4D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4D4EDE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5"/>
      <w:szCs w:val="35"/>
      <w:lang w:eastAsia="ru-RU"/>
    </w:rPr>
  </w:style>
  <w:style w:type="paragraph" w:customStyle="1" w:styleId="xl90">
    <w:name w:val="xl90"/>
    <w:basedOn w:val="a"/>
    <w:rsid w:val="004D4EDE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xl91">
    <w:name w:val="xl91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customStyle="1" w:styleId="xl92">
    <w:name w:val="xl92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xl94">
    <w:name w:val="xl94"/>
    <w:basedOn w:val="a"/>
    <w:rsid w:val="004D4ED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"/>
    <w:rsid w:val="004D4ED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5"/>
      <w:szCs w:val="25"/>
      <w:lang w:eastAsia="ru-RU"/>
    </w:rPr>
  </w:style>
  <w:style w:type="paragraph" w:customStyle="1" w:styleId="xl97">
    <w:name w:val="xl97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xl99">
    <w:name w:val="xl99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0">
    <w:name w:val="xl100"/>
    <w:basedOn w:val="a"/>
    <w:rsid w:val="004D4EDE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5"/>
      <w:szCs w:val="35"/>
      <w:lang w:eastAsia="ru-RU"/>
    </w:rPr>
  </w:style>
  <w:style w:type="paragraph" w:customStyle="1" w:styleId="xl101">
    <w:name w:val="xl101"/>
    <w:basedOn w:val="a"/>
    <w:rsid w:val="004D4ED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"/>
    <w:rsid w:val="004D4ED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3">
    <w:name w:val="xl103"/>
    <w:basedOn w:val="a"/>
    <w:rsid w:val="004D4EDE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4">
    <w:name w:val="xl104"/>
    <w:basedOn w:val="a"/>
    <w:rsid w:val="004D4ED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"/>
    <w:rsid w:val="004D4ED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"/>
    <w:rsid w:val="004D4ED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"/>
    <w:rsid w:val="004D4ED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9">
    <w:name w:val="xl109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4"/>
      <w:szCs w:val="34"/>
      <w:lang w:eastAsia="ru-RU"/>
    </w:rPr>
  </w:style>
  <w:style w:type="paragraph" w:customStyle="1" w:styleId="xl110">
    <w:name w:val="xl110"/>
    <w:basedOn w:val="a"/>
    <w:rsid w:val="004D4ED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"/>
    <w:rsid w:val="004D4ED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"/>
    <w:rsid w:val="004D4ED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7"/>
      <w:szCs w:val="37"/>
      <w:lang w:eastAsia="ru-RU"/>
    </w:rPr>
  </w:style>
  <w:style w:type="paragraph" w:customStyle="1" w:styleId="xl114">
    <w:name w:val="xl114"/>
    <w:basedOn w:val="a"/>
    <w:rsid w:val="004D4ED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"/>
    <w:rsid w:val="004D4ED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4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4D4E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D4EDE"/>
    <w:rPr>
      <w:color w:val="800080"/>
      <w:u w:val="single"/>
    </w:rPr>
  </w:style>
  <w:style w:type="paragraph" w:customStyle="1" w:styleId="font5">
    <w:name w:val="font5"/>
    <w:basedOn w:val="a"/>
    <w:rsid w:val="004D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ont6">
    <w:name w:val="font6"/>
    <w:basedOn w:val="a"/>
    <w:rsid w:val="004D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  <w:lang w:eastAsia="ru-RU"/>
    </w:rPr>
  </w:style>
  <w:style w:type="paragraph" w:customStyle="1" w:styleId="xl65">
    <w:name w:val="xl65"/>
    <w:basedOn w:val="a"/>
    <w:rsid w:val="004D4ED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5"/>
      <w:szCs w:val="35"/>
      <w:lang w:eastAsia="ru-RU"/>
    </w:rPr>
  </w:style>
  <w:style w:type="paragraph" w:customStyle="1" w:styleId="xl66">
    <w:name w:val="xl66"/>
    <w:basedOn w:val="a"/>
    <w:rsid w:val="004D4ED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4D4ED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4D4ED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4D4EDE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4D4ED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5"/>
      <w:szCs w:val="35"/>
      <w:lang w:eastAsia="ru-RU"/>
    </w:rPr>
  </w:style>
  <w:style w:type="paragraph" w:customStyle="1" w:styleId="xl74">
    <w:name w:val="xl74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ind w:firstLineChars="50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xl77">
    <w:name w:val="xl77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0">
    <w:name w:val="xl80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81">
    <w:name w:val="xl81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xl83">
    <w:name w:val="xl83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Chars="50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4D4EDE"/>
    <w:pPr>
      <w:pBdr>
        <w:top w:val="single" w:sz="8" w:space="0" w:color="000000"/>
        <w:left w:val="single" w:sz="8" w:space="31" w:color="000000"/>
        <w:right w:val="single" w:sz="8" w:space="0" w:color="000000"/>
      </w:pBdr>
      <w:spacing w:before="100" w:beforeAutospacing="1" w:after="100" w:afterAutospacing="1" w:line="240" w:lineRule="auto"/>
      <w:ind w:firstLineChars="50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4D4EDE"/>
    <w:pPr>
      <w:pBdr>
        <w:left w:val="single" w:sz="8" w:space="31" w:color="000000"/>
        <w:right w:val="single" w:sz="8" w:space="0" w:color="000000"/>
      </w:pBdr>
      <w:spacing w:before="100" w:beforeAutospacing="1" w:after="100" w:afterAutospacing="1" w:line="240" w:lineRule="auto"/>
      <w:ind w:firstLineChars="50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4D4EDE"/>
    <w:pPr>
      <w:pBdr>
        <w:left w:val="single" w:sz="8" w:space="31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ind w:firstLineChars="50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4D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4D4EDE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5"/>
      <w:szCs w:val="35"/>
      <w:lang w:eastAsia="ru-RU"/>
    </w:rPr>
  </w:style>
  <w:style w:type="paragraph" w:customStyle="1" w:styleId="xl90">
    <w:name w:val="xl90"/>
    <w:basedOn w:val="a"/>
    <w:rsid w:val="004D4EDE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xl91">
    <w:name w:val="xl91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customStyle="1" w:styleId="xl92">
    <w:name w:val="xl92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xl94">
    <w:name w:val="xl94"/>
    <w:basedOn w:val="a"/>
    <w:rsid w:val="004D4ED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"/>
    <w:rsid w:val="004D4ED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5"/>
      <w:szCs w:val="25"/>
      <w:lang w:eastAsia="ru-RU"/>
    </w:rPr>
  </w:style>
  <w:style w:type="paragraph" w:customStyle="1" w:styleId="xl97">
    <w:name w:val="xl97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xl99">
    <w:name w:val="xl99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0">
    <w:name w:val="xl100"/>
    <w:basedOn w:val="a"/>
    <w:rsid w:val="004D4EDE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5"/>
      <w:szCs w:val="35"/>
      <w:lang w:eastAsia="ru-RU"/>
    </w:rPr>
  </w:style>
  <w:style w:type="paragraph" w:customStyle="1" w:styleId="xl101">
    <w:name w:val="xl101"/>
    <w:basedOn w:val="a"/>
    <w:rsid w:val="004D4ED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"/>
    <w:rsid w:val="004D4ED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3">
    <w:name w:val="xl103"/>
    <w:basedOn w:val="a"/>
    <w:rsid w:val="004D4EDE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4">
    <w:name w:val="xl104"/>
    <w:basedOn w:val="a"/>
    <w:rsid w:val="004D4ED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"/>
    <w:rsid w:val="004D4ED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"/>
    <w:rsid w:val="004D4ED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"/>
    <w:rsid w:val="004D4ED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"/>
    <w:rsid w:val="004D4EDE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109">
    <w:name w:val="xl109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4"/>
      <w:szCs w:val="34"/>
      <w:lang w:eastAsia="ru-RU"/>
    </w:rPr>
  </w:style>
  <w:style w:type="paragraph" w:customStyle="1" w:styleId="xl110">
    <w:name w:val="xl110"/>
    <w:basedOn w:val="a"/>
    <w:rsid w:val="004D4EDE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"/>
    <w:rsid w:val="004D4EDE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"/>
    <w:rsid w:val="004D4EDE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"/>
    <w:rsid w:val="004D4EDE"/>
    <w:pPr>
      <w:pBdr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37"/>
      <w:szCs w:val="37"/>
      <w:lang w:eastAsia="ru-RU"/>
    </w:rPr>
  </w:style>
  <w:style w:type="paragraph" w:customStyle="1" w:styleId="xl114">
    <w:name w:val="xl114"/>
    <w:basedOn w:val="a"/>
    <w:rsid w:val="004D4ED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"/>
    <w:rsid w:val="004D4EDE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41</Pages>
  <Words>1716</Words>
  <Characters>9784</Characters>
  <Application>Microsoft Office Word</Application>
  <DocSecurity>0</DocSecurity>
  <Lines>81</Lines>
  <Paragraphs>22</Paragraphs>
  <ScaleCrop>false</ScaleCrop>
  <Company>Microsoft</Company>
  <LinksUpToDate>false</LinksUpToDate>
  <CharactersWithSpaces>11478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OI109-2</dc:creator>
  <cp:lastModifiedBy>OI109-2</cp:lastModifiedBy>
  <cp:revision>1</cp:revision>
  <dcterms:created xsi:type="dcterms:W3CDTF">2020-09-30T07:51:00Z</dcterms:created>
  <dcterms:modified xsi:type="dcterms:W3CDTF">2020-09-30T07:57:00Z</dcterms:modified>
</cp:coreProperties>
</file>