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5A8B"/>
          <w:sz w:val="40"/>
          <w:szCs w:val="40"/>
        </w:rPr>
        <w:t xml:space="preserve">Golden Ridge Veterinary Group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Incident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ID: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RS-001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Effective Date: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February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Owner: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Office Manager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 Cycle: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Annual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1. Introduction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document establishes incident management practices for Golden Ridge Veterinary Group (GRVG). Effective incident management ensures that cybersecurity incidents are identified, triaged, categorized, escalated, and managed through to recovery in a coordinated and efficient manner.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document addresses the following NIST CSF 2.0 outcomes: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RS.MA-01: The incident response plan is executed in coordination with relevant third parties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RS.MA-02: Incident reports are triaged and validated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RS.MA-03: Incidents are categorized and prioritized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RS.MA-04: Incidents are escalated or elevated as needed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RS.MA-05: The criteria for initiating incident recovery are applied</w:t>
      </w:r>
    </w:p>
    <w:p>
      <w:pPr>
        <w:pStyle w:val="Heading1"/>
      </w:pPr>
      <w:r>
        <w:rPr>
          <w:b/>
          <w:bCs/>
        </w:rPr>
        <w:t xml:space="preserve">2. Incident Response Plan Execution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[RS.MA-01]</w:t>
      </w:r>
    </w:p>
    <w:p>
      <w:pPr>
        <w:pStyle w:val="Heading2"/>
      </w:pPr>
      <w:r>
        <w:rPr>
          <w:b/>
          <w:bCs/>
        </w:rPr>
        <w:t xml:space="preserve">2.1 Incident Response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Lead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response activities; make tactical decisions; communicate status; document incident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Manager (primary)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 resources; make strategic decisions; approve external communications; accept residual 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technical investigation and containment; implement technical remediation; advise on technical matters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CVA IT Solutions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Lead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Advise on clinical operations impact; coordinate clinical workarounds; DEA-related incidents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Veterinarian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For each declared incident, the Office Manager serves as Incident Lead unless otherwise designated by the Practice Owner.</w:t>
      </w:r>
    </w:p>
    <w:p>
      <w:pPr>
        <w:pStyle w:val="Heading2"/>
      </w:pPr>
      <w:r>
        <w:rPr>
          <w:b/>
          <w:bCs/>
        </w:rPr>
        <w:t xml:space="preserve">2.2 Third-Party Coordination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Third Party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in Incident Response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Engage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CVA IT Solutions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technical response; investigation; containment; remediation; forensics support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incidents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 Insurance Carrier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 guidance; approved vendor referrals; breach coach 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incidents; potential claims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Counsel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advice; notification requirements; regulatory guidance; privilege protection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breaches; regulatory issues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Law Enforcement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Criminal investigation support; reporting obligations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Criminal activity; significant breaches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Vendors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Coordination on vendor-related incidents; support for vendor system issues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Incidents involving vendor systems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Plan Activation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Upon incident declaration: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Detection systems automatically alert CVA IT Solutions and Office Manager per DE-002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Incident Lead is designated and assumes coordination responsibility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CVA IT Solutions engaged for technical response support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Incident tracking initiated (ticket created, incident log started)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Additional plans activated as needed (Business Continuity, Disaster Recovery, Data Breach Response)</w:t>
      </w:r>
    </w:p>
    <w:p>
      <w:pPr>
        <w:pStyle w:val="Heading2"/>
      </w:pPr>
      <w:r>
        <w:rPr>
          <w:b/>
          <w:bCs/>
        </w:rPr>
        <w:t xml:space="preserve">2.4 Related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Activated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Continuity Plan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causes significant operational disruption; need for manual workarounds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ID-003, Section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Disaster Recovery Plan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 require restoration from backup; infrastructure rebuild needed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ID-003, Section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Breach Response Plan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or suspected unauthorized access to sensitive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ID-003, Section 5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b/>
          <w:bCs/>
        </w:rPr>
        <w:t xml:space="preserve">3. Incident Triage and Validation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[RS.MA-02]</w:t>
      </w:r>
    </w:p>
    <w:p>
      <w:pPr>
        <w:pStyle w:val="Heading2"/>
      </w:pPr>
      <w:r>
        <w:rPr>
          <w:b/>
          <w:bCs/>
        </w:rPr>
        <w:t xml:space="preserve">3.1 Initial Triage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When an incident report is received, initial triage determines whether incident response is warranted: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6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and acknowledge incident report (automated alert, staff report, third-party notification)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CVA IT Solutions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report is cybersecurity-related (vs. IT support issue, false alarm)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CVA IT Solutions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Gather initial information (what, when, where, who reported, initial observations)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CVA IT Solutions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that incident criteria are met (see DE-002, Section 7.1)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CVA IT Solutions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preliminary severity based on initial information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CVA IT Solutions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Severity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Response 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attack in progress; widespread system compromise; confirmed data breach of sensitive data; complete loss of critical 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(within 1 hour)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malware on multiple systems; compromised privileged account; significant service disruption; potential data exposure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 (within 4 hours)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Malware on single endpoint (contained); compromised user account; limited service impact; policy violation with security implications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Unsuccessful attack attempt; minor policy violation; security event requiring investigation but no immediate 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24-48 hours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b/>
          <w:bCs/>
        </w:rPr>
        <w:t xml:space="preserve">4. Incident Categorization and Prioritization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[RS.MA-03]</w:t>
      </w:r>
    </w:p>
    <w:p>
      <w:pPr>
        <w:pStyle w:val="Heading2"/>
      </w:pPr>
      <w:r>
        <w:rPr>
          <w:b/>
          <w:bCs/>
        </w:rPr>
        <w:t xml:space="preserve">4.1 Incident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and Examples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Malware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Ransomware, viruses, trojans, spyware, cryptominers affecting GRVG systems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Compromise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access to user or service accounts; credential theft; MFA bypass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Breach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access, exfiltration, or exposure of sensitive data (client PII, patient records, financial data)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Email Compromise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account takeover; fraudulent communications; invoice/payment fraud attempts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Attacks causing service unavailability; resource exhaustion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Access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physical or logical access to systems, networks, or restricted areas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 Threat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 or negligent actions by employees, contractors, or trusted parties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Incident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incidents at vendors or partners affecting GRVG data or services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Prioritization Factors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Incidents are prioritized based on: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Scope: Number of affected systems, users, locations, and data volume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Impact: Effect on operations, data confidentiality, regulatory compliance, reputation, and finances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Time Sensitivity: Whether threat is active, spreading, or time-limited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Data Sensitivity: Classification of data involved (see ID-001, Section 7)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Regulatory Implications: Potential notification requirements or compliance violations</w:t>
      </w:r>
    </w:p>
    <w:p>
      <w:pPr>
        <w:pStyle w:val="Heading2"/>
      </w:pPr>
      <w:r>
        <w:rPr>
          <w:b/>
          <w:bCs/>
        </w:rPr>
        <w:t xml:space="preserve">4.3 Response Strategy Selection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Response strategy balances recovery speed with investigation needs: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Containment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threat; spreading malware; ongoing data exfiltration; priority is stopping harm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 Response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Contained threat; need to preserve evidence; investigation valuable for understanding attack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Monitored Observation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Low-severity; value in observing attacker behavior; threat isolated and controlled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For most GRVG incidents, immediate containment is the preferred strategy given limited resources and low tolerance for operational disruption.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Incident Escalation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[RS.MA-04]</w:t>
      </w:r>
    </w:p>
    <w:p>
      <w:pPr>
        <w:pStyle w:val="Heading2"/>
      </w:pPr>
      <w:r>
        <w:rPr>
          <w:b/>
          <w:bCs/>
        </w:rPr>
        <w:t xml:space="preserve">5.1 Escalation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Escalate 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declared incident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Manager (if not already aware)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or Critical severity incident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Owner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or suspected data breach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Owner; Legal Counsel; Cyber Insurance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affecting clinical operations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Veterinarian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DEA-related incident (controlled substances)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Veterinarian; Legal Counsel; DEA if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requires resources beyond normal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Owner (for resource authorization)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Criminal activity suspected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Owner; Legal Counsel; Law Enforcement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system incident affecting GRVG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contact; Office Manager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Incident Status Tracking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All ongoing incidents are tracked with the following information: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Incident ID and description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Category and severity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Current status (Active, Contained, Eradicated, Recovered, Closed)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Incident Lead and team members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Timeline of key events and actions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Current containment and remediation status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Next steps and blockers</w:t>
      </w:r>
    </w:p>
    <w:p>
      <w:pPr>
        <w:pStyle w:val="Heading2"/>
      </w:pPr>
      <w:r>
        <w:rPr>
          <w:b/>
          <w:bCs/>
        </w:rPr>
        <w:t xml:space="preserve">5.3 Status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Update Frequency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Recipients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2 hours during active response; daily until resolved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Owner, Office Manager, CVA IT Solutions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4 hours during active response; daily until resolved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Owner, Office Manager, CVA IT Solutions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during active response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Manager, CVA IT Solutions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Upon significant developments; at resolution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Manager, CVA IT Solutions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b/>
          <w:bCs/>
        </w:rPr>
        <w:t xml:space="preserve">6. Recovery Initiation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[RS.MA-05]</w:t>
      </w:r>
    </w:p>
    <w:p>
      <w:pPr>
        <w:pStyle w:val="Heading2"/>
      </w:pPr>
      <w:r>
        <w:rPr>
          <w:b/>
          <w:bCs/>
        </w:rPr>
        <w:t xml:space="preserve">6.1 Recovery Criteria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Incident recovery is initiated when the following criteria are met: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Contained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threat is stopped; attacker access is removed; malware is isolated or removed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Understood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systems and data identified with reasonable confidence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 Identified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attack vector understood sufficiently to prevent reoccurrence during recovery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Preserved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Necessary forensic evidence collected before recovery activities alter system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Plan Ready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for recovery documented; resources available; timing determined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6.2 Recovery Considerations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Before initiating recovery, the following are evaluated: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Operational Disruption: Recovery activities may cause additional downtime; schedule during lowest-impact windows when possible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Data Integrity: Verify backup integrity before restoration; ensure clean restore points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Security Hardening: Apply necessary patches, configuration changes, or additional controls before returning systems to production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Credential Reset: Reset compromised or potentially compromised credentials before restoring access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Monitoring: Enhanced monitoring in place to detect any reoccurrence</w:t>
      </w:r>
    </w:p>
    <w:p>
      <w:pPr>
        <w:pStyle w:val="Heading2"/>
      </w:pPr>
      <w:r>
        <w:rPr>
          <w:b/>
          <w:bCs/>
        </w:rPr>
        <w:t xml:space="preserve">6.3 Recovery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Recovery Authorization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Authorizer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Owner approval required before initiating recovery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Manager approval; Practice Owner notified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Medium/Low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CVA IT Solutions may proceed with Office Manager notification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CVA IT Solutions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b/>
          <w:bCs/>
        </w:rPr>
        <w:t xml:space="preserve">7.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680"/>
        <w:gridCol w:w="26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February 2026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[Author Name]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document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document is reviewed annually or when significant changes occur to incident management practices.</w:t>
      </w:r>
    </w:p>
    <w:p>
      <w:pPr>
        <w:pStyle w:val="Heading2"/>
      </w:pPr>
      <w:r>
        <w:rPr>
          <w:b/>
          <w:bCs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Practice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2E5A8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5A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2026-03-03T14:33:54.712Z</dcterms:created>
  <dcterms:modified xsi:type="dcterms:W3CDTF">2026-03-03T14:33:54.713Z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