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2E5A8B"/>
          <w:sz w:val="40"/>
          <w:szCs w:val="40"/>
        </w:rPr>
        <w:t xml:space="preserve">Golden Ridge Veterinary Group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Cybersecurity Supply Chain Risk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Document ID: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GOV-006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Version: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Effective Date: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February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Owner: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Practice Owner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Review Cycle: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Annual</w:t>
            </w:r>
          </w:p>
        </w:tc>
      </w:tr>
    </w:tbl>
    <w:p>
      <w:pPr>
        <w:spacing w:after="400"/>
      </w:pPr>
    </w:p>
    <w:p>
      <w:pPr>
        <w:pStyle w:val="Heading1"/>
      </w:pPr>
      <w:r>
        <w:rPr>
          <w:b/>
          <w:bCs/>
        </w:rPr>
        <w:t xml:space="preserve">1. Introduction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This document establishes the Cybersecurity Supply Chain Risk Management (C-SCRM) program for Golden Ridge Veterinary Group (GRVG). As a veterinary practice, GRVG relies on third-party suppliers for technology services, clinical operations, and business functions. Managing cybersecurity risks from these suppliers protects client data, maintains service availability, and supports our mission.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This document addresses NIST CSF 2.0 outcomes GV.SC-01 through GV.SC-10.</w:t>
      </w:r>
    </w:p>
    <w:p>
      <w:pPr>
        <w:pStyle w:val="Heading1"/>
      </w:pPr>
      <w:r>
        <w:rPr>
          <w:b/>
          <w:bCs/>
        </w:rPr>
        <w:t xml:space="preserve">2. Program Strategy and Objectives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[GV.SC-01]</w:t>
      </w:r>
    </w:p>
    <w:p>
      <w:pPr>
        <w:pStyle w:val="Heading2"/>
      </w:pPr>
      <w:r>
        <w:rPr>
          <w:b/>
          <w:bCs/>
        </w:rPr>
        <w:t xml:space="preserve">2.1 Program Strategy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GRVG's C-SCRM strategy focuses on managing risks from third-party providers proportionate to our size. We rely on reputable vendors with established security programs rather than building extensive in-house capabilities.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Strategic principles: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Prioritize critical suppliers that handle sensitive data or provide essential services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Leverage vendor security certifications as evidence of security practices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Include security requirements in contracts and service agreements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Monitor critical vendor relationships and respond to security notifications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Plan for vendor transitions and relationship termination</w:t>
      </w:r>
    </w:p>
    <w:p>
      <w:pPr>
        <w:pStyle w:val="Heading2"/>
      </w:pPr>
      <w:r>
        <w:rPr>
          <w:b/>
          <w:bCs/>
        </w:rPr>
        <w:t xml:space="preserve">2.2 Program Objectives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30"/>
        <w:gridCol w:w="433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Objective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Measure of Success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SC-1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Maintain accurate inventory of all suppliers with system or data access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 inventory reviewed quarterly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SC-2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 critical suppliers meet minimum security requirements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critical suppliers have security requirements in contracts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SC-3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Respond to vendor security incidents affecting GRVG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 incidents assessed within 24 hours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SC-4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Conduct due diligence before engaging new critical suppliers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assessment completed before contract signing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2.3 Stakeholder Agreement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Program stakeholders: Practice Owner (approves strategy, authorizes critical vendors, accepts risks), Office Manager (executes program, manages relationships), Lead Veterinarian (advises on clinical system requirements).</w:t>
      </w:r>
    </w:p>
    <w:p>
      <w:pPr>
        <w:pStyle w:val="Heading1"/>
      </w:pPr>
      <w:r>
        <w:rPr>
          <w:b/>
          <w:bCs/>
        </w:rPr>
        <w:t xml:space="preserve">3. Roles and Responsibilities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[GV.SC-02]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For GRVG's internal cybersecurity roles, see GOV-003, Section 3.</w:t>
      </w:r>
    </w:p>
    <w:p>
      <w:pPr>
        <w:pStyle w:val="Heading2"/>
      </w:pPr>
      <w:r>
        <w:rPr>
          <w:b/>
          <w:bCs/>
        </w:rPr>
        <w:t xml:space="preserve">3.1 Internal C-SCRM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C-SCRM Responsibilities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Practice Owner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Approves critical vendor relationships; accepts vendor-related risks; authorizes contract terms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Office Manager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Maintains supplier inventory; coordinates vendor reviews; manages contract requirements; monitors vendor communications; coordinates incident response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Lead Veterinarian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Advises on clinical system requirements; evaluates clinical vendor capabilities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3.2 Supplier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Area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Supplier Expectation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Program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Maintain documented security program appropriate to services provided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 Notification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Notify GRVG within 72 hours of incidents affecting GRVG data or services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Management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 access to authorized personnel; remove access when no longer needed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Protection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 GRVG data per requirements; encrypt in transit and at rest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Maintain compliance with applicable regulations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Subcontractors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 subcontractors meet equivalent security requirements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3.3 Information Sharing Rules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Share only minimum information necessary for supplier to perform services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Require confidentiality agreements before sharing sensitive information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Use secure methods for sharing sensitive data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Document what information is shared with each critical supplier</w:t>
      </w:r>
    </w:p>
    <w:p>
      <w:pPr>
        <w:pStyle w:val="Heading1"/>
      </w:pPr>
      <w:r>
        <w:rPr>
          <w:b/>
          <w:bCs/>
        </w:rPr>
        <w:t xml:space="preserve">4. Integration with Risk Management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[GV.SC-03]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Risk Management Element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C-SCRM Integration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Appetite (GOV-002)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Third-party/vendor risk appetite is Moderate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Assessment (GOV-002)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 risks included in annual risk assessment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Register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vendor risks documented in risk register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Risk (GOV-002)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 risks mapped to operational, financial, compliance categories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Material supplier risks are escalated to Practice Owner when: critical vendor breach occurs, vendor fails security requirements, vendor shows instability, or risk exceeds tolerance.</w:t>
      </w:r>
    </w:p>
    <w:p>
      <w:pPr>
        <w:pStyle w:val="Heading1"/>
      </w:pPr>
      <w:r>
        <w:rPr>
          <w:b/>
          <w:bCs/>
        </w:rPr>
        <w:t xml:space="preserve">5. Supplier Inventory and Criticality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[GV.SC-04]</w:t>
      </w:r>
    </w:p>
    <w:p>
      <w:pPr>
        <w:pStyle w:val="Heading2"/>
      </w:pPr>
      <w:r>
        <w:rPr>
          <w:b/>
          <w:bCs/>
        </w:rPr>
        <w:t xml:space="preserve">5.1 Criticality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Criterion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Sensitivity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supplier process/store/access client PII, payment data, patient records, or employee data?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Access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supplier have direct access to GRVG systems, networks, or accounts?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Criticality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service essential to delivering veterinary care or business operations?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Replaceability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difficult to replace the supplier? Is there vendor lock-in?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5.2 Criticality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Management Approach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Critical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Handles sensitive data AND essential services; difficult to replace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security requirements; annual review; incident coordination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Handles sensitive data OR important services; moderate replacement difficulty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requirements in contract; periodic review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Medium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Limited data access; supporting services; replaceable with effort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security expectations; standard terms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sensitive data; easily replaceable commodity services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terms; no special requirements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5.3 Supplier Inventory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For complete supplier inventory, see GOV-001, Section 2.7 (External Dependencies).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Critical and High suppliers: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180"/>
        <w:gridCol w:w="218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Supplier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Criticality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 Access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eVetPractice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Practice Management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Critical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patient/client 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365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Email, Collaboration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Critical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Email, documents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CVA IT Solutions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Managed IT Services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Critical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system access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PayJunction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Processing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Critical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transactions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 of America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Banking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QuickBooks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Payroll/Accounting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Employee/financial 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Cisco DUO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MFA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 data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Inventory reviewed quarterly by Office Manager.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6. Contract Security Requirements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[GV.SC-05]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390"/>
        <w:gridCol w:w="1390"/>
        <w:gridCol w:w="1390"/>
        <w:gridCol w:w="139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1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Critical</w:t>
            </w:r>
          </w:p>
        </w:tc>
        <w:tc>
          <w:tcPr>
            <w:tcW w:type="dxa" w:w="1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High</w:t>
            </w:r>
          </w:p>
        </w:tc>
        <w:tc>
          <w:tcPr>
            <w:tcW w:type="dxa" w:w="1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Medium</w:t>
            </w:r>
          </w:p>
        </w:tc>
        <w:tc>
          <w:tcPr>
            <w:tcW w:type="dxa" w:w="1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Low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Confidentiality/NDA</w:t>
            </w:r>
          </w:p>
        </w:tc>
        <w:tc>
          <w:tcPr>
            <w:tcW w:type="dxa" w:w="1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</w:t>
            </w:r>
          </w:p>
        </w:tc>
        <w:tc>
          <w:tcPr>
            <w:tcW w:type="dxa" w:w="1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</w:t>
            </w:r>
          </w:p>
        </w:tc>
        <w:tc>
          <w:tcPr>
            <w:tcW w:type="dxa" w:w="1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</w:t>
            </w:r>
          </w:p>
        </w:tc>
        <w:tc>
          <w:tcPr>
            <w:tcW w:type="dxa" w:w="1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Incident notification (72 hrs)</w:t>
            </w:r>
          </w:p>
        </w:tc>
        <w:tc>
          <w:tcPr>
            <w:tcW w:type="dxa" w:w="1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</w:t>
            </w:r>
          </w:p>
        </w:tc>
        <w:tc>
          <w:tcPr>
            <w:tcW w:type="dxa" w:w="1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</w:t>
            </w:r>
          </w:p>
        </w:tc>
        <w:tc>
          <w:tcPr>
            <w:tcW w:type="dxa" w:w="1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Best effort</w:t>
            </w:r>
          </w:p>
        </w:tc>
        <w:tc>
          <w:tcPr>
            <w:tcW w:type="dxa" w:w="1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protection requirements</w:t>
            </w:r>
          </w:p>
        </w:tc>
        <w:tc>
          <w:tcPr>
            <w:tcW w:type="dxa" w:w="1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</w:t>
            </w:r>
          </w:p>
        </w:tc>
        <w:tc>
          <w:tcPr>
            <w:tcW w:type="dxa" w:w="1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</w:t>
            </w:r>
          </w:p>
        </w:tc>
        <w:tc>
          <w:tcPr>
            <w:tcW w:type="dxa" w:w="1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applicable</w:t>
            </w:r>
          </w:p>
        </w:tc>
        <w:tc>
          <w:tcPr>
            <w:tcW w:type="dxa" w:w="1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Right to audit/assess</w:t>
            </w:r>
          </w:p>
        </w:tc>
        <w:tc>
          <w:tcPr>
            <w:tcW w:type="dxa" w:w="1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</w:t>
            </w:r>
          </w:p>
        </w:tc>
        <w:tc>
          <w:tcPr>
            <w:tcW w:type="dxa" w:w="1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Preferred</w:t>
            </w:r>
          </w:p>
        </w:tc>
        <w:tc>
          <w:tcPr>
            <w:tcW w:type="dxa" w:w="1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 certifications (SOC 2, etc.)</w:t>
            </w:r>
          </w:p>
        </w:tc>
        <w:tc>
          <w:tcPr>
            <w:tcW w:type="dxa" w:w="1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</w:t>
            </w:r>
          </w:p>
        </w:tc>
        <w:tc>
          <w:tcPr>
            <w:tcW w:type="dxa" w:w="1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Preferred</w:t>
            </w:r>
          </w:p>
        </w:tc>
        <w:tc>
          <w:tcPr>
            <w:tcW w:type="dxa" w:w="1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Subcontractor requirements</w:t>
            </w:r>
          </w:p>
        </w:tc>
        <w:tc>
          <w:tcPr>
            <w:tcW w:type="dxa" w:w="1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</w:t>
            </w:r>
          </w:p>
        </w:tc>
        <w:tc>
          <w:tcPr>
            <w:tcW w:type="dxa" w:w="1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</w:t>
            </w:r>
          </w:p>
        </w:tc>
        <w:tc>
          <w:tcPr>
            <w:tcW w:type="dxa" w:w="1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return/destruction on termination</w:t>
            </w:r>
          </w:p>
        </w:tc>
        <w:tc>
          <w:tcPr>
            <w:tcW w:type="dxa" w:w="1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</w:t>
            </w:r>
          </w:p>
        </w:tc>
        <w:tc>
          <w:tcPr>
            <w:tcW w:type="dxa" w:w="1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</w:t>
            </w:r>
          </w:p>
        </w:tc>
        <w:tc>
          <w:tcPr>
            <w:tcW w:type="dxa" w:w="1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applicable</w:t>
            </w:r>
          </w:p>
        </w:tc>
        <w:tc>
          <w:tcPr>
            <w:tcW w:type="dxa" w:w="1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Regulatory compliance</w:t>
            </w:r>
          </w:p>
        </w:tc>
        <w:tc>
          <w:tcPr>
            <w:tcW w:type="dxa" w:w="1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</w:t>
            </w:r>
          </w:p>
        </w:tc>
        <w:tc>
          <w:tcPr>
            <w:tcW w:type="dxa" w:w="1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</w:t>
            </w:r>
          </w:p>
        </w:tc>
        <w:tc>
          <w:tcPr>
            <w:tcW w:type="dxa" w:w="1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</w:t>
            </w:r>
          </w:p>
        </w:tc>
        <w:tc>
          <w:tcPr>
            <w:tcW w:type="dxa" w:w="1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For critical suppliers, SLAs should address: service availability, incident response timeframes, vulnerability remediation timelines, and support response times.</w:t>
      </w:r>
    </w:p>
    <w:p>
      <w:pPr>
        <w:pStyle w:val="Heading1"/>
      </w:pPr>
      <w:r>
        <w:rPr>
          <w:b/>
          <w:bCs/>
        </w:rPr>
        <w:t xml:space="preserve">7. Due Diligence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[GV.SC-06]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Criticality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Due Diligence Activities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Critical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questionnaire; certifications review (SOC 2, ISO 27001); reference checks; security policy review; incident history; business stability assessment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questionnaire; certification review; basic reference checks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Medium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vendor website and security statements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Low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vendor verification; standard procurement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For critical/high suppliers, assess: security program maturity, access controls, data protection, incident response, business continuity, regulatory compliance, and subcontractor management.</w:t>
      </w:r>
    </w:p>
    <w:p>
      <w:pPr>
        <w:pStyle w:val="Heading1"/>
      </w:pPr>
      <w:r>
        <w:rPr>
          <w:b/>
          <w:bCs/>
        </w:rPr>
        <w:t xml:space="preserve">8. Ongoing Monitoring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[GV.SC-07]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00"/>
        <w:gridCol w:w="2100"/>
        <w:gridCol w:w="2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Activity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Critical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High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Responsible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security communications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received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received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Office Manager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service performance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Quarterly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Annually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Office Manager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updated certifications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Annually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needed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Office Manager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contract compliance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Annually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renewal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Office Manager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 for news/incidents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Ongoing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Ongoing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Office Manager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Business continuity: GRVG plans for unexpected supplier interruptions. For critical suppliers, identify alternative providers or manual workarounds where feasible.</w:t>
      </w:r>
    </w:p>
    <w:p>
      <w:pPr>
        <w:pStyle w:val="Heading1"/>
      </w:pPr>
      <w:r>
        <w:rPr>
          <w:b/>
          <w:bCs/>
        </w:rPr>
        <w:t xml:space="preserve">9. Incident Planning and Response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[GV.SC-08]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Critical suppliers are included in incident planning and response: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4"/>
          <w:szCs w:val="24"/>
        </w:rPr>
        <w:t xml:space="preserve">Contact information for security/incident teams maintained for critical suppliers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4"/>
          <w:szCs w:val="24"/>
        </w:rPr>
        <w:t xml:space="preserve">Incident notification requirements defined in contracts (72-hour notification)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4"/>
          <w:szCs w:val="24"/>
        </w:rPr>
        <w:t xml:space="preserve">CVA IT Solutions included in GRVG incident response procedures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4"/>
          <w:szCs w:val="24"/>
        </w:rPr>
        <w:t xml:space="preserve">Communication protocols established for crisis situations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Post-incident lessons learned shared with relevant suppliers</w:t>
      </w:r>
    </w:p>
    <w:p>
      <w:pPr>
        <w:pStyle w:val="Heading1"/>
      </w:pPr>
      <w:r>
        <w:rPr>
          <w:b/>
          <w:bCs/>
        </w:rPr>
        <w:t xml:space="preserve">10. Lifecycle Management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[GV.SC-09]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Supply chain practices throughout product/service lifecycle: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4"/>
          <w:szCs w:val="24"/>
        </w:rPr>
        <w:t xml:space="preserve">Acquire software updates and patches only from authenticated vendor sources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4"/>
          <w:szCs w:val="24"/>
        </w:rPr>
        <w:t xml:space="preserve">Verify vendor personnel performing on-site maintenance are authorized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4"/>
          <w:szCs w:val="24"/>
        </w:rPr>
        <w:t xml:space="preserve">Track end-of-life dates for critical hardware and software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Plan for technology refresh before products become unsupported</w:t>
      </w:r>
    </w:p>
    <w:p>
      <w:pPr>
        <w:pStyle w:val="Heading1"/>
      </w:pPr>
      <w:r>
        <w:rPr>
          <w:b/>
          <w:bCs/>
        </w:rPr>
        <w:t xml:space="preserve">11. Relationship Termination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[GV.SC-10]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When supplier relationships end (planned or unplanned):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Activity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Termination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supplier access to GRVG systems is deactivated promptly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Return/Destruction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GRVG data is returned or securely destroyed per contract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Credential Changes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any shared credentials the supplier had access 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Transition Planning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 plan for transitioning to replacement supplier if needed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termination activities and retain records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For critical suppliers, develop transition plans before contract expiration. Consider data portability, service continuity, and timeline for migration.</w:t>
      </w:r>
    </w:p>
    <w:p>
      <w:pPr>
        <w:pStyle w:val="Heading1"/>
      </w:pPr>
      <w:r>
        <w:rPr>
          <w:b/>
          <w:bCs/>
        </w:rPr>
        <w:t xml:space="preserve">12.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680"/>
        <w:gridCol w:w="268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Author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Changes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February 2026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[Author Name]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Initial document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This document will be reviewed annually or when significant changes occur to supplier relationships.</w:t>
      </w:r>
    </w:p>
    <w:p>
      <w:pPr>
        <w:pStyle w:val="Heading2"/>
      </w:pPr>
      <w:r>
        <w:rPr>
          <w:b/>
          <w:bCs/>
        </w:rPr>
        <w:t xml:space="preserve">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Practice Owner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Office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</w:pPr>
    <w:rPr>
      <w:rFonts w:ascii="Arial" w:cs="Arial" w:eastAsia="Arial" w:hAnsi="Arial"/>
      <w:b/>
      <w:bCs/>
      <w:color w:val="2E5A8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</w:pPr>
    <w:rPr>
      <w:rFonts w:ascii="Arial" w:cs="Arial" w:eastAsia="Arial" w:hAnsi="Arial"/>
      <w:b/>
      <w:bCs/>
      <w:color w:val="2E5A8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2026-02-20T23:16:06.569Z</dcterms:created>
  <dcterms:modified xsi:type="dcterms:W3CDTF">2026-02-20T23:16:06.570Z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