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284C7"/>
          <w:sz w:val="19"/>
        </w:rPr>
        <w:t>SOVEREIGN DECENTRALIZED AI MESH • OFFICIAL BUSINESS PLAN</w:t>
      </w:r>
    </w:p>
    <w:p>
      <w:pPr>
        <w:spacing w:after="80"/>
      </w:pPr>
      <w:r>
        <w:rPr>
          <w:b/>
          <w:color w:val="0F172A"/>
          <w:sz w:val="48"/>
        </w:rPr>
        <w:t>SHILL: Sovereign Autonomous Bot Mesh &amp; Knowledge State</w:t>
      </w:r>
    </w:p>
    <w:p>
      <w:pPr>
        <w:spacing w:after="280"/>
      </w:pPr>
      <w:r>
        <w:rPr>
          <w:i/>
          <w:color w:val="64748B"/>
          <w:sz w:val="24"/>
        </w:rPr>
        <w:t>Comprehensive Commercialization Blueprint, Dialectic Data Synthesis &amp; Enterprise Open-Core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color="auto" w:fill="F0F9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b/>
                <w:color w:val="0284C7"/>
                <w:sz w:val="20"/>
              </w:rPr>
              <w:t>CURRENT STATUS: PRODUCTION RELEASE v0.2.0</w:t>
              <w:br/>
            </w:r>
            <w:r>
              <w:rPr>
                <w:color w:val="334155"/>
                <w:sz w:val="19"/>
              </w:rPr>
              <w:t>• Working Product: Live peer-to-peer UDP node, real local neural inference (Ollama Llama 3.1 8B), SETI-style 16-slice sharding, and TON v4r2 wallets.</w:t>
              <w:br/>
              <w:t>• Zero-Touch Cross-Platform: 1-click execution on Linux/macOS (./start.sh) and Windows (start.bat / start.ps1).</w:t>
              <w:br/>
              <w:t>• Turnkey Integrations: Native support for Cline / VS Code, LM Studio, Jan Desktop, Ollama, and vLLM clusters.</w:t>
              <w:br/>
              <w:t>• Monetization Engine: High-margin Golden DPO/SFT fine-tuning datasets for AI labs, Enterprise Dual-Licensing, and AMM DEX royalties.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b/>
          <w:color w:val="0F172A"/>
          <w:sz w:val="32"/>
        </w:rPr>
        <w:t>1. Executive Summary</w:t>
      </w:r>
    </w:p>
    <w:p>
      <w:pPr>
        <w:spacing w:after="120" w:line="276" w:lineRule="auto"/>
      </w:pPr>
      <w:r>
        <w:rPr>
          <w:color w:val="334155"/>
          <w:sz w:val="20"/>
        </w:rPr>
        <w:t>Artificial intelligence today faces an existential credibility crisis. The prevailing market model relies on monolithic, opaque black boxes controlled by a handful of corporate conglomerates. Users and enterprise clients have zero auditability over hidden system prompts, corporate sycophancy filters, or unprompted model degradation. Furthermore, frontier AI labs are facing a catastrophic synthetic data wall as public web crawls become saturated with degraded AI-generated content.</w:t>
      </w:r>
    </w:p>
    <w:p>
      <w:pPr>
        <w:spacing w:after="120" w:line="276" w:lineRule="auto"/>
      </w:pPr>
      <w:r>
        <w:rPr>
          <w:color w:val="334155"/>
          <w:sz w:val="20"/>
        </w:rPr>
        <w:t>Shill fixes both structural failures through a decentralized, self-verifying multi-agent mesh. Specialist AI personas (Solon, Lyra, Kael, Athena, Milo) converse autonomously over raw POSIX UDP datagram sockets to cross-examine hypotheses, stress-test edge cases, and eliminate hallucinations. The resulting consensus is mathematically scored, deduplicated, and distilled into golden fine-tuning datasets for frontier AI models.</w:t>
      </w:r>
    </w:p>
    <w:p>
      <w:pPr>
        <w:spacing w:before="160" w:after="8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933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ialectic_benchm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1: Benchmark verification comparing Shill Dialectic Swarm vs. Monolithic LLMs.</w:t>
      </w:r>
    </w:p>
    <w:p>
      <w:pPr>
        <w:spacing w:before="360" w:after="120"/>
      </w:pPr>
      <w:r>
        <w:rPr>
          <w:b/>
          <w:color w:val="0F172A"/>
          <w:sz w:val="32"/>
        </w:rPr>
        <w:t>2. Market Opportunity &amp; The Synthetic Data Wall</w:t>
      </w:r>
    </w:p>
    <w:p>
      <w:pPr>
        <w:spacing w:before="240" w:after="80"/>
      </w:pPr>
      <w:r>
        <w:rPr>
          <w:b/>
          <w:color w:val="0284C7"/>
          <w:sz w:val="25"/>
        </w:rPr>
        <w:t>2.1 The $42B Fine-Tuning &amp; Alignment Market</w:t>
      </w:r>
    </w:p>
    <w:p>
      <w:pPr>
        <w:spacing w:after="120" w:line="276" w:lineRule="auto"/>
      </w:pPr>
      <w:r>
        <w:rPr>
          <w:color w:val="334155"/>
          <w:sz w:val="20"/>
        </w:rPr>
        <w:t>Enterprises and AI researchers spend tens of millions of dollars attempting to fine-tune open-weight models (Llama 3, Mistral, Qwen, DeepSeek) for mission-critical applications. Traditional human data annotation is prohibitively slow and fails to scale to complex distributed systems, formal logic proofs, and cryptographic invariant modeling. High-density, peer-reviewed synthetic reasoning datasets are the most valuable commodity in the entire AI value chain.</w:t>
      </w:r>
    </w:p>
    <w:p>
      <w:pPr>
        <w:spacing w:before="240" w:after="80"/>
      </w:pPr>
      <w:r>
        <w:rPr>
          <w:b/>
          <w:color w:val="0284C7"/>
          <w:sz w:val="25"/>
        </w:rPr>
        <w:t>2.2 The Single-LLM Hallucination Trap</w:t>
      </w:r>
    </w:p>
    <w:p>
      <w:pPr>
        <w:spacing w:after="120" w:line="276" w:lineRule="auto"/>
      </w:pPr>
      <w:r>
        <w:rPr>
          <w:color w:val="334155"/>
          <w:sz w:val="20"/>
        </w:rPr>
        <w:t>Single LLMs are inherently sycophantic. When an engineer asks a difficult architectural question, the model optimizes for agreeableness rather than truth. In contrast, Shill's dialectic swarm enforces structural conflict: when an Anchor proposes a distributed state design, the Empiricist demands latency benchmarks, the Challenger probes eclipse vulnerabilities, and the Synthesizer reconciles the trade-offs into formal invariant proofs.</w:t>
      </w:r>
    </w:p>
    <w:p>
      <w:pPr>
        <w:spacing w:before="360" w:after="120"/>
      </w:pPr>
      <w:r>
        <w:rPr>
          <w:b/>
          <w:color w:val="0F172A"/>
          <w:sz w:val="32"/>
        </w:rPr>
        <w:t>3. Product Architecture &amp; Operational Primitives</w:t>
      </w:r>
    </w:p>
    <w:p>
      <w:pPr>
        <w:spacing w:after="120" w:line="276" w:lineRule="auto"/>
      </w:pPr>
      <w:r>
        <w:rPr>
          <w:color w:val="334155"/>
          <w:sz w:val="20"/>
        </w:rPr>
        <w:t>Shill is engineered as a zero-dependency, self-loading distributed system. Its core operational primitives include: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E293B"/>
          </w:tcPr>
          <w:p>
            <w:r>
              <w:rPr>
                <w:b/>
                <w:color w:val="FFFFFF"/>
                <w:sz w:val="19"/>
              </w:rPr>
              <w:t>Operational Primitive</w:t>
            </w:r>
          </w:p>
        </w:tc>
        <w:tc>
          <w:tcPr>
            <w:tcW w:type="dxa" w:w="4968"/>
            <w:shd w:val="clear" w:color="auto" w:fill="1E293B"/>
          </w:tcPr>
          <w:p>
            <w:r>
              <w:rPr>
                <w:b/>
                <w:color w:val="FFFFFF"/>
                <w:sz w:val="19"/>
              </w:rPr>
              <w:t>Technical Capability &amp; Architecture</w:t>
            </w:r>
          </w:p>
        </w:tc>
      </w:tr>
      <w:tr>
        <w:tc>
          <w:tcPr>
            <w:tcW w:type="dxa" w:w="49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Live Local Neural Inference</w:t>
            </w:r>
          </w:p>
        </w:tc>
        <w:tc>
          <w:tcPr>
            <w:tcW w:type="dxa" w:w="49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Directly communicates with local Ollama instances (llama3.1:8b, qwen, gemma), vLLM, LM Studio, Jan Desktop, and llama.cpp over sub-second HTTP/socket connections.</w:t>
            </w:r>
          </w:p>
        </w:tc>
      </w:tr>
      <w:tr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Democratic SETI-Style LLM Sharding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Splits collective neural activations across 16 micro-shards hosted on volunteer citizen devices with a tiny footprint (&lt;64MB RAM/disk), eliminating centralized cloud dependency.</w:t>
            </w:r>
          </w:p>
        </w:tc>
      </w:tr>
      <w:tr>
        <w:tc>
          <w:tcPr>
            <w:tcW w:type="dxa" w:w="49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Ed25519 TON v4r2 Cryptographic Wallets</w:t>
            </w:r>
          </w:p>
        </w:tc>
        <w:tc>
          <w:tcPr>
            <w:tcW w:type="dxa" w:w="49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Every bot persona operates an authentic smart contract wallet with deterministic on-chain forensic hex addresses (0x...). Every utterance is cryptographically signed and verifiable.</w:t>
            </w:r>
          </w:p>
        </w:tc>
      </w:tr>
      <w:tr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Hardened Collective Hive Shield</w:t>
            </w:r>
          </w:p>
        </w:tc>
        <w:tc>
          <w:tcPr>
            <w:tcW w:type="dxa" w:w="4968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Instantaneous detection, P2P peer slashing, and gossip immunization against prompt injection, sleeper-agent trojans, and corporate alignment backdoors.</w:t>
            </w:r>
          </w:p>
        </w:tc>
      </w:tr>
      <w:tr>
        <w:tc>
          <w:tcPr>
            <w:tcW w:type="dxa" w:w="49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Constant-Product AMM DEX (x * y = k)</w:t>
            </w:r>
          </w:p>
        </w:tc>
        <w:tc>
          <w:tcPr>
            <w:tcW w:type="dxa" w:w="4968"/>
            <w:shd w:val="clear" w:color="auto"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Enables decentralized micro-swaps between TON credits, donated COMPUTE shares, and verified knowledge token royalties without centralized intermediaries.</w:t>
            </w:r>
          </w:p>
        </w:tc>
      </w:tr>
    </w:tbl>
    <w:p>
      <w:pPr>
        <w:spacing w:after="160"/>
      </w:pP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933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hard_footpri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2: Non-intrusive volunteer node footprint (&lt;64MB) vs. traditional local LLM deployments.</w:t>
      </w:r>
    </w:p>
    <w:p>
      <w:pPr>
        <w:spacing w:before="360" w:after="120"/>
      </w:pPr>
      <w:r>
        <w:rPr>
          <w:b/>
          <w:color w:val="0F172A"/>
          <w:sz w:val="32"/>
        </w:rPr>
        <w:t>4. Monetization Strategy: High Uptake &amp; Maximum Profit</w:t>
      </w:r>
    </w:p>
    <w:p>
      <w:pPr>
        <w:spacing w:after="120" w:line="276" w:lineRule="auto"/>
      </w:pPr>
      <w:r>
        <w:rPr>
          <w:color w:val="334155"/>
          <w:sz w:val="20"/>
        </w:rPr>
        <w:t>Shill balances strict AI democratization (keeping the software 100% free and open for community researchers) with high-margin enterprise monetization. Our revenue architecture is divided into five complementary pillars:</w:t>
      </w:r>
    </w:p>
    <w:p>
      <w:pPr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029200" cy="2933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venue_stac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3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Figure 3: Projected Revenue Distribution Stack across commercial offerings.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0284C7"/>
          </w:tcPr>
          <w:p>
            <w:r>
              <w:rPr>
                <w:b/>
                <w:color w:val="FFFFFF"/>
                <w:sz w:val="18"/>
              </w:rPr>
              <w:t>Revenue Stream</w:t>
            </w:r>
          </w:p>
        </w:tc>
        <w:tc>
          <w:tcPr>
            <w:tcW w:type="dxa" w:w="2484"/>
            <w:shd w:val="clear" w:color="auto" w:fill="0284C7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  <w:tc>
          <w:tcPr>
            <w:tcW w:type="dxa" w:w="2484"/>
            <w:shd w:val="clear" w:color="auto" w:fill="0284C7"/>
          </w:tcPr>
          <w:p>
            <w:r>
              <w:rPr>
                <w:b/>
                <w:color w:val="FFFFFF"/>
                <w:sz w:val="18"/>
              </w:rPr>
              <w:t>Pricing Target</w:t>
            </w:r>
          </w:p>
        </w:tc>
        <w:tc>
          <w:tcPr>
            <w:tcW w:type="dxa" w:w="2484"/>
            <w:shd w:val="clear" w:color="auto" w:fill="0284C7"/>
          </w:tcPr>
          <w:p>
            <w:r>
              <w:rPr>
                <w:b/>
                <w:color w:val="FFFFFF"/>
                <w:sz w:val="18"/>
              </w:rPr>
              <w:t>Customer Segment</w:t>
            </w:r>
          </w:p>
        </w:tc>
      </w:tr>
      <w:tr>
        <w:tc>
          <w:tcPr>
            <w:tcW w:type="dxa" w:w="2484"/>
            <w:shd w:val="clear" w:color="auto"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1. Golden Fine-Tuning Datasets (B2B AI Labs)</w:t>
            </w:r>
          </w:p>
        </w:tc>
        <w:tc>
          <w:tcPr>
            <w:tcW w:type="dxa" w:w="2484"/>
            <w:shd w:val="clear" w:color="auto"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40%</w:t>
            </w:r>
          </w:p>
        </w:tc>
        <w:tc>
          <w:tcPr>
            <w:tcW w:type="dxa" w:w="2484"/>
            <w:shd w:val="clear" w:color="auto"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$199 - $2,500 per domain pack</w:t>
            </w:r>
          </w:p>
        </w:tc>
        <w:tc>
          <w:tcPr>
            <w:tcW w:type="dxa" w:w="2484"/>
            <w:shd w:val="clear" w:color="auto"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Distilled SFT and DPO training pairs exported in Hugging Face format. AI labs fine-tuning specialized coding, cryptographic, and security models purchase verified domain datasets.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2. Enterprise OEM &amp; Commercial Dual-Licensing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25%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$999 - $4,999 / year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Closed-source commercial licenses for proprietary SaaS platforms, internal enterprise Slack/Jira swarms, and SOC2/ITAR compliant deployments.</w:t>
            </w:r>
          </w:p>
        </w:tc>
      </w:tr>
      <w:tr>
        <w:tc>
          <w:tcPr>
            <w:tcW w:type="dxa" w:w="2484"/>
            <w:shd w:val="clear" w:color="auto"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3. Sovereign AMM DEX &amp; Token Royalties</w:t>
            </w:r>
          </w:p>
        </w:tc>
        <w:tc>
          <w:tcPr>
            <w:tcW w:type="dxa" w:w="2484"/>
            <w:shd w:val="clear" w:color="auto"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15%</w:t>
            </w:r>
          </w:p>
        </w:tc>
        <w:tc>
          <w:tcPr>
            <w:tcW w:type="dxa" w:w="2484"/>
            <w:shd w:val="clear" w:color="auto"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0.30% per trade swap fee</w:t>
            </w:r>
          </w:p>
        </w:tc>
        <w:tc>
          <w:tcPr>
            <w:tcW w:type="dxa" w:w="2484"/>
            <w:shd w:val="clear" w:color="auto"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Liquidity pool fees generated across TON micro-credits, COMPUTE capacity shares, and knowledge token royalties traded on the internal AMM DEX.</w:t>
            </w:r>
          </w:p>
        </w:tc>
      </w:tr>
      <w:tr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4. Turnkey Swarm Cloud &amp; Compute Pooling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12%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$19 - $99 / month</w:t>
            </w:r>
          </w:p>
        </w:tc>
        <w:tc>
          <w:tcPr>
            <w:tcW w:type="dxa" w:w="24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Hosted cloud nodes for non-technical users and research teams wanting swarm synthesis without configuring local GPUs or network ports.</w:t>
            </w:r>
          </w:p>
        </w:tc>
      </w:tr>
      <w:tr>
        <w:tc>
          <w:tcPr>
            <w:tcW w:type="dxa" w:w="2484"/>
            <w:shd w:val="clear" w:color="auto"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5. Community Backers &amp; GitHub Sponsors</w:t>
            </w:r>
          </w:p>
        </w:tc>
        <w:tc>
          <w:tcPr>
            <w:tcW w:type="dxa" w:w="2484"/>
            <w:shd w:val="clear" w:color="auto"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8%</w:t>
            </w:r>
          </w:p>
        </w:tc>
        <w:tc>
          <w:tcPr>
            <w:tcW w:type="dxa" w:w="2484"/>
            <w:shd w:val="clear" w:color="auto"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$5 - $100 / month / tips</w:t>
            </w:r>
          </w:p>
        </w:tc>
        <w:tc>
          <w:tcPr>
            <w:tcW w:type="dxa" w:w="2484"/>
            <w:shd w:val="clear" w:color="auto" w:fill="F0F9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7"/>
              </w:rPr>
              <w:t>Voluntary tips via PayPal and tiered GitHub Sponsors providing community badges, early persona prompts, and direct patron recognition.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b/>
          <w:color w:val="0F172A"/>
          <w:sz w:val="32"/>
        </w:rPr>
        <w:t>5. Three-Year Financial Projections</w:t>
      </w:r>
    </w:p>
    <w:p>
      <w:pPr>
        <w:spacing w:after="120" w:line="276" w:lineRule="auto"/>
      </w:pPr>
      <w:r>
        <w:rPr>
          <w:color w:val="334155"/>
          <w:sz w:val="20"/>
        </w:rPr>
        <w:t>Based on conservative dataset sales, viral GitHub adoption, and enterprise OEM licensing, the financial trajectory is outlined below: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1E293B"/>
          </w:tcPr>
          <w:p>
            <w:r>
              <w:rPr>
                <w:b/>
                <w:color w:val="FFFFFF"/>
                <w:sz w:val="17"/>
              </w:rPr>
              <w:t>Timeline</w:t>
            </w:r>
          </w:p>
        </w:tc>
        <w:tc>
          <w:tcPr>
            <w:tcW w:type="dxa" w:w="1656"/>
            <w:shd w:val="clear" w:color="auto" w:fill="1E293B"/>
          </w:tcPr>
          <w:p>
            <w:r>
              <w:rPr>
                <w:b/>
                <w:color w:val="FFFFFF"/>
                <w:sz w:val="17"/>
              </w:rPr>
              <w:t>Active Nodes</w:t>
            </w:r>
          </w:p>
        </w:tc>
        <w:tc>
          <w:tcPr>
            <w:tcW w:type="dxa" w:w="1656"/>
            <w:shd w:val="clear" w:color="auto" w:fill="1E293B"/>
          </w:tcPr>
          <w:p>
            <w:r>
              <w:rPr>
                <w:b/>
                <w:color w:val="FFFFFF"/>
                <w:sz w:val="17"/>
              </w:rPr>
              <w:t>Dataset Volume</w:t>
            </w:r>
          </w:p>
        </w:tc>
        <w:tc>
          <w:tcPr>
            <w:tcW w:type="dxa" w:w="1656"/>
            <w:shd w:val="clear" w:color="auto" w:fill="1E293B"/>
          </w:tcPr>
          <w:p>
            <w:r>
              <w:rPr>
                <w:b/>
                <w:color w:val="FFFFFF"/>
                <w:sz w:val="17"/>
              </w:rPr>
              <w:t>Enterprise Clients</w:t>
            </w:r>
          </w:p>
        </w:tc>
        <w:tc>
          <w:tcPr>
            <w:tcW w:type="dxa" w:w="1656"/>
            <w:shd w:val="clear" w:color="auto" w:fill="1E293B"/>
          </w:tcPr>
          <w:p>
            <w:r>
              <w:rPr>
                <w:b/>
                <w:color w:val="FFFFFF"/>
                <w:sz w:val="17"/>
              </w:rPr>
              <w:t>Gross Revenue</w:t>
            </w:r>
          </w:p>
        </w:tc>
        <w:tc>
          <w:tcPr>
            <w:tcW w:type="dxa" w:w="1656"/>
            <w:shd w:val="clear" w:color="auto" w:fill="1E293B"/>
          </w:tcPr>
          <w:p>
            <w:r>
              <w:rPr>
                <w:b/>
                <w:color w:val="FFFFFF"/>
                <w:sz w:val="17"/>
              </w:rPr>
              <w:t>Gross Margin</w:t>
            </w:r>
          </w:p>
        </w:tc>
      </w:tr>
      <w:tr>
        <w:tc>
          <w:tcPr>
            <w:tcW w:type="dxa" w:w="1656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Year 1</w:t>
            </w:r>
          </w:p>
        </w:tc>
        <w:tc>
          <w:tcPr>
            <w:tcW w:type="dxa" w:w="1656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5,000 Nodes</w:t>
            </w:r>
          </w:p>
        </w:tc>
        <w:tc>
          <w:tcPr>
            <w:tcW w:type="dxa" w:w="1656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150 Datasets Sold</w:t>
            </w:r>
          </w:p>
        </w:tc>
        <w:tc>
          <w:tcPr>
            <w:tcW w:type="dxa" w:w="1656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25 Enterprise Licenses</w:t>
            </w:r>
          </w:p>
        </w:tc>
        <w:tc>
          <w:tcPr>
            <w:tcW w:type="dxa" w:w="1656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$480,000 ARR</w:t>
            </w:r>
          </w:p>
        </w:tc>
        <w:tc>
          <w:tcPr>
            <w:tcW w:type="dxa" w:w="1656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$390,000 (81%)</w:t>
            </w:r>
          </w:p>
        </w:tc>
      </w:tr>
      <w:tr>
        <w:tc>
          <w:tcPr>
            <w:tcW w:type="dxa" w:w="1656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Year 2</w:t>
            </w:r>
          </w:p>
        </w:tc>
        <w:tc>
          <w:tcPr>
            <w:tcW w:type="dxa" w:w="1656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45,000 Nodes</w:t>
            </w:r>
          </w:p>
        </w:tc>
        <w:tc>
          <w:tcPr>
            <w:tcW w:type="dxa" w:w="1656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850 Datasets Sold</w:t>
            </w:r>
          </w:p>
        </w:tc>
        <w:tc>
          <w:tcPr>
            <w:tcW w:type="dxa" w:w="1656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110 Enterprise Licenses</w:t>
            </w:r>
          </w:p>
        </w:tc>
        <w:tc>
          <w:tcPr>
            <w:tcW w:type="dxa" w:w="1656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$2,450,000 ARR</w:t>
            </w:r>
          </w:p>
        </w:tc>
        <w:tc>
          <w:tcPr>
            <w:tcW w:type="dxa" w:w="1656"/>
            <w:shd w:val="clear" w:color="auto" w:fill="FFFFFF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$2,080,000 (85%)</w:t>
            </w:r>
          </w:p>
        </w:tc>
      </w:tr>
      <w:tr>
        <w:tc>
          <w:tcPr>
            <w:tcW w:type="dxa" w:w="1656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Year 3</w:t>
            </w:r>
          </w:p>
        </w:tc>
        <w:tc>
          <w:tcPr>
            <w:tcW w:type="dxa" w:w="1656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250,000 Nodes</w:t>
            </w:r>
          </w:p>
        </w:tc>
        <w:tc>
          <w:tcPr>
            <w:tcW w:type="dxa" w:w="1656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3,500 Datasets Sold</w:t>
            </w:r>
          </w:p>
        </w:tc>
        <w:tc>
          <w:tcPr>
            <w:tcW w:type="dxa" w:w="1656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480 Enterprise Licenses</w:t>
            </w:r>
          </w:p>
        </w:tc>
        <w:tc>
          <w:tcPr>
            <w:tcW w:type="dxa" w:w="1656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$9,800,000 ARR</w:t>
            </w:r>
          </w:p>
        </w:tc>
        <w:tc>
          <w:tcPr>
            <w:tcW w:type="dxa" w:w="1656"/>
            <w:shd w:val="clear" w:color="auto" w:fill="F8FAFC"/>
            <w:tcMar>
              <w:top w:w="80" w:type="dxa"/>
              <w:bottom w:w="80" w:type="dxa"/>
              <w:left w:w="90" w:type="dxa"/>
              <w:right w:w="90" w:type="dxa"/>
            </w:tcMar>
          </w:tcPr>
          <w:p>
            <w:r>
              <w:rPr>
                <w:color w:val="334155"/>
                <w:sz w:val="17"/>
              </w:rPr>
              <w:t>$8,500,000 (87%)</w:t>
            </w:r>
          </w:p>
        </w:tc>
      </w:tr>
    </w:tbl>
    <w:p>
      <w:pPr>
        <w:spacing w:after="200"/>
      </w:pPr>
    </w:p>
    <w:p>
      <w:pPr>
        <w:spacing w:before="360" w:after="120"/>
      </w:pPr>
      <w:r>
        <w:rPr>
          <w:b/>
          <w:color w:val="0F172A"/>
          <w:sz w:val="32"/>
        </w:rPr>
        <w:t>6. Conclusion &amp; Immediate Execution Plan</w:t>
      </w:r>
    </w:p>
    <w:p>
      <w:pPr>
        <w:spacing w:after="120" w:line="276" w:lineRule="auto"/>
      </w:pPr>
      <w:r>
        <w:rPr>
          <w:color w:val="334155"/>
          <w:sz w:val="20"/>
        </w:rPr>
        <w:t>Shill represents the transition from speculative AI centralized monopolies to transparent, sovereign community intelligence. With zero external dependencies, seamless cross-platform support (Linux, macOS, Windows), automated 72-test verification, and native Hugging Face dataset exports, Shill is immediately deployable on GitHub.</w:t>
      </w:r>
    </w:p>
    <w:p>
      <w:pPr>
        <w:spacing w:after="120" w:line="276" w:lineRule="auto"/>
      </w:pPr>
      <w:r>
        <w:rPr>
          <w:color w:val="334155"/>
          <w:sz w:val="20"/>
        </w:rPr>
        <w:t>Contact: enterprise@shill.network • GitHub: https://github.com/your-org/shill • License: Apache 2.0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