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5"/>
        <w:gridCol w:w="2246"/>
        <w:gridCol w:w="1996"/>
        <w:gridCol w:w="1893"/>
        <w:gridCol w:w="1323"/>
        <w:gridCol w:w="2025"/>
        <w:gridCol w:w="222"/>
        <w:gridCol w:w="222"/>
        <w:gridCol w:w="1334"/>
        <w:gridCol w:w="222"/>
        <w:gridCol w:w="222"/>
      </w:tblGrid>
      <w:tr w:rsidR="00145563" w:rsidRPr="00D030D0" w14:paraId="37FD01A7" w14:textId="77777777" w:rsidTr="004765D8">
        <w:tc>
          <w:tcPr>
            <w:tcW w:w="2840" w:type="dxa"/>
            <w:shd w:val="clear" w:color="auto" w:fill="FFFFFF" w:themeFill="background1"/>
          </w:tcPr>
          <w:p w14:paraId="2E260B3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04887CC5" w14:textId="77777777" w:rsidR="00910B24" w:rsidRPr="00D030D0" w:rsidRDefault="002430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Краткое описание решения</w:t>
            </w:r>
          </w:p>
        </w:tc>
        <w:tc>
          <w:tcPr>
            <w:tcW w:w="1985" w:type="dxa"/>
          </w:tcPr>
          <w:p w14:paraId="032751DC" w14:textId="77777777" w:rsidR="00910B24" w:rsidRPr="00D030D0" w:rsidRDefault="00AB3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Действия</w:t>
            </w:r>
          </w:p>
        </w:tc>
        <w:tc>
          <w:tcPr>
            <w:tcW w:w="1883" w:type="dxa"/>
          </w:tcPr>
          <w:p w14:paraId="167C128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</w:t>
            </w:r>
          </w:p>
        </w:tc>
        <w:tc>
          <w:tcPr>
            <w:tcW w:w="1316" w:type="dxa"/>
          </w:tcPr>
          <w:p w14:paraId="30E09CD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Критерий достижения результата</w:t>
            </w:r>
          </w:p>
        </w:tc>
        <w:tc>
          <w:tcPr>
            <w:tcW w:w="2014" w:type="dxa"/>
          </w:tcPr>
          <w:p w14:paraId="33ECD67E" w14:textId="77777777" w:rsidR="00910B24" w:rsidRPr="00D030D0" w:rsidRDefault="008D52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Комментарии</w:t>
            </w:r>
          </w:p>
        </w:tc>
        <w:tc>
          <w:tcPr>
            <w:tcW w:w="222" w:type="dxa"/>
          </w:tcPr>
          <w:p w14:paraId="1FED6E1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2A4A19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30D93EF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952048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A8413E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1F60D6F" w14:textId="77777777" w:rsidTr="004765D8">
        <w:tc>
          <w:tcPr>
            <w:tcW w:w="2840" w:type="dxa"/>
          </w:tcPr>
          <w:p w14:paraId="00353113" w14:textId="77777777" w:rsidR="00910B24" w:rsidRPr="007C57B1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57B1">
              <w:rPr>
                <w:rFonts w:ascii="Arial" w:hAnsi="Arial" w:cs="Arial"/>
                <w:b/>
                <w:sz w:val="20"/>
                <w:szCs w:val="20"/>
              </w:rPr>
              <w:t>Факторы выбора госслужбы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14:paraId="13A84B5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3A60281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D9D9D9" w:themeFill="background1" w:themeFillShade="D9"/>
          </w:tcPr>
          <w:p w14:paraId="15EF0BD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14:paraId="0EA65BC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1F1C846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240FBDA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0AEB9AE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D9D9D9" w:themeFill="background1" w:themeFillShade="D9"/>
          </w:tcPr>
          <w:p w14:paraId="0BA1F3E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5F16749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7B832A2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0B7ABDDF" w14:textId="77777777" w:rsidTr="004765D8">
        <w:tc>
          <w:tcPr>
            <w:tcW w:w="2840" w:type="dxa"/>
            <w:shd w:val="clear" w:color="auto" w:fill="FFFFFF" w:themeFill="background1"/>
          </w:tcPr>
          <w:p w14:paraId="076E5CB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  <w:shd w:val="clear" w:color="auto" w:fill="FFFFFF" w:themeFill="background1"/>
          </w:tcPr>
          <w:p w14:paraId="2FE819B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762F92F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FFFFFF" w:themeFill="background1"/>
          </w:tcPr>
          <w:p w14:paraId="1A26EA6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 w14:paraId="61FA1F1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14:paraId="5387BAB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91357B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618379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FFFFFF" w:themeFill="background1"/>
          </w:tcPr>
          <w:p w14:paraId="3A1A1D6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6E61DE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51616F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460A64E" w14:textId="77777777" w:rsidTr="004765D8">
        <w:tc>
          <w:tcPr>
            <w:tcW w:w="2840" w:type="dxa"/>
          </w:tcPr>
          <w:p w14:paraId="7ED2CED4" w14:textId="77777777" w:rsidR="00910B24" w:rsidRPr="00C71B62" w:rsidRDefault="00910B24" w:rsidP="00C71B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Целевое обучение</w:t>
            </w:r>
            <w:r w:rsidRPr="00C71B62">
              <w:rPr>
                <w:rFonts w:ascii="Arial" w:hAnsi="Arial" w:cs="Arial"/>
                <w:b/>
                <w:sz w:val="20"/>
                <w:szCs w:val="20"/>
              </w:rPr>
              <w:t xml:space="preserve"> на ИТ специальности для госслужбы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14:paraId="78558B6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04D2004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shd w:val="clear" w:color="auto" w:fill="D9D9D9" w:themeFill="background1" w:themeFillShade="D9"/>
          </w:tcPr>
          <w:p w14:paraId="07627CF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14:paraId="6861C8C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0A60767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31ACF2C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52EB277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D9D9D9" w:themeFill="background1" w:themeFillShade="D9"/>
          </w:tcPr>
          <w:p w14:paraId="2256ED2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7BD3FB7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shd w:val="clear" w:color="auto" w:fill="D9D9D9" w:themeFill="background1" w:themeFillShade="D9"/>
          </w:tcPr>
          <w:p w14:paraId="0E6283A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00B4EB8" w14:textId="77777777" w:rsidTr="004765D8">
        <w:tc>
          <w:tcPr>
            <w:tcW w:w="2840" w:type="dxa"/>
          </w:tcPr>
          <w:p w14:paraId="3AD8F0FA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2FA17D5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Приём на бюджет абитуриентов без конкурса по направлениям обучения ИТ специалистов для госслужбы с включением в договор об обучении обязательств по поступлению на госслужбу на срок до 3-х лет по окончании обучения</w:t>
            </w:r>
          </w:p>
        </w:tc>
        <w:tc>
          <w:tcPr>
            <w:tcW w:w="1985" w:type="dxa"/>
          </w:tcPr>
          <w:p w14:paraId="61532AC1" w14:textId="77777777" w:rsidR="00AB3D7D" w:rsidRDefault="00AB3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6474DA">
              <w:rPr>
                <w:rFonts w:ascii="Arial" w:hAnsi="Arial" w:cs="Arial"/>
                <w:sz w:val="20"/>
                <w:szCs w:val="20"/>
              </w:rPr>
              <w:t xml:space="preserve">Выделить </w:t>
            </w:r>
            <w:r w:rsidR="00BD4BE9">
              <w:rPr>
                <w:rFonts w:ascii="Arial" w:hAnsi="Arial" w:cs="Arial"/>
                <w:sz w:val="20"/>
                <w:szCs w:val="20"/>
              </w:rPr>
              <w:t>квоты бюджетных мест для целевого обучения в ВУЗах по ИТ специальностям.</w:t>
            </w:r>
          </w:p>
          <w:p w14:paraId="4E9C2360" w14:textId="77777777" w:rsidR="00BD4BE9" w:rsidRDefault="006474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Разработать</w:t>
            </w:r>
            <w:r w:rsidR="00BD4B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0894">
              <w:rPr>
                <w:rFonts w:ascii="Arial" w:hAnsi="Arial" w:cs="Arial"/>
                <w:sz w:val="20"/>
                <w:szCs w:val="20"/>
              </w:rPr>
              <w:t>критерии</w:t>
            </w:r>
            <w:r w:rsidR="00BD4BE9">
              <w:rPr>
                <w:rFonts w:ascii="Arial" w:hAnsi="Arial" w:cs="Arial"/>
                <w:sz w:val="20"/>
                <w:szCs w:val="20"/>
              </w:rPr>
              <w:t xml:space="preserve"> отбора абитуриентов на целевое обучение.</w:t>
            </w:r>
          </w:p>
          <w:p w14:paraId="5705FDFA" w14:textId="77777777" w:rsidR="00BD4BE9" w:rsidRDefault="00BD4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474DA">
              <w:rPr>
                <w:rFonts w:ascii="Arial" w:hAnsi="Arial" w:cs="Arial"/>
                <w:sz w:val="20"/>
                <w:szCs w:val="20"/>
              </w:rPr>
              <w:t>. Разработать и утвердить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0894">
              <w:rPr>
                <w:rFonts w:ascii="Arial" w:hAnsi="Arial" w:cs="Arial"/>
                <w:sz w:val="20"/>
                <w:szCs w:val="20"/>
              </w:rPr>
              <w:t>организационно-распорядительные и договорные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0894">
              <w:rPr>
                <w:rFonts w:ascii="Arial" w:hAnsi="Arial" w:cs="Arial"/>
                <w:sz w:val="20"/>
                <w:szCs w:val="20"/>
              </w:rPr>
              <w:t>документы</w:t>
            </w:r>
            <w:r w:rsidR="00AB3D7D">
              <w:rPr>
                <w:rFonts w:ascii="Arial" w:hAnsi="Arial" w:cs="Arial"/>
                <w:sz w:val="20"/>
                <w:szCs w:val="20"/>
              </w:rPr>
              <w:t xml:space="preserve"> о целевом обучении.</w:t>
            </w:r>
          </w:p>
          <w:p w14:paraId="1BED5370" w14:textId="77777777" w:rsidR="00910B24" w:rsidRPr="00D030D0" w:rsidRDefault="00BD4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6474DA">
              <w:rPr>
                <w:rFonts w:ascii="Arial" w:hAnsi="Arial" w:cs="Arial"/>
                <w:sz w:val="20"/>
                <w:szCs w:val="20"/>
              </w:rPr>
              <w:t>Создать</w:t>
            </w:r>
            <w:r w:rsidR="00AB3D7D" w:rsidRPr="00AB3D7D"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="000E0894">
              <w:rPr>
                <w:rFonts w:ascii="Arial" w:hAnsi="Arial" w:cs="Arial"/>
                <w:sz w:val="20"/>
                <w:szCs w:val="20"/>
              </w:rPr>
              <w:t>рамках вузовских образовательных</w:t>
            </w:r>
            <w:r w:rsidR="00AB3D7D" w:rsidRPr="00AB3D7D">
              <w:rPr>
                <w:rFonts w:ascii="Arial" w:hAnsi="Arial" w:cs="Arial"/>
                <w:sz w:val="20"/>
                <w:szCs w:val="20"/>
              </w:rPr>
              <w:t xml:space="preserve"> программ </w:t>
            </w:r>
            <w:r w:rsidR="000E0894">
              <w:rPr>
                <w:rFonts w:ascii="Arial" w:hAnsi="Arial" w:cs="Arial"/>
                <w:sz w:val="20"/>
                <w:szCs w:val="20"/>
              </w:rPr>
              <w:t>по ИТ специальностям направления обучения, учитывающие</w:t>
            </w:r>
            <w:r w:rsidR="00AB3D7D" w:rsidRPr="00AB3D7D">
              <w:rPr>
                <w:rFonts w:ascii="Arial" w:hAnsi="Arial" w:cs="Arial"/>
                <w:sz w:val="20"/>
                <w:szCs w:val="20"/>
              </w:rPr>
              <w:t xml:space="preserve"> специфику госслужбы</w:t>
            </w:r>
          </w:p>
        </w:tc>
        <w:tc>
          <w:tcPr>
            <w:tcW w:w="1883" w:type="dxa"/>
          </w:tcPr>
          <w:p w14:paraId="7AA6AD93" w14:textId="77777777" w:rsidR="00910B24" w:rsidRDefault="00910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Обеспеч</w:t>
            </w:r>
            <w:r w:rsidR="006474DA">
              <w:rPr>
                <w:rFonts w:ascii="Arial" w:hAnsi="Arial" w:cs="Arial"/>
                <w:sz w:val="20"/>
                <w:szCs w:val="20"/>
              </w:rPr>
              <w:t>ение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к 2025 г. кадрового резерва ИТ специалистов для замещения вакантных должностей госслужбы.</w:t>
            </w:r>
          </w:p>
          <w:p w14:paraId="675DE1F4" w14:textId="77777777" w:rsidR="00910B24" w:rsidRDefault="00910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Повышение эффективности планирования деятельности в ИТ отрасли за счёт гарантированного кадрового резерва.</w:t>
            </w:r>
          </w:p>
          <w:p w14:paraId="17B229BB" w14:textId="77777777" w:rsidR="00AB3D7D" w:rsidRPr="00D030D0" w:rsidRDefault="00AB3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Повышение эффективности адаптации выпускников ИТ спец</w:t>
            </w:r>
            <w:r w:rsidR="00BD4BE9">
              <w:rPr>
                <w:rFonts w:ascii="Arial" w:hAnsi="Arial" w:cs="Arial"/>
                <w:sz w:val="20"/>
                <w:szCs w:val="20"/>
              </w:rPr>
              <w:t xml:space="preserve">иальностей к работе в ВУЗах и </w:t>
            </w:r>
            <w:proofErr w:type="spellStart"/>
            <w:r w:rsidR="00BD4BE9">
              <w:rPr>
                <w:rFonts w:ascii="Arial" w:hAnsi="Arial" w:cs="Arial"/>
                <w:sz w:val="20"/>
                <w:szCs w:val="20"/>
              </w:rPr>
              <w:t>ОИВах</w:t>
            </w:r>
            <w:proofErr w:type="spellEnd"/>
            <w:r w:rsidR="00BD4B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16" w:type="dxa"/>
          </w:tcPr>
          <w:p w14:paraId="28F7A77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FE0C42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CD27F1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262443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EDEAD1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FA257E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212A33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6379DACA" w14:textId="77777777" w:rsidTr="004765D8">
        <w:tc>
          <w:tcPr>
            <w:tcW w:w="2840" w:type="dxa"/>
          </w:tcPr>
          <w:p w14:paraId="6CD799FF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263BC27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DA0791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70525F1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16D93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E98B19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2E1725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ECBCA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E0DA02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BC6722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715340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0571D99A" w14:textId="77777777" w:rsidTr="004765D8">
        <w:tc>
          <w:tcPr>
            <w:tcW w:w="2840" w:type="dxa"/>
          </w:tcPr>
          <w:p w14:paraId="54CB66F3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1A3963E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6B95BE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3008348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45D3863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ED1CDA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1CAF39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1F051C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B7E42A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5CF776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3238A0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E737418" w14:textId="77777777" w:rsidTr="004765D8">
        <w:tc>
          <w:tcPr>
            <w:tcW w:w="2840" w:type="dxa"/>
          </w:tcPr>
          <w:p w14:paraId="7BB593E1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FF712A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4930E7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89FEDC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A72151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59F910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58BC7E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E80ED9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328942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6C94AA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341CD7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C5EF894" w14:textId="77777777" w:rsidTr="004765D8">
        <w:tc>
          <w:tcPr>
            <w:tcW w:w="2840" w:type="dxa"/>
          </w:tcPr>
          <w:p w14:paraId="1E3982DB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lastRenderedPageBreak/>
              <w:t>Приобретение первоначального опыта</w:t>
            </w:r>
          </w:p>
        </w:tc>
        <w:tc>
          <w:tcPr>
            <w:tcW w:w="2234" w:type="dxa"/>
          </w:tcPr>
          <w:p w14:paraId="1F5DBFA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8D8CE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3637F1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B0E806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6609EF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3C0839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B85015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892078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537AF7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45357E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0EEA4D82" w14:textId="77777777" w:rsidTr="004765D8">
        <w:tc>
          <w:tcPr>
            <w:tcW w:w="2840" w:type="dxa"/>
          </w:tcPr>
          <w:p w14:paraId="72731530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4400C0F5" w14:textId="77777777" w:rsidR="00910B24" w:rsidRPr="00D030D0" w:rsidRDefault="00AB3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Привлечение студентов старших курсов ВУЗов </w:t>
            </w:r>
            <w:r w:rsidR="006474DA">
              <w:rPr>
                <w:rFonts w:ascii="Arial" w:hAnsi="Arial" w:cs="Arial"/>
                <w:sz w:val="20"/>
                <w:szCs w:val="20"/>
              </w:rPr>
              <w:t>к решению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задач</w:t>
            </w:r>
            <w:r w:rsidR="006474DA">
              <w:rPr>
                <w:rFonts w:ascii="Arial" w:hAnsi="Arial" w:cs="Arial"/>
                <w:sz w:val="20"/>
                <w:szCs w:val="20"/>
              </w:rPr>
              <w:t xml:space="preserve"> в сфере ИТ</w:t>
            </w:r>
            <w:r>
              <w:rPr>
                <w:rFonts w:ascii="Arial" w:hAnsi="Arial" w:cs="Arial"/>
                <w:sz w:val="20"/>
                <w:szCs w:val="20"/>
              </w:rPr>
              <w:t xml:space="preserve"> для госслужбы в рамках </w:t>
            </w:r>
            <w:r w:rsidR="00C95A82">
              <w:rPr>
                <w:rFonts w:ascii="Arial" w:hAnsi="Arial" w:cs="Arial"/>
                <w:sz w:val="20"/>
                <w:szCs w:val="20"/>
              </w:rPr>
              <w:t xml:space="preserve">применения </w:t>
            </w:r>
            <w:r>
              <w:rPr>
                <w:rFonts w:ascii="Arial" w:hAnsi="Arial" w:cs="Arial"/>
                <w:sz w:val="20"/>
                <w:szCs w:val="20"/>
              </w:rPr>
              <w:t>проектной методики обучения</w:t>
            </w:r>
          </w:p>
        </w:tc>
        <w:tc>
          <w:tcPr>
            <w:tcW w:w="1985" w:type="dxa"/>
          </w:tcPr>
          <w:p w14:paraId="6BF74DD8" w14:textId="77777777" w:rsidR="00910B24" w:rsidRDefault="00707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Определить перечень</w:t>
            </w:r>
            <w:r w:rsidR="006474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58D3">
              <w:rPr>
                <w:rFonts w:ascii="Arial" w:hAnsi="Arial" w:cs="Arial"/>
                <w:sz w:val="20"/>
                <w:szCs w:val="20"/>
              </w:rPr>
              <w:t xml:space="preserve">задач в сфере </w:t>
            </w:r>
            <w:r w:rsidR="006474DA">
              <w:rPr>
                <w:rFonts w:ascii="Arial" w:hAnsi="Arial" w:cs="Arial"/>
                <w:sz w:val="20"/>
                <w:szCs w:val="20"/>
              </w:rPr>
              <w:t xml:space="preserve">ИТ </w:t>
            </w:r>
            <w:r w:rsidR="00C058D3">
              <w:rPr>
                <w:rFonts w:ascii="Arial" w:hAnsi="Arial" w:cs="Arial"/>
                <w:sz w:val="20"/>
                <w:szCs w:val="20"/>
              </w:rPr>
              <w:t>для</w:t>
            </w:r>
            <w:r>
              <w:rPr>
                <w:rFonts w:ascii="Arial" w:hAnsi="Arial" w:cs="Arial"/>
                <w:sz w:val="20"/>
                <w:szCs w:val="20"/>
              </w:rPr>
              <w:t xml:space="preserve"> госслужбы</w:t>
            </w:r>
            <w:r w:rsidR="006474DA">
              <w:rPr>
                <w:rFonts w:ascii="Arial" w:hAnsi="Arial" w:cs="Arial"/>
                <w:sz w:val="20"/>
                <w:szCs w:val="20"/>
              </w:rPr>
              <w:t>, не т</w:t>
            </w:r>
            <w:r>
              <w:rPr>
                <w:rFonts w:ascii="Arial" w:hAnsi="Arial" w:cs="Arial"/>
                <w:sz w:val="20"/>
                <w:szCs w:val="20"/>
              </w:rPr>
              <w:t>ребующих высокой квалификации исполнителей.</w:t>
            </w:r>
          </w:p>
          <w:p w14:paraId="09724551" w14:textId="77777777" w:rsidR="00707FEB" w:rsidRDefault="00707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707FEB">
              <w:rPr>
                <w:rFonts w:ascii="Arial" w:hAnsi="Arial" w:cs="Arial"/>
                <w:sz w:val="20"/>
                <w:szCs w:val="20"/>
              </w:rPr>
              <w:t>Разрабо</w:t>
            </w:r>
            <w:r>
              <w:rPr>
                <w:rFonts w:ascii="Arial" w:hAnsi="Arial" w:cs="Arial"/>
                <w:sz w:val="20"/>
                <w:szCs w:val="20"/>
              </w:rPr>
              <w:t>тать и утвердить организационно-распорядительные и договорные документы</w:t>
            </w:r>
            <w:r w:rsidR="00C058D3">
              <w:rPr>
                <w:rFonts w:ascii="Arial" w:hAnsi="Arial" w:cs="Arial"/>
                <w:sz w:val="20"/>
                <w:szCs w:val="20"/>
              </w:rPr>
              <w:t xml:space="preserve"> для организации работы студен</w:t>
            </w:r>
            <w:r w:rsidR="000B04BD">
              <w:rPr>
                <w:rFonts w:ascii="Arial" w:hAnsi="Arial" w:cs="Arial"/>
                <w:sz w:val="20"/>
                <w:szCs w:val="20"/>
              </w:rPr>
              <w:t>тов ВУЗов в интересах госслужбы.</w:t>
            </w:r>
          </w:p>
          <w:p w14:paraId="7FD9F2FD" w14:textId="77777777" w:rsidR="000B04BD" w:rsidRDefault="000B04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Привлечь</w:t>
            </w:r>
            <w:r w:rsidR="00F32FE7">
              <w:rPr>
                <w:rFonts w:ascii="Arial" w:hAnsi="Arial" w:cs="Arial"/>
                <w:sz w:val="20"/>
                <w:szCs w:val="20"/>
              </w:rPr>
              <w:t xml:space="preserve"> в обязательном порядке</w:t>
            </w:r>
            <w:r>
              <w:rPr>
                <w:rFonts w:ascii="Arial" w:hAnsi="Arial" w:cs="Arial"/>
                <w:sz w:val="20"/>
                <w:szCs w:val="20"/>
              </w:rPr>
              <w:t xml:space="preserve"> студентов старших курсов ИТ специальностей в рамках образовательного процесса к решению задач госслужбы в зачёт учебно-производственной практики или курсовых работ.</w:t>
            </w:r>
          </w:p>
          <w:p w14:paraId="674BC773" w14:textId="77777777" w:rsidR="000B04BD" w:rsidRPr="00D030D0" w:rsidRDefault="000B04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Продолжить привлечение студентов старших курсов ИТ специальностей по завершению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учебно-производственной практики</w:t>
            </w:r>
            <w:r w:rsidR="0027711A">
              <w:rPr>
                <w:rFonts w:ascii="Arial" w:hAnsi="Arial" w:cs="Arial"/>
                <w:sz w:val="20"/>
                <w:szCs w:val="20"/>
              </w:rPr>
              <w:t xml:space="preserve"> или написания курсовых работ в добровольном порядке.</w:t>
            </w:r>
          </w:p>
        </w:tc>
        <w:tc>
          <w:tcPr>
            <w:tcW w:w="1883" w:type="dxa"/>
          </w:tcPr>
          <w:p w14:paraId="612F6436" w14:textId="77777777" w:rsidR="00910B24" w:rsidRDefault="00E013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Обеспечение к 2023 г. кадрового резерва ИТ специалистов начального или среднего уровня квалификации для выполнения задач в сфере ИТ в интересах госслужбы.</w:t>
            </w:r>
          </w:p>
          <w:p w14:paraId="722458DC" w14:textId="77777777" w:rsidR="00E01311" w:rsidRPr="00E01311" w:rsidRDefault="00E01311" w:rsidP="00E013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E01311">
              <w:rPr>
                <w:rFonts w:ascii="Arial" w:hAnsi="Arial" w:cs="Arial"/>
                <w:sz w:val="20"/>
                <w:szCs w:val="20"/>
              </w:rPr>
              <w:t xml:space="preserve"> Повышение эффективности планирования деятельности в ИТ отрасли за счёт гарантированного кадрового резерва.</w:t>
            </w:r>
          </w:p>
          <w:p w14:paraId="7771E9AD" w14:textId="77777777" w:rsidR="00E01311" w:rsidRDefault="00E01311" w:rsidP="00E01311">
            <w:pPr>
              <w:rPr>
                <w:rFonts w:ascii="Arial" w:hAnsi="Arial" w:cs="Arial"/>
                <w:sz w:val="20"/>
                <w:szCs w:val="20"/>
              </w:rPr>
            </w:pPr>
            <w:r w:rsidRPr="00E01311">
              <w:rPr>
                <w:rFonts w:ascii="Arial" w:hAnsi="Arial" w:cs="Arial"/>
                <w:sz w:val="20"/>
                <w:szCs w:val="20"/>
              </w:rPr>
              <w:t xml:space="preserve">3. Повышение эффективности адаптации выпускников ИТ специальностей к работе в ВУЗах и </w:t>
            </w:r>
            <w:proofErr w:type="spellStart"/>
            <w:r w:rsidRPr="00E01311">
              <w:rPr>
                <w:rFonts w:ascii="Arial" w:hAnsi="Arial" w:cs="Arial"/>
                <w:sz w:val="20"/>
                <w:szCs w:val="20"/>
              </w:rPr>
              <w:t>ОИВах</w:t>
            </w:r>
            <w:proofErr w:type="spellEnd"/>
            <w:r w:rsidRPr="00E013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1E987E" w14:textId="77777777" w:rsidR="00401F77" w:rsidRPr="00E01311" w:rsidRDefault="00401F77" w:rsidP="00E013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Приобретение студентами практического опыта решения задач в сфере ИТ.</w:t>
            </w:r>
          </w:p>
        </w:tc>
        <w:tc>
          <w:tcPr>
            <w:tcW w:w="1316" w:type="dxa"/>
          </w:tcPr>
          <w:p w14:paraId="78CD035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C06448C" w14:textId="77777777" w:rsidR="00910B24" w:rsidRPr="00D030D0" w:rsidRDefault="00145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Существуют задачи, которые легко может решить современный школьник, тем более студент старших курсов ИТ специальности. Также участие большой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постоянной  команды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ИТ специалистов требуется не всегда. Поэтому базовая команда может быть немногочисленной, а наращивание кадрового ресурса для решения трудоёмких задач может происходить на короткие периоды за счёт применение указанного решения.</w:t>
            </w:r>
          </w:p>
        </w:tc>
        <w:tc>
          <w:tcPr>
            <w:tcW w:w="222" w:type="dxa"/>
          </w:tcPr>
          <w:p w14:paraId="4780992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B81705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FBEE83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9E0159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4A9533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137A281" w14:textId="77777777" w:rsidTr="004765D8">
        <w:tc>
          <w:tcPr>
            <w:tcW w:w="2840" w:type="dxa"/>
          </w:tcPr>
          <w:p w14:paraId="4DAC369D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2B7FC5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57ED7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133CFA7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5618F1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2ABAE90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F8A878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07F66D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29A3E6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2588A2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9B99FE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6792E656" w14:textId="77777777" w:rsidTr="004765D8">
        <w:tc>
          <w:tcPr>
            <w:tcW w:w="2840" w:type="dxa"/>
          </w:tcPr>
          <w:p w14:paraId="0E61FCF1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031675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257555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4B72D74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FB9C0B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4232B5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442499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E0D633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2A52F5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6170E1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83E27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2965C8C" w14:textId="77777777" w:rsidTr="004765D8">
        <w:tc>
          <w:tcPr>
            <w:tcW w:w="2840" w:type="dxa"/>
          </w:tcPr>
          <w:p w14:paraId="099B508E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266E0CD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6F0336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27EFF9D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3C4F77C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4FB2F79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FD2389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ED1208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7D93BE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3DAC4A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AB666E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5DB7368" w14:textId="77777777" w:rsidTr="004765D8">
        <w:tc>
          <w:tcPr>
            <w:tcW w:w="2840" w:type="dxa"/>
          </w:tcPr>
          <w:p w14:paraId="1D693C5B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Развитие/самореализация</w:t>
            </w:r>
          </w:p>
        </w:tc>
        <w:tc>
          <w:tcPr>
            <w:tcW w:w="2234" w:type="dxa"/>
          </w:tcPr>
          <w:p w14:paraId="693D2C3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D582C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1C062B5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33B95A9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8D4E5E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A84148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8152BF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6F441B7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2DE665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908135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1475FA27" w14:textId="77777777" w:rsidTr="004765D8">
        <w:tc>
          <w:tcPr>
            <w:tcW w:w="2840" w:type="dxa"/>
          </w:tcPr>
          <w:p w14:paraId="5EE74574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96069D3" w14:textId="77777777" w:rsidR="00910B24" w:rsidRPr="00D030D0" w:rsidRDefault="00302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в ВУЗах ИТ инкубаторов</w:t>
            </w:r>
            <w:r w:rsidR="00401F77">
              <w:rPr>
                <w:rFonts w:ascii="Arial" w:hAnsi="Arial" w:cs="Arial"/>
                <w:sz w:val="20"/>
                <w:szCs w:val="20"/>
              </w:rPr>
              <w:t>, позволяющих использовать инфраструктуру и кадровые ресурсы ВУЗа для развития ИТ специалистами собственных проектов в обмен на решение задач в сфере ИТ в интересах ВУЗа или госслужбы.</w:t>
            </w:r>
          </w:p>
        </w:tc>
        <w:tc>
          <w:tcPr>
            <w:tcW w:w="1985" w:type="dxa"/>
          </w:tcPr>
          <w:p w14:paraId="32C8B91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9708CD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4DD8729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03B009A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3702C5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162783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49AB026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0878E7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B70764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540A9FB" w14:textId="77777777" w:rsidTr="004765D8">
        <w:tc>
          <w:tcPr>
            <w:tcW w:w="2840" w:type="dxa"/>
          </w:tcPr>
          <w:p w14:paraId="0D0A6FC8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46EF551" w14:textId="77777777" w:rsidR="00910B24" w:rsidRPr="00D030D0" w:rsidRDefault="00401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на базе ВУЗов ресурсных центров ИТ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волонтёрства</w:t>
            </w:r>
            <w:proofErr w:type="spellEnd"/>
            <w:r w:rsidR="00090A6D">
              <w:rPr>
                <w:rFonts w:ascii="Arial" w:hAnsi="Arial" w:cs="Arial"/>
                <w:sz w:val="20"/>
                <w:szCs w:val="20"/>
              </w:rPr>
              <w:t xml:space="preserve"> для решения ИТ задач в интересах ВУЗа и госслужбы</w:t>
            </w:r>
          </w:p>
        </w:tc>
        <w:tc>
          <w:tcPr>
            <w:tcW w:w="1985" w:type="dxa"/>
          </w:tcPr>
          <w:p w14:paraId="0FC5FDF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39ACC8E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34A3BCB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088B121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A42E2B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3013E5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1C11C4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866514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849760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EA50C01" w14:textId="77777777" w:rsidTr="004765D8">
        <w:tc>
          <w:tcPr>
            <w:tcW w:w="2840" w:type="dxa"/>
          </w:tcPr>
          <w:p w14:paraId="3CC5BCB4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08E519EA" w14:textId="77777777" w:rsidR="00910B24" w:rsidRPr="00D030D0" w:rsidRDefault="00156D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Допускать участие ИТ специалистов, находящихся на госслужбе или работающих в ВУЗах, в проектах коммерческих ИТ компаний (по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согласованию с госучреждением или ВУЗом) в виде профессиональной стажировки.</w:t>
            </w:r>
          </w:p>
        </w:tc>
        <w:tc>
          <w:tcPr>
            <w:tcW w:w="1985" w:type="dxa"/>
          </w:tcPr>
          <w:p w14:paraId="581FD54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84642F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83B15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4937CFA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D26A44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E78BA0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885FCD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74234A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1E9BA8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D75B7F7" w14:textId="77777777" w:rsidTr="004765D8">
        <w:tc>
          <w:tcPr>
            <w:tcW w:w="2840" w:type="dxa"/>
          </w:tcPr>
          <w:p w14:paraId="7CCA6916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C2E7251" w14:textId="77777777" w:rsidR="00910B24" w:rsidRPr="00D030D0" w:rsidRDefault="00156D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на базе ВУЗов автономных саморегулирующихся предприятий с правом ведения коммерческой деятельности, в которых ИТ специалисты ВУЗов могут принимать участие в проектах коммерческих ИТ компаний. </w:t>
            </w:r>
          </w:p>
        </w:tc>
        <w:tc>
          <w:tcPr>
            <w:tcW w:w="1985" w:type="dxa"/>
          </w:tcPr>
          <w:p w14:paraId="1CE47B0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4514B5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3DC2E84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79557F5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00362D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CF355A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E28C99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C9B5F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E577D7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1BD1" w:rsidRPr="00D030D0" w14:paraId="1C73F9C4" w14:textId="77777777" w:rsidTr="004765D8">
        <w:tc>
          <w:tcPr>
            <w:tcW w:w="2840" w:type="dxa"/>
          </w:tcPr>
          <w:p w14:paraId="081F683C" w14:textId="77777777" w:rsidR="005E1BD1" w:rsidRPr="00C71B62" w:rsidRDefault="005E1BD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37EE6FAF" w14:textId="77777777" w:rsidR="005E1BD1" w:rsidRDefault="00FA4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Помощь ВУЗов и госучреждений в регистрации авторских прав своих ИТ специалистов на разработанные объекты интеллектуальной собственности</w:t>
            </w:r>
          </w:p>
        </w:tc>
        <w:tc>
          <w:tcPr>
            <w:tcW w:w="1985" w:type="dxa"/>
          </w:tcPr>
          <w:p w14:paraId="513F54A8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59F80D5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31E3003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4824CB9D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6A42EC9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3A3AC50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591643FD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63B3353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82CDF00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1BD1" w:rsidRPr="00D030D0" w14:paraId="3C2BFED6" w14:textId="77777777" w:rsidTr="004765D8">
        <w:tc>
          <w:tcPr>
            <w:tcW w:w="2840" w:type="dxa"/>
          </w:tcPr>
          <w:p w14:paraId="284183DC" w14:textId="77777777" w:rsidR="005E1BD1" w:rsidRPr="00C71B62" w:rsidRDefault="005E1BD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46C567A" w14:textId="77777777" w:rsidR="005E1BD1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B3E7210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25AAD7CF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625EDC0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181EB884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D996AA7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19D8C8B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4257E5A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D6CEB9C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69779E4" w14:textId="77777777" w:rsidR="005E1BD1" w:rsidRPr="00D030D0" w:rsidRDefault="005E1B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0DC6453E" w14:textId="77777777" w:rsidTr="004765D8">
        <w:tc>
          <w:tcPr>
            <w:tcW w:w="2840" w:type="dxa"/>
          </w:tcPr>
          <w:p w14:paraId="7EDC3DDE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Культура управления</w:t>
            </w:r>
          </w:p>
        </w:tc>
        <w:tc>
          <w:tcPr>
            <w:tcW w:w="2234" w:type="dxa"/>
          </w:tcPr>
          <w:p w14:paraId="623E5D9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D99521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4DEEBC8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AC288A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7400C50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C92B7D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3A486E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59D8422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86EC42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C6730C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1F1FBDEF" w14:textId="77777777" w:rsidTr="004765D8">
        <w:tc>
          <w:tcPr>
            <w:tcW w:w="2840" w:type="dxa"/>
          </w:tcPr>
          <w:p w14:paraId="0A5B08EF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1726F25" w14:textId="77777777" w:rsidR="00910B24" w:rsidRPr="00D030D0" w:rsidRDefault="000F1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Отказ от бюрократической (иерархической) структуры управления в отношении ИТ подразделений ВУЗов и госучреждений</w:t>
            </w:r>
            <w:r w:rsidR="004615AF">
              <w:rPr>
                <w:rFonts w:ascii="Arial" w:hAnsi="Arial" w:cs="Arial"/>
                <w:sz w:val="20"/>
                <w:szCs w:val="20"/>
              </w:rPr>
              <w:t xml:space="preserve">, развитие горизонтальных </w:t>
            </w:r>
            <w:r w:rsidR="004615AF">
              <w:rPr>
                <w:rFonts w:ascii="Arial" w:hAnsi="Arial" w:cs="Arial"/>
                <w:sz w:val="20"/>
                <w:szCs w:val="20"/>
              </w:rPr>
              <w:lastRenderedPageBreak/>
              <w:t xml:space="preserve">связей и неформального взаимодействия в ИТ подразделениях и между ИТ и прочими подразделениями, </w:t>
            </w:r>
          </w:p>
        </w:tc>
        <w:tc>
          <w:tcPr>
            <w:tcW w:w="1985" w:type="dxa"/>
          </w:tcPr>
          <w:p w14:paraId="7E1ED2B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7F87262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7ED068E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1C548C8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29FFC9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EA94B9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3FC60F6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C4A1F7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2A5D66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16462C10" w14:textId="77777777" w:rsidTr="004765D8">
        <w:tc>
          <w:tcPr>
            <w:tcW w:w="2840" w:type="dxa"/>
          </w:tcPr>
          <w:p w14:paraId="1FC6455B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145F6B2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9DBE3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D97D73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527530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70A8564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501F65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7547C3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3F2D1EB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0FF63A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09F31C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522337B" w14:textId="77777777" w:rsidTr="004765D8">
        <w:tc>
          <w:tcPr>
            <w:tcW w:w="2840" w:type="dxa"/>
          </w:tcPr>
          <w:p w14:paraId="1D152A32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5000857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F0D4D7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7C61DE9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1A62E1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F41ED8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F43674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7DF0BF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2DA69B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01604F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7C96B3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E606555" w14:textId="77777777" w:rsidTr="004765D8">
        <w:tc>
          <w:tcPr>
            <w:tcW w:w="2840" w:type="dxa"/>
          </w:tcPr>
          <w:p w14:paraId="3C1DD91D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601F08D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A43CF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34C37D1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4AA1A48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631C77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EBD830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757C3B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3CFBEAB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7695BC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FF1E81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9527ADC" w14:textId="77777777" w:rsidTr="004765D8">
        <w:tc>
          <w:tcPr>
            <w:tcW w:w="2840" w:type="dxa"/>
          </w:tcPr>
          <w:p w14:paraId="631C5E92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Локация</w:t>
            </w:r>
          </w:p>
        </w:tc>
        <w:tc>
          <w:tcPr>
            <w:tcW w:w="2234" w:type="dxa"/>
          </w:tcPr>
          <w:p w14:paraId="5264E81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427DD0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855F00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63E67B7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1C1B30D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A2C785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710DD0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5CFCE77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D49368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CBD682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E9B3350" w14:textId="77777777" w:rsidTr="004765D8">
        <w:tc>
          <w:tcPr>
            <w:tcW w:w="2840" w:type="dxa"/>
          </w:tcPr>
          <w:p w14:paraId="6C403511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640C3C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DA3E48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38358F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60F9364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3A50CC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DE7075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311ED3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1C6825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7832D4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E6BF4C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3864BA65" w14:textId="77777777" w:rsidTr="004765D8">
        <w:tc>
          <w:tcPr>
            <w:tcW w:w="2840" w:type="dxa"/>
          </w:tcPr>
          <w:p w14:paraId="330C71E9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F7AB60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A7430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28C42F4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95588D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16E4FE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FFB4D0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6C784D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7F3F66C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E57794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CD4524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3BB1274" w14:textId="77777777" w:rsidTr="004765D8">
        <w:tc>
          <w:tcPr>
            <w:tcW w:w="2840" w:type="dxa"/>
          </w:tcPr>
          <w:p w14:paraId="0B4F774E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02A0B12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B9A38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11C4256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CDBAE5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02BC3C3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A5EC01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FFB9EA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3023FE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85A6A5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FAE7B4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1322BD83" w14:textId="77777777" w:rsidTr="004765D8">
        <w:tc>
          <w:tcPr>
            <w:tcW w:w="2840" w:type="dxa"/>
          </w:tcPr>
          <w:p w14:paraId="4ABFBB90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388B71D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9ACF2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4609A55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7B17FD5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25E3E6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48BF85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8C3DB8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CCAB34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74C525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600434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4718ACA" w14:textId="77777777" w:rsidTr="004765D8">
        <w:tc>
          <w:tcPr>
            <w:tcW w:w="2840" w:type="dxa"/>
          </w:tcPr>
          <w:p w14:paraId="36CD0A94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Процедура отбора кадров</w:t>
            </w:r>
          </w:p>
        </w:tc>
        <w:tc>
          <w:tcPr>
            <w:tcW w:w="2234" w:type="dxa"/>
          </w:tcPr>
          <w:p w14:paraId="731BAE3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7F8A8F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6976CBC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D75103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EFB4C1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9A401B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3E211F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2D7CD5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BEDDE5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F78B2D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092F876" w14:textId="77777777" w:rsidTr="004765D8">
        <w:tc>
          <w:tcPr>
            <w:tcW w:w="2840" w:type="dxa"/>
          </w:tcPr>
          <w:p w14:paraId="22E65980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A044F7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269DC3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2318B7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41C0F0A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21DD4A5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17A501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C5E48D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81CF71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A40BDF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0C3BF6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BC9CFB8" w14:textId="77777777" w:rsidTr="004765D8">
        <w:tc>
          <w:tcPr>
            <w:tcW w:w="2840" w:type="dxa"/>
          </w:tcPr>
          <w:p w14:paraId="61528E1F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3723318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2EC71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99914D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0C1B1F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1D4D7C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D66A39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59FB25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A88F06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27B2F3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ACFAA6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31C3413" w14:textId="77777777" w:rsidTr="004765D8">
        <w:tc>
          <w:tcPr>
            <w:tcW w:w="2840" w:type="dxa"/>
          </w:tcPr>
          <w:p w14:paraId="6832A18E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796CAB0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E9778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F9BE73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6B02DD8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7F9AA7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00D34A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5AAB97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41993A2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E57FD8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0A5C8F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F5E6949" w14:textId="77777777" w:rsidTr="004765D8">
        <w:tc>
          <w:tcPr>
            <w:tcW w:w="2840" w:type="dxa"/>
          </w:tcPr>
          <w:p w14:paraId="1C06B684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</w:tcPr>
          <w:p w14:paraId="48949D7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86A1BA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69B3905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8B515B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460E416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BF0E4C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385EC5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53C82F4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1CA8BB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25DB11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1BED336" w14:textId="77777777" w:rsidTr="004765D8">
        <w:tc>
          <w:tcPr>
            <w:tcW w:w="2840" w:type="dxa"/>
          </w:tcPr>
          <w:p w14:paraId="53F9F161" w14:textId="77777777" w:rsidR="00910B24" w:rsidRPr="00C71B62" w:rsidRDefault="00910B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62">
              <w:rPr>
                <w:rFonts w:ascii="Arial" w:hAnsi="Arial" w:cs="Arial"/>
                <w:b/>
                <w:sz w:val="20"/>
                <w:szCs w:val="20"/>
              </w:rPr>
              <w:t>Информационная кампания для привлечения внимания ИТ специалистов к преимуществам госслужбы</w:t>
            </w:r>
          </w:p>
        </w:tc>
        <w:tc>
          <w:tcPr>
            <w:tcW w:w="2234" w:type="dxa"/>
          </w:tcPr>
          <w:p w14:paraId="36AE0A9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DD9932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2EEF3DE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B2573C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6D72BA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7B26C6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2F570E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CF829D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769657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1652EB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D67CB3F" w14:textId="77777777" w:rsidTr="004765D8">
        <w:tc>
          <w:tcPr>
            <w:tcW w:w="2840" w:type="dxa"/>
          </w:tcPr>
          <w:p w14:paraId="40B9B48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2F5081D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E917E7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6EADEDB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2184F50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04B7B5F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6CCFB6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0D5987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D47560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4BC8FA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0E0DC1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5B4E6F48" w14:textId="77777777" w:rsidTr="004765D8">
        <w:tc>
          <w:tcPr>
            <w:tcW w:w="2840" w:type="dxa"/>
          </w:tcPr>
          <w:p w14:paraId="11ED23F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5189090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12D278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C51CD1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3935D8E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1CEDED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847146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9E58AE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360EAC9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BFEF8A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F9752C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EE8DC1A" w14:textId="77777777" w:rsidTr="004765D8">
        <w:tc>
          <w:tcPr>
            <w:tcW w:w="2840" w:type="dxa"/>
          </w:tcPr>
          <w:p w14:paraId="6B100DB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61EA5F1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50130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55F713E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2C2E09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092E63F0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3BC9D5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5EC26E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4F9E1BF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FA4236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6EF219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34FDBA9A" w14:textId="77777777" w:rsidTr="004765D8">
        <w:tc>
          <w:tcPr>
            <w:tcW w:w="2840" w:type="dxa"/>
          </w:tcPr>
          <w:p w14:paraId="36508C0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4B19371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6471C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256DF77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BBB36E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9DF279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0FF11F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461147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5B5AC3A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4103D1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E03DB3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2F1A777C" w14:textId="77777777" w:rsidTr="004765D8">
        <w:tc>
          <w:tcPr>
            <w:tcW w:w="2840" w:type="dxa"/>
          </w:tcPr>
          <w:p w14:paraId="04EC75D3" w14:textId="77777777" w:rsidR="00910B24" w:rsidRPr="000D7A5D" w:rsidRDefault="000D7A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7A5D">
              <w:rPr>
                <w:rFonts w:ascii="Arial" w:hAnsi="Arial" w:cs="Arial"/>
                <w:b/>
                <w:sz w:val="20"/>
                <w:szCs w:val="20"/>
              </w:rPr>
              <w:t xml:space="preserve">Специализация ВУЗов по ИТ </w:t>
            </w:r>
            <w:proofErr w:type="spellStart"/>
            <w:r w:rsidRPr="000D7A5D">
              <w:rPr>
                <w:rFonts w:ascii="Arial" w:hAnsi="Arial" w:cs="Arial"/>
                <w:b/>
                <w:sz w:val="20"/>
                <w:szCs w:val="20"/>
              </w:rPr>
              <w:t>наравлениям</w:t>
            </w:r>
            <w:proofErr w:type="spellEnd"/>
          </w:p>
        </w:tc>
        <w:tc>
          <w:tcPr>
            <w:tcW w:w="2234" w:type="dxa"/>
          </w:tcPr>
          <w:p w14:paraId="7E70C4E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3E433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3AA6178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10E29CB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60A31B8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C63FE5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320D91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E3656C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5ACB67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DE0AB5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70FE44FD" w14:textId="77777777" w:rsidTr="004765D8">
        <w:tc>
          <w:tcPr>
            <w:tcW w:w="2840" w:type="dxa"/>
          </w:tcPr>
          <w:p w14:paraId="2566972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6BC19B7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D761E6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377A926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744FE3B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7DFE34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320230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2ED329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00B9A8C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D8D052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560AA23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451055B0" w14:textId="77777777" w:rsidTr="004765D8">
        <w:tc>
          <w:tcPr>
            <w:tcW w:w="2840" w:type="dxa"/>
          </w:tcPr>
          <w:p w14:paraId="65A9876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33BC976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508C5C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1C980CB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102D269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2F2D7134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7D5C9A46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4976D1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040AFFF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CAC9CA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502BCC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626CF3BD" w14:textId="77777777" w:rsidTr="004765D8">
        <w:tc>
          <w:tcPr>
            <w:tcW w:w="2840" w:type="dxa"/>
          </w:tcPr>
          <w:p w14:paraId="1EB41A6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7E65B69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1B6CA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7A24A87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6B600751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E0594D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72C54BA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1ABB1BC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72510E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405906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6481CB9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563" w:rsidRPr="00D030D0" w14:paraId="3DABC0EE" w14:textId="77777777" w:rsidTr="004765D8">
        <w:tc>
          <w:tcPr>
            <w:tcW w:w="2840" w:type="dxa"/>
          </w:tcPr>
          <w:p w14:paraId="08CF923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4" w:type="dxa"/>
          </w:tcPr>
          <w:p w14:paraId="1E295227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41538C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</w:tcPr>
          <w:p w14:paraId="0F2EF03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14:paraId="16C3077D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</w:tcPr>
          <w:p w14:paraId="53030A25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36A90F13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0EB41962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6" w:type="dxa"/>
          </w:tcPr>
          <w:p w14:paraId="2E3E7109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2C833518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14:paraId="4098B6DB" w14:textId="77777777" w:rsidR="00910B24" w:rsidRPr="00D030D0" w:rsidRDefault="00910B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154E58" w14:textId="77777777" w:rsidR="0048715D" w:rsidRDefault="0048715D"/>
    <w:sectPr w:rsidR="0048715D" w:rsidSect="00D030D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0"/>
    <w:rsid w:val="00090A6D"/>
    <w:rsid w:val="000B04BD"/>
    <w:rsid w:val="000C06BF"/>
    <w:rsid w:val="000D7A5D"/>
    <w:rsid w:val="000E0894"/>
    <w:rsid w:val="000F1C8E"/>
    <w:rsid w:val="0013433D"/>
    <w:rsid w:val="00145563"/>
    <w:rsid w:val="00156D1D"/>
    <w:rsid w:val="002430E5"/>
    <w:rsid w:val="0027711A"/>
    <w:rsid w:val="002E5B86"/>
    <w:rsid w:val="003025B3"/>
    <w:rsid w:val="003B0D65"/>
    <w:rsid w:val="00401F77"/>
    <w:rsid w:val="004615AF"/>
    <w:rsid w:val="004765D8"/>
    <w:rsid w:val="0048715D"/>
    <w:rsid w:val="005811C5"/>
    <w:rsid w:val="005E1BD1"/>
    <w:rsid w:val="006474DA"/>
    <w:rsid w:val="00707FEB"/>
    <w:rsid w:val="007C57B1"/>
    <w:rsid w:val="008D52BC"/>
    <w:rsid w:val="00910B24"/>
    <w:rsid w:val="00A057AE"/>
    <w:rsid w:val="00AB3D7D"/>
    <w:rsid w:val="00BD4BE9"/>
    <w:rsid w:val="00BE5CD6"/>
    <w:rsid w:val="00C058D3"/>
    <w:rsid w:val="00C71B62"/>
    <w:rsid w:val="00C95A82"/>
    <w:rsid w:val="00CA1A56"/>
    <w:rsid w:val="00D030D0"/>
    <w:rsid w:val="00E01311"/>
    <w:rsid w:val="00F32FE7"/>
    <w:rsid w:val="00FA4CDB"/>
    <w:rsid w:val="00FC660B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3AF"/>
  <w15:docId w15:val="{238E9A44-35F1-47E0-9AF8-786420C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Константин Белоусов</cp:lastModifiedBy>
  <cp:revision>2</cp:revision>
  <dcterms:created xsi:type="dcterms:W3CDTF">2021-04-17T15:38:00Z</dcterms:created>
  <dcterms:modified xsi:type="dcterms:W3CDTF">2021-04-17T15:38:00Z</dcterms:modified>
</cp:coreProperties>
</file>