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6E882" w14:textId="77777777" w:rsidR="001A0841" w:rsidRPr="001A0841" w:rsidRDefault="001A0841" w:rsidP="001A0841">
      <w:pPr>
        <w:spacing w:before="100" w:beforeAutospacing="1" w:after="100" w:afterAutospacing="1" w:line="240" w:lineRule="auto"/>
        <w:jc w:val="center"/>
        <w:outlineLvl w:val="0"/>
        <w:rPr>
          <w:rFonts w:eastAsia="Times New Roman" w:cs="Times New Roman"/>
          <w:b/>
          <w:bCs/>
          <w:kern w:val="36"/>
          <w:sz w:val="48"/>
          <w:szCs w:val="48"/>
          <w14:ligatures w14:val="none"/>
        </w:rPr>
      </w:pPr>
      <w:r w:rsidRPr="001A0841">
        <w:rPr>
          <w:rFonts w:eastAsia="Times New Roman" w:cs="Times New Roman"/>
          <w:b/>
          <w:bCs/>
          <w:kern w:val="36"/>
          <w:sz w:val="48"/>
          <w:szCs w:val="48"/>
          <w14:ligatures w14:val="none"/>
        </w:rPr>
        <w:t>Project Discovery Proposal</w:t>
      </w:r>
    </w:p>
    <w:p w14:paraId="500925F2" w14:textId="14330E55" w:rsidR="001A0841" w:rsidRPr="001A0841" w:rsidRDefault="001A0841" w:rsidP="001A0841">
      <w:pPr>
        <w:ind w:left="-810"/>
        <w:rPr>
          <w:b/>
          <w:bCs/>
        </w:rPr>
      </w:pPr>
      <w:r w:rsidRPr="001A0841">
        <w:rPr>
          <w:b/>
          <w:bCs/>
        </w:rPr>
        <w:t>Project Title and Summary</w:t>
      </w:r>
    </w:p>
    <w:p w14:paraId="7C662A66" w14:textId="05B9974B" w:rsidR="001A0841" w:rsidRDefault="001A0841" w:rsidP="001A0841">
      <w:pPr>
        <w:ind w:left="-810"/>
      </w:pPr>
      <w:r>
        <w:t>Understanding Cryptocurrency Market Volatility Through Explainable Time-Series Analysis</w:t>
      </w:r>
    </w:p>
    <w:p w14:paraId="1B016DB5" w14:textId="76757C6B" w:rsidR="00AD6C60" w:rsidRDefault="001A0841" w:rsidP="001A0841">
      <w:pPr>
        <w:ind w:left="-810"/>
      </w:pPr>
      <w:r>
        <w:t>This project aims to analyze one year of historical cryptocurrency market data to uncover volatility patterns, price dynamics, and risk signals using time-series analytics and LLM-assisted interpretation. By transforming raw daily trading data into actionable insights, the project demonstrates how complex financial datasets can be made interpretable for non-technical audiences such as policymakers, researchers, and the public. While cryptocurrency markets are global, the analytical framework developed here is transferable to public-sector financial monitoring, economic risk assessment, and open data–driven decision-making contexts.</w:t>
      </w:r>
    </w:p>
    <w:p w14:paraId="71B3BA09" w14:textId="77777777" w:rsidR="001A0841" w:rsidRDefault="001A0841" w:rsidP="001A0841">
      <w:pPr>
        <w:ind w:left="-810"/>
      </w:pPr>
    </w:p>
    <w:p w14:paraId="68A9CFF1" w14:textId="425E4896" w:rsidR="001A0841" w:rsidRPr="001A0841" w:rsidRDefault="001A0841" w:rsidP="001A0841">
      <w:pPr>
        <w:ind w:left="-810"/>
        <w:rPr>
          <w:b/>
          <w:bCs/>
        </w:rPr>
      </w:pPr>
      <w:r w:rsidRPr="001A0841">
        <w:rPr>
          <w:b/>
          <w:bCs/>
        </w:rPr>
        <w:t>Problem Statement</w:t>
      </w:r>
    </w:p>
    <w:p w14:paraId="3EC9D813" w14:textId="75CF27B5" w:rsidR="001A0841" w:rsidRDefault="001A0841" w:rsidP="001A0841">
      <w:pPr>
        <w:ind w:left="-810"/>
      </w:pPr>
      <w:r>
        <w:t>Cryptocurrency markets are highly volatile, yet most publicly available analyses focus on short-term price movements rather than systematic patterns of risk, momentum, and abnormal behavior. As digital assets increasingly intersect with local economies</w:t>
      </w:r>
      <w:r>
        <w:t xml:space="preserve">, </w:t>
      </w:r>
      <w:r>
        <w:t>through investments, employment, and taxation</w:t>
      </w:r>
      <w:r>
        <w:t xml:space="preserve">, </w:t>
      </w:r>
      <w:r>
        <w:t>there is growing interest in understanding their behavior in a transparent and interpretable way.</w:t>
      </w:r>
    </w:p>
    <w:p w14:paraId="60732F29" w14:textId="77777777" w:rsidR="001A0841" w:rsidRDefault="001A0841" w:rsidP="001A0841">
      <w:pPr>
        <w:ind w:left="-810"/>
      </w:pPr>
      <w:r>
        <w:t>The central question this project addresses is:</w:t>
      </w:r>
    </w:p>
    <w:p w14:paraId="1ACBC99B" w14:textId="244ADDEA" w:rsidR="001A0841" w:rsidRDefault="001A0841" w:rsidP="001A0841">
      <w:pPr>
        <w:ind w:left="-810"/>
      </w:pPr>
      <w:r>
        <w:t>What volatility patterns and market signals can be extracted from historical cryptocurrency price data, and how can these signals be communicated clearly to non-expert stakeholders?</w:t>
      </w:r>
    </w:p>
    <w:p w14:paraId="4DBAE9F7" w14:textId="68B025D1" w:rsidR="001A0841" w:rsidRDefault="001A0841" w:rsidP="001A0841">
      <w:pPr>
        <w:ind w:left="-810"/>
      </w:pPr>
      <w:r>
        <w:t xml:space="preserve">This question matters because volatility understanding is foundational to risk literacy. For cities, researchers, and journalists exploring emerging financial systems, the ability to interpret such data responsibly is critical. This project emphasizes </w:t>
      </w:r>
      <w:r>
        <w:t>explain ability</w:t>
      </w:r>
      <w:r>
        <w:t>, validation, and clarity over speculative prediction.</w:t>
      </w:r>
    </w:p>
    <w:p w14:paraId="1CE5949E" w14:textId="345A1283" w:rsidR="001A0841" w:rsidRPr="001A0841" w:rsidRDefault="001A0841" w:rsidP="001A0841">
      <w:pPr>
        <w:ind w:left="-810"/>
        <w:rPr>
          <w:b/>
          <w:bCs/>
        </w:rPr>
      </w:pPr>
      <w:r w:rsidRPr="001A0841">
        <w:rPr>
          <w:b/>
          <w:bCs/>
        </w:rPr>
        <w:t>Data Sources</w:t>
      </w:r>
    </w:p>
    <w:p w14:paraId="2E8335CF" w14:textId="77777777" w:rsidR="001A0841" w:rsidRDefault="001A0841" w:rsidP="001A0841">
      <w:pPr>
        <w:ind w:left="-810"/>
      </w:pPr>
      <w:r>
        <w:t>Primary Dataset</w:t>
      </w:r>
    </w:p>
    <w:p w14:paraId="7AB419D1" w14:textId="77777777" w:rsidR="001A0841" w:rsidRDefault="001A0841" w:rsidP="001A0841">
      <w:pPr>
        <w:ind w:left="-810"/>
      </w:pPr>
      <w:r>
        <w:tab/>
        <w:t>•</w:t>
      </w:r>
      <w:r>
        <w:tab/>
        <w:t>crypto_historical_365days.csv</w:t>
      </w:r>
    </w:p>
    <w:p w14:paraId="6A4F5C09" w14:textId="77777777" w:rsidR="001A0841" w:rsidRDefault="001A0841" w:rsidP="001A0841">
      <w:pPr>
        <w:ind w:left="-810"/>
      </w:pPr>
      <w:r>
        <w:tab/>
        <w:t>•</w:t>
      </w:r>
      <w:r>
        <w:tab/>
        <w:t>Content: Daily cryptocurrency market data (e.g., open, close, high, low prices; volume; market capitalization)</w:t>
      </w:r>
    </w:p>
    <w:p w14:paraId="018AC1E1" w14:textId="77777777" w:rsidR="001A0841" w:rsidRDefault="001A0841" w:rsidP="001A0841">
      <w:pPr>
        <w:ind w:left="-810"/>
      </w:pPr>
      <w:r>
        <w:tab/>
        <w:t>•</w:t>
      </w:r>
      <w:r>
        <w:tab/>
        <w:t>Time span: Approximately 365 consecutive days</w:t>
      </w:r>
    </w:p>
    <w:p w14:paraId="433C8AD6" w14:textId="77777777" w:rsidR="001A0841" w:rsidRDefault="001A0841" w:rsidP="001A0841">
      <w:pPr>
        <w:ind w:left="-810"/>
      </w:pPr>
      <w:r>
        <w:lastRenderedPageBreak/>
        <w:tab/>
        <w:t>•</w:t>
      </w:r>
      <w:r>
        <w:tab/>
        <w:t>Update frequency: Historical snapshot (non-streaming)</w:t>
      </w:r>
    </w:p>
    <w:p w14:paraId="04A71322" w14:textId="77777777" w:rsidR="001A0841" w:rsidRDefault="001A0841" w:rsidP="001A0841">
      <w:pPr>
        <w:ind w:left="-810"/>
      </w:pPr>
      <w:r>
        <w:tab/>
        <w:t>•</w:t>
      </w:r>
      <w:r>
        <w:tab/>
        <w:t>Quality: Structured, numeric, minimal missing values</w:t>
      </w:r>
    </w:p>
    <w:p w14:paraId="1895A0B3" w14:textId="77777777" w:rsidR="001A0841" w:rsidRDefault="001A0841" w:rsidP="001A0841">
      <w:pPr>
        <w:ind w:left="-810"/>
      </w:pPr>
      <w:r>
        <w:tab/>
        <w:t>•</w:t>
      </w:r>
      <w:r>
        <w:tab/>
        <w:t>Limitations:</w:t>
      </w:r>
    </w:p>
    <w:p w14:paraId="3F429FFC" w14:textId="77777777" w:rsidR="001A0841" w:rsidRDefault="001A0841" w:rsidP="001A0841">
      <w:pPr>
        <w:ind w:left="-810"/>
      </w:pPr>
      <w:r>
        <w:tab/>
        <w:t>•</w:t>
      </w:r>
      <w:r>
        <w:tab/>
        <w:t>Single-year scope limits long-term trend analysis</w:t>
      </w:r>
    </w:p>
    <w:p w14:paraId="7A005FC9" w14:textId="77777777" w:rsidR="001A0841" w:rsidRDefault="001A0841" w:rsidP="001A0841">
      <w:pPr>
        <w:ind w:left="-810"/>
      </w:pPr>
      <w:r>
        <w:tab/>
        <w:t>•</w:t>
      </w:r>
      <w:r>
        <w:tab/>
        <w:t>Market-wide external shocks are not explicitly labeled</w:t>
      </w:r>
    </w:p>
    <w:p w14:paraId="7B6788AB" w14:textId="77777777" w:rsidR="001A0841" w:rsidRDefault="001A0841" w:rsidP="001A0841">
      <w:pPr>
        <w:ind w:left="-810"/>
      </w:pPr>
      <w:r>
        <w:tab/>
        <w:t>•</w:t>
      </w:r>
      <w:r>
        <w:tab/>
        <w:t>Does not include macroeconomic or sentiment indicators</w:t>
      </w:r>
    </w:p>
    <w:p w14:paraId="4DF3027A" w14:textId="77777777" w:rsidR="001A0841" w:rsidRDefault="001A0841" w:rsidP="001A0841">
      <w:pPr>
        <w:ind w:left="-810"/>
      </w:pPr>
    </w:p>
    <w:p w14:paraId="7EB2F3FC" w14:textId="77777777" w:rsidR="001A0841" w:rsidRDefault="001A0841" w:rsidP="001A0841">
      <w:pPr>
        <w:ind w:left="-810"/>
      </w:pPr>
      <w:r>
        <w:t>Potential External Data (Optional Augmentation)</w:t>
      </w:r>
    </w:p>
    <w:p w14:paraId="3246F971" w14:textId="77777777" w:rsidR="001A0841" w:rsidRDefault="001A0841" w:rsidP="001A0841">
      <w:pPr>
        <w:ind w:left="-810"/>
      </w:pPr>
      <w:r>
        <w:tab/>
        <w:t>•</w:t>
      </w:r>
      <w:r>
        <w:tab/>
        <w:t>Cryptocurrency Fear &amp; Greed Index (for sentiment comparison)</w:t>
      </w:r>
    </w:p>
    <w:p w14:paraId="67DC374B" w14:textId="77777777" w:rsidR="001A0841" w:rsidRDefault="001A0841" w:rsidP="001A0841">
      <w:pPr>
        <w:ind w:left="-810"/>
      </w:pPr>
      <w:r>
        <w:tab/>
        <w:t>•</w:t>
      </w:r>
      <w:r>
        <w:tab/>
        <w:t>Macroeconomic indicators (inflation, interest rates)</w:t>
      </w:r>
    </w:p>
    <w:p w14:paraId="1CCCB888" w14:textId="064230E2" w:rsidR="001A0841" w:rsidRDefault="001A0841" w:rsidP="001A0841">
      <w:pPr>
        <w:ind w:left="-810"/>
      </w:pPr>
      <w:r>
        <w:tab/>
        <w:t>•</w:t>
      </w:r>
      <w:r>
        <w:tab/>
        <w:t>News-based event flags (manual or LLM-assisted tagging)</w:t>
      </w:r>
    </w:p>
    <w:p w14:paraId="4F3F895E" w14:textId="77777777" w:rsidR="001A0841" w:rsidRDefault="001A0841" w:rsidP="001A0841">
      <w:pPr>
        <w:ind w:left="-810"/>
      </w:pPr>
    </w:p>
    <w:p w14:paraId="528F933A" w14:textId="7E5C74EF" w:rsidR="001A0841" w:rsidRPr="001A0841" w:rsidRDefault="001A0841" w:rsidP="001A0841">
      <w:pPr>
        <w:ind w:left="-810"/>
        <w:rPr>
          <w:b/>
          <w:bCs/>
        </w:rPr>
      </w:pPr>
      <w:r w:rsidRPr="001A0841">
        <w:rPr>
          <w:b/>
          <w:bCs/>
        </w:rPr>
        <w:t>Technical Approach</w:t>
      </w:r>
    </w:p>
    <w:p w14:paraId="253BB83F" w14:textId="3BFEEE0F" w:rsidR="001A0841" w:rsidRDefault="001A0841" w:rsidP="001A0841">
      <w:pPr>
        <w:ind w:left="-810"/>
      </w:pPr>
      <w:r>
        <w:t>The analysis will follow a structured, reproducible pipeline combining statistical methods, time-series analysis, and selective LLM augmentation.</w:t>
      </w:r>
    </w:p>
    <w:p w14:paraId="5ADF57EA" w14:textId="3DFF8B3E" w:rsidR="001A0841" w:rsidRDefault="001A0841" w:rsidP="001A0841">
      <w:pPr>
        <w:ind w:left="-810"/>
      </w:pPr>
      <w:r>
        <w:t>First, the dataset will be cleaned and normalized using Python (Pandas/Polars), ensuring consistent timestamps, validated numeric ranges, and derived metrics such as daily returns and rolling volatility. Exploratory Data Analysis (EDA) will surface distributional properties, outliers, and regime changes using descriptive statistics and visualization.</w:t>
      </w:r>
    </w:p>
    <w:p w14:paraId="453C99A1" w14:textId="77777777" w:rsidR="001A0841" w:rsidRDefault="001A0841" w:rsidP="001A0841">
      <w:pPr>
        <w:ind w:left="-810"/>
      </w:pPr>
      <w:r>
        <w:t>Time-series techniques will include:</w:t>
      </w:r>
    </w:p>
    <w:p w14:paraId="40DE855D" w14:textId="77777777" w:rsidR="001A0841" w:rsidRDefault="001A0841" w:rsidP="001A0841">
      <w:pPr>
        <w:ind w:left="-810"/>
      </w:pPr>
      <w:r>
        <w:tab/>
        <w:t>•</w:t>
      </w:r>
      <w:r>
        <w:tab/>
        <w:t>Rolling window volatility calculations</w:t>
      </w:r>
    </w:p>
    <w:p w14:paraId="33AF0C64" w14:textId="77777777" w:rsidR="001A0841" w:rsidRDefault="001A0841" w:rsidP="001A0841">
      <w:pPr>
        <w:ind w:left="-810"/>
      </w:pPr>
      <w:r>
        <w:tab/>
        <w:t>•</w:t>
      </w:r>
      <w:r>
        <w:tab/>
        <w:t>Trend and seasonality decomposition</w:t>
      </w:r>
    </w:p>
    <w:p w14:paraId="5D7B165E" w14:textId="77777777" w:rsidR="001A0841" w:rsidRDefault="001A0841" w:rsidP="001A0841">
      <w:pPr>
        <w:ind w:left="-810"/>
      </w:pPr>
      <w:r>
        <w:tab/>
        <w:t>•</w:t>
      </w:r>
      <w:r>
        <w:tab/>
        <w:t>Change-point detection to identify abnormal market shifts</w:t>
      </w:r>
    </w:p>
    <w:p w14:paraId="24A23A34" w14:textId="0F8DA28B" w:rsidR="001A0841" w:rsidRDefault="001A0841" w:rsidP="001A0841">
      <w:pPr>
        <w:ind w:left="-810"/>
      </w:pPr>
      <w:r>
        <w:tab/>
        <w:t>•</w:t>
      </w:r>
      <w:r>
        <w:tab/>
        <w:t>Correlation analysis between price, volume, and volatility</w:t>
      </w:r>
    </w:p>
    <w:p w14:paraId="7E9F9336" w14:textId="77777777" w:rsidR="001A0841" w:rsidRDefault="001A0841" w:rsidP="001A0841">
      <w:pPr>
        <w:ind w:left="-810"/>
      </w:pPr>
      <w:r>
        <w:t>LLM augmentation will be applied only after quantitative analysis to:</w:t>
      </w:r>
    </w:p>
    <w:p w14:paraId="4ADF72E8" w14:textId="77777777" w:rsidR="001A0841" w:rsidRDefault="001A0841" w:rsidP="001A0841">
      <w:pPr>
        <w:ind w:left="-810"/>
      </w:pPr>
      <w:r>
        <w:tab/>
        <w:t>•</w:t>
      </w:r>
      <w:r>
        <w:tab/>
        <w:t>Generate natural-language explanations of detected patterns</w:t>
      </w:r>
    </w:p>
    <w:p w14:paraId="79480485" w14:textId="77777777" w:rsidR="001A0841" w:rsidRDefault="001A0841" w:rsidP="001A0841">
      <w:pPr>
        <w:ind w:left="-810"/>
      </w:pPr>
      <w:r>
        <w:tab/>
        <w:t>•</w:t>
      </w:r>
      <w:r>
        <w:tab/>
        <w:t>Summarize statistical findings for non-technical audiences</w:t>
      </w:r>
    </w:p>
    <w:p w14:paraId="3A4EF576" w14:textId="47A159E1" w:rsidR="001A0841" w:rsidRDefault="001A0841" w:rsidP="001A0841">
      <w:pPr>
        <w:ind w:left="-810"/>
      </w:pPr>
      <w:r>
        <w:lastRenderedPageBreak/>
        <w:tab/>
        <w:t>•</w:t>
      </w:r>
      <w:r>
        <w:tab/>
        <w:t>Assist in labeling anomalous periods based on observable metrics (not speculation)</w:t>
      </w:r>
    </w:p>
    <w:p w14:paraId="022B927A" w14:textId="77777777" w:rsidR="001A0841" w:rsidRDefault="001A0841" w:rsidP="001A0841">
      <w:pPr>
        <w:ind w:left="-810"/>
      </w:pPr>
      <w:r>
        <w:t>Validation strategies include:</w:t>
      </w:r>
    </w:p>
    <w:p w14:paraId="5C9F074B" w14:textId="77777777" w:rsidR="001A0841" w:rsidRDefault="001A0841" w:rsidP="001A0841">
      <w:pPr>
        <w:ind w:left="-810"/>
      </w:pPr>
      <w:r>
        <w:tab/>
        <w:t>•</w:t>
      </w:r>
      <w:r>
        <w:tab/>
        <w:t>Cross-checking LLM-generated explanations against numeric outputs</w:t>
      </w:r>
    </w:p>
    <w:p w14:paraId="5BE7B232" w14:textId="77777777" w:rsidR="001A0841" w:rsidRDefault="001A0841" w:rsidP="001A0841">
      <w:pPr>
        <w:ind w:left="-810"/>
      </w:pPr>
      <w:r>
        <w:tab/>
        <w:t>•</w:t>
      </w:r>
      <w:r>
        <w:tab/>
        <w:t>Ensuring all narrative insights trace back to computed statistics</w:t>
      </w:r>
    </w:p>
    <w:p w14:paraId="4AF325CA" w14:textId="62AC12DC" w:rsidR="001A0841" w:rsidRDefault="001A0841" w:rsidP="001A0841">
      <w:pPr>
        <w:ind w:left="-810"/>
      </w:pPr>
      <w:r>
        <w:tab/>
        <w:t>•</w:t>
      </w:r>
      <w:r>
        <w:tab/>
        <w:t>Explicit uncertainty labeling for all interpretive claims</w:t>
      </w:r>
    </w:p>
    <w:p w14:paraId="25B77A35" w14:textId="3E2FD1CE" w:rsidR="001A0841" w:rsidRPr="001A0841" w:rsidRDefault="001A0841" w:rsidP="001A0841">
      <w:pPr>
        <w:ind w:left="-810"/>
        <w:rPr>
          <w:b/>
          <w:bCs/>
        </w:rPr>
      </w:pPr>
      <w:r w:rsidRPr="001A0841">
        <w:rPr>
          <w:b/>
          <w:bCs/>
        </w:rPr>
        <w:t>Deliverable Description</w:t>
      </w:r>
    </w:p>
    <w:p w14:paraId="0AD8136E" w14:textId="77777777" w:rsidR="001A0841" w:rsidRDefault="001A0841" w:rsidP="001A0841">
      <w:pPr>
        <w:ind w:left="-810"/>
      </w:pPr>
      <w:r>
        <w:t>The final deliverable will be an interactive analytical report consisting of:</w:t>
      </w:r>
    </w:p>
    <w:p w14:paraId="1E6E2413" w14:textId="77777777" w:rsidR="001A0841" w:rsidRDefault="001A0841" w:rsidP="001A0841">
      <w:pPr>
        <w:ind w:left="-810"/>
      </w:pPr>
      <w:r>
        <w:tab/>
        <w:t>•</w:t>
      </w:r>
      <w:r>
        <w:tab/>
        <w:t>A structured narrative explaining volatility patterns</w:t>
      </w:r>
    </w:p>
    <w:p w14:paraId="026AC0D3" w14:textId="77777777" w:rsidR="001A0841" w:rsidRDefault="001A0841" w:rsidP="001A0841">
      <w:pPr>
        <w:ind w:left="-810"/>
      </w:pPr>
      <w:r>
        <w:tab/>
        <w:t>•</w:t>
      </w:r>
      <w:r>
        <w:tab/>
        <w:t>Time-series visualizations (price, returns, volatility bands)</w:t>
      </w:r>
    </w:p>
    <w:p w14:paraId="547422E9" w14:textId="77777777" w:rsidR="001A0841" w:rsidRDefault="001A0841" w:rsidP="001A0841">
      <w:pPr>
        <w:ind w:left="-810"/>
      </w:pPr>
      <w:r>
        <w:tab/>
        <w:t>•</w:t>
      </w:r>
      <w:r>
        <w:tab/>
        <w:t>Annotated anomaly windows with statistical justification</w:t>
      </w:r>
    </w:p>
    <w:p w14:paraId="7F94E44B" w14:textId="4B9092B8" w:rsidR="001A0841" w:rsidRDefault="001A0841" w:rsidP="001A0841">
      <w:pPr>
        <w:ind w:left="-810"/>
      </w:pPr>
      <w:r>
        <w:tab/>
        <w:t>•</w:t>
      </w:r>
      <w:r>
        <w:tab/>
        <w:t>A summary section translating findings for non-expert readers</w:t>
      </w:r>
    </w:p>
    <w:p w14:paraId="28F1A230" w14:textId="0E0703F7" w:rsidR="001A0841" w:rsidRDefault="001A0841" w:rsidP="001A0841">
      <w:pPr>
        <w:ind w:left="-810"/>
      </w:pPr>
      <w:r>
        <w:t xml:space="preserve">Optionally, the report may be deployed as a lightweight web-based dashboard (e.g., </w:t>
      </w:r>
      <w:proofErr w:type="spellStart"/>
      <w:r>
        <w:t>Streamlit</w:t>
      </w:r>
      <w:proofErr w:type="spellEnd"/>
      <w:r>
        <w:t>) allowing users to explore different rolling windows and metrics interactively.</w:t>
      </w:r>
    </w:p>
    <w:p w14:paraId="129FE889" w14:textId="0205E2E3" w:rsidR="001A0841" w:rsidRPr="001A0841" w:rsidRDefault="001A0841" w:rsidP="001A0841">
      <w:pPr>
        <w:ind w:left="-810"/>
        <w:rPr>
          <w:b/>
          <w:bCs/>
        </w:rPr>
      </w:pPr>
      <w:r w:rsidRPr="001A0841">
        <w:rPr>
          <w:b/>
          <w:bCs/>
        </w:rPr>
        <w:t>Success Criteria</w:t>
      </w:r>
    </w:p>
    <w:p w14:paraId="1BA88F9C" w14:textId="77777777" w:rsidR="001A0841" w:rsidRDefault="001A0841" w:rsidP="001A0841">
      <w:pPr>
        <w:ind w:left="-810"/>
      </w:pPr>
      <w:r>
        <w:t>The project will be considered successful if:</w:t>
      </w:r>
    </w:p>
    <w:p w14:paraId="2C9A2439" w14:textId="77777777" w:rsidR="001A0841" w:rsidRDefault="001A0841" w:rsidP="001A0841">
      <w:pPr>
        <w:ind w:left="-810"/>
      </w:pPr>
      <w:r>
        <w:tab/>
        <w:t>•</w:t>
      </w:r>
      <w:r>
        <w:tab/>
        <w:t>Key volatility regimes and anomalies are statistically identified and validated</w:t>
      </w:r>
    </w:p>
    <w:p w14:paraId="306C5C4D" w14:textId="77777777" w:rsidR="001A0841" w:rsidRDefault="001A0841" w:rsidP="001A0841">
      <w:pPr>
        <w:ind w:left="-810"/>
      </w:pPr>
      <w:r>
        <w:tab/>
        <w:t>•</w:t>
      </w:r>
      <w:r>
        <w:tab/>
        <w:t>Visualizations clearly communicate patterns without requiring financial expertise</w:t>
      </w:r>
    </w:p>
    <w:p w14:paraId="481DB549" w14:textId="77777777" w:rsidR="001A0841" w:rsidRDefault="001A0841" w:rsidP="001A0841">
      <w:pPr>
        <w:ind w:left="-810"/>
      </w:pPr>
      <w:r>
        <w:tab/>
        <w:t>•</w:t>
      </w:r>
      <w:r>
        <w:tab/>
        <w:t>LLM-generated explanations are accurate, traceable, and non-speculative</w:t>
      </w:r>
    </w:p>
    <w:p w14:paraId="36C09E04" w14:textId="77777777" w:rsidR="001A0841" w:rsidRDefault="001A0841" w:rsidP="001A0841">
      <w:pPr>
        <w:ind w:left="-810"/>
      </w:pPr>
      <w:r>
        <w:tab/>
        <w:t>•</w:t>
      </w:r>
      <w:r>
        <w:tab/>
        <w:t>The analysis pipeline is reproducible and well-documented</w:t>
      </w:r>
    </w:p>
    <w:p w14:paraId="7633B45D" w14:textId="167AD9E5" w:rsidR="001A0841" w:rsidRDefault="001A0841" w:rsidP="001A0841">
      <w:pPr>
        <w:ind w:left="-810"/>
      </w:pPr>
      <w:r>
        <w:tab/>
        <w:t>•</w:t>
      </w:r>
      <w:r>
        <w:tab/>
        <w:t>The framework is demonstrably transferable to other open datasets</w:t>
      </w:r>
    </w:p>
    <w:p w14:paraId="1CEF983C" w14:textId="54E142B2" w:rsidR="001A0841" w:rsidRPr="001A0841" w:rsidRDefault="001A0841" w:rsidP="001A0841">
      <w:pPr>
        <w:ind w:left="-810"/>
        <w:rPr>
          <w:b/>
          <w:bCs/>
        </w:rPr>
      </w:pPr>
      <w:r w:rsidRPr="001A0841">
        <w:rPr>
          <w:b/>
          <w:bCs/>
        </w:rPr>
        <w:t>Timeline</w:t>
      </w:r>
    </w:p>
    <w:p w14:paraId="2EAFF663" w14:textId="77777777" w:rsidR="001A0841" w:rsidRDefault="001A0841" w:rsidP="001A0841">
      <w:pPr>
        <w:ind w:left="-810"/>
      </w:pPr>
      <w:r>
        <w:t>Week 1</w:t>
      </w:r>
    </w:p>
    <w:p w14:paraId="2F8BFD79" w14:textId="77777777" w:rsidR="001A0841" w:rsidRDefault="001A0841" w:rsidP="001A0841">
      <w:pPr>
        <w:ind w:left="-810"/>
      </w:pPr>
      <w:r>
        <w:tab/>
        <w:t>•</w:t>
      </w:r>
      <w:r>
        <w:tab/>
        <w:t>Dataset ingestion and quality assessment</w:t>
      </w:r>
    </w:p>
    <w:p w14:paraId="2887C5B4" w14:textId="77777777" w:rsidR="001A0841" w:rsidRDefault="001A0841" w:rsidP="001A0841">
      <w:pPr>
        <w:ind w:left="-810"/>
      </w:pPr>
      <w:r>
        <w:tab/>
        <w:t>•</w:t>
      </w:r>
      <w:r>
        <w:tab/>
        <w:t>Exploratory Data Analysis (EDA)</w:t>
      </w:r>
    </w:p>
    <w:p w14:paraId="7BB84D73" w14:textId="77777777" w:rsidR="001A0841" w:rsidRDefault="001A0841" w:rsidP="001A0841">
      <w:pPr>
        <w:ind w:left="-810"/>
      </w:pPr>
      <w:r>
        <w:tab/>
        <w:t>•</w:t>
      </w:r>
      <w:r>
        <w:tab/>
        <w:t>Feature engineering (returns, rolling volatility)</w:t>
      </w:r>
    </w:p>
    <w:p w14:paraId="6880246B" w14:textId="77777777" w:rsidR="001A0841" w:rsidRDefault="001A0841" w:rsidP="001A0841">
      <w:pPr>
        <w:ind w:left="-810"/>
      </w:pPr>
    </w:p>
    <w:p w14:paraId="17020F70" w14:textId="77777777" w:rsidR="001A0841" w:rsidRDefault="001A0841" w:rsidP="001A0841">
      <w:pPr>
        <w:ind w:left="-810"/>
      </w:pPr>
      <w:r>
        <w:lastRenderedPageBreak/>
        <w:t>Week 2</w:t>
      </w:r>
    </w:p>
    <w:p w14:paraId="45170B1D" w14:textId="77777777" w:rsidR="001A0841" w:rsidRDefault="001A0841" w:rsidP="001A0841">
      <w:pPr>
        <w:ind w:left="-810"/>
      </w:pPr>
      <w:r>
        <w:tab/>
        <w:t>•</w:t>
      </w:r>
      <w:r>
        <w:tab/>
        <w:t>Time-series modeling and anomaly detection</w:t>
      </w:r>
    </w:p>
    <w:p w14:paraId="20121FB2" w14:textId="77777777" w:rsidR="001A0841" w:rsidRDefault="001A0841" w:rsidP="001A0841">
      <w:pPr>
        <w:ind w:left="-810"/>
      </w:pPr>
      <w:r>
        <w:tab/>
        <w:t>•</w:t>
      </w:r>
      <w:r>
        <w:tab/>
        <w:t>LLM-assisted explanation generation</w:t>
      </w:r>
    </w:p>
    <w:p w14:paraId="7256A011" w14:textId="77777777" w:rsidR="001A0841" w:rsidRDefault="001A0841" w:rsidP="001A0841">
      <w:pPr>
        <w:ind w:left="-810"/>
      </w:pPr>
      <w:r>
        <w:tab/>
        <w:t>•</w:t>
      </w:r>
      <w:r>
        <w:tab/>
        <w:t>Visualization and report assembly</w:t>
      </w:r>
    </w:p>
    <w:p w14:paraId="778993B0" w14:textId="0047930E" w:rsidR="001A0841" w:rsidRDefault="001A0841" w:rsidP="001A0841">
      <w:pPr>
        <w:ind w:left="-810"/>
      </w:pPr>
      <w:r>
        <w:tab/>
        <w:t>•</w:t>
      </w:r>
      <w:r>
        <w:tab/>
        <w:t>Validation and final review</w:t>
      </w:r>
    </w:p>
    <w:p w14:paraId="610CBF2F" w14:textId="77777777" w:rsidR="001A0841" w:rsidRPr="001A0841" w:rsidRDefault="001A0841" w:rsidP="001A0841">
      <w:pPr>
        <w:ind w:left="-810"/>
        <w:rPr>
          <w:b/>
          <w:bCs/>
        </w:rPr>
      </w:pPr>
      <w:r w:rsidRPr="001A0841">
        <w:rPr>
          <w:b/>
          <w:bCs/>
        </w:rPr>
        <w:t>Risks and Mitigations</w:t>
      </w:r>
    </w:p>
    <w:p w14:paraId="410F5AF2" w14:textId="77777777" w:rsidR="001A0841" w:rsidRDefault="001A0841" w:rsidP="001A0841">
      <w:pPr>
        <w:ind w:left="-810"/>
      </w:pPr>
      <w:r>
        <w:tab/>
        <w:t>•</w:t>
      </w:r>
      <w:r>
        <w:tab/>
        <w:t>Risk: Over-interpretation of short-term market behavior</w:t>
      </w:r>
    </w:p>
    <w:p w14:paraId="0520CCD6" w14:textId="77777777" w:rsidR="001A0841" w:rsidRDefault="001A0841" w:rsidP="001A0841">
      <w:pPr>
        <w:ind w:left="-810"/>
      </w:pPr>
      <w:r>
        <w:tab/>
        <w:t>•</w:t>
      </w:r>
      <w:r>
        <w:tab/>
        <w:t>Mitigation: Emphasize descriptive insights over prediction; include uncertainty notes</w:t>
      </w:r>
    </w:p>
    <w:p w14:paraId="565ED5D4" w14:textId="77777777" w:rsidR="001A0841" w:rsidRDefault="001A0841" w:rsidP="001A0841">
      <w:pPr>
        <w:ind w:left="-810"/>
      </w:pPr>
      <w:r>
        <w:tab/>
        <w:t>•</w:t>
      </w:r>
      <w:r>
        <w:tab/>
        <w:t>Risk: LLM hallucination or unsupported claims</w:t>
      </w:r>
    </w:p>
    <w:p w14:paraId="0F3E06AD" w14:textId="77777777" w:rsidR="001A0841" w:rsidRDefault="001A0841" w:rsidP="001A0841">
      <w:pPr>
        <w:ind w:left="-810"/>
      </w:pPr>
      <w:r>
        <w:tab/>
        <w:t>•</w:t>
      </w:r>
      <w:r>
        <w:tab/>
        <w:t>Mitigation: Restrict LLM use to post-analysis explanation; require numeric grounding</w:t>
      </w:r>
    </w:p>
    <w:p w14:paraId="5992DA76" w14:textId="77777777" w:rsidR="001A0841" w:rsidRDefault="001A0841" w:rsidP="001A0841">
      <w:pPr>
        <w:ind w:left="-810"/>
      </w:pPr>
      <w:r>
        <w:tab/>
        <w:t>•</w:t>
      </w:r>
      <w:r>
        <w:tab/>
        <w:t>Risk: Limited external context in dataset</w:t>
      </w:r>
    </w:p>
    <w:p w14:paraId="71D3C2DF" w14:textId="77777777" w:rsidR="001A0841" w:rsidRDefault="001A0841" w:rsidP="001A0841">
      <w:pPr>
        <w:ind w:left="-810"/>
      </w:pPr>
      <w:r>
        <w:tab/>
        <w:t>•</w:t>
      </w:r>
      <w:r>
        <w:tab/>
        <w:t>Mitigation: Clearly state scope limitations; optionally integrate external indicators</w:t>
      </w:r>
    </w:p>
    <w:p w14:paraId="63E7D554" w14:textId="77777777" w:rsidR="001A0841" w:rsidRDefault="001A0841" w:rsidP="001A0841">
      <w:pPr>
        <w:ind w:left="-810"/>
      </w:pPr>
      <w:r>
        <w:tab/>
        <w:t>•</w:t>
      </w:r>
      <w:r>
        <w:tab/>
        <w:t>Risk: Audience misinterpretation of financial insights</w:t>
      </w:r>
    </w:p>
    <w:p w14:paraId="09B6F53D" w14:textId="4FEFDC25" w:rsidR="001A0841" w:rsidRDefault="001A0841" w:rsidP="001A0841">
      <w:pPr>
        <w:ind w:left="-810"/>
      </w:pPr>
      <w:r>
        <w:tab/>
        <w:t>•</w:t>
      </w:r>
      <w:r>
        <w:tab/>
        <w:t>Mitigation: Use neutral language and explanatory visuals focused on patterns, not advice</w:t>
      </w:r>
    </w:p>
    <w:sectPr w:rsidR="001A0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60"/>
    <w:rsid w:val="001A0841"/>
    <w:rsid w:val="00AD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5D8F26"/>
  <w15:chartTrackingRefBased/>
  <w15:docId w15:val="{212AC328-0C26-0F4C-ADF4-078C8AEC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C60"/>
    <w:rPr>
      <w:rFonts w:eastAsiaTheme="majorEastAsia" w:cstheme="majorBidi"/>
      <w:color w:val="272727" w:themeColor="text1" w:themeTint="D8"/>
    </w:rPr>
  </w:style>
  <w:style w:type="paragraph" w:styleId="Title">
    <w:name w:val="Title"/>
    <w:basedOn w:val="Normal"/>
    <w:next w:val="Normal"/>
    <w:link w:val="TitleChar"/>
    <w:uiPriority w:val="10"/>
    <w:qFormat/>
    <w:rsid w:val="00AD6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C60"/>
    <w:pPr>
      <w:spacing w:before="160"/>
      <w:jc w:val="center"/>
    </w:pPr>
    <w:rPr>
      <w:i/>
      <w:iCs/>
      <w:color w:val="404040" w:themeColor="text1" w:themeTint="BF"/>
    </w:rPr>
  </w:style>
  <w:style w:type="character" w:customStyle="1" w:styleId="QuoteChar">
    <w:name w:val="Quote Char"/>
    <w:basedOn w:val="DefaultParagraphFont"/>
    <w:link w:val="Quote"/>
    <w:uiPriority w:val="29"/>
    <w:rsid w:val="00AD6C60"/>
    <w:rPr>
      <w:i/>
      <w:iCs/>
      <w:color w:val="404040" w:themeColor="text1" w:themeTint="BF"/>
    </w:rPr>
  </w:style>
  <w:style w:type="paragraph" w:styleId="ListParagraph">
    <w:name w:val="List Paragraph"/>
    <w:basedOn w:val="Normal"/>
    <w:uiPriority w:val="34"/>
    <w:qFormat/>
    <w:rsid w:val="00AD6C60"/>
    <w:pPr>
      <w:ind w:left="720"/>
      <w:contextualSpacing/>
    </w:pPr>
  </w:style>
  <w:style w:type="character" w:styleId="IntenseEmphasis">
    <w:name w:val="Intense Emphasis"/>
    <w:basedOn w:val="DefaultParagraphFont"/>
    <w:uiPriority w:val="21"/>
    <w:qFormat/>
    <w:rsid w:val="00AD6C60"/>
    <w:rPr>
      <w:i/>
      <w:iCs/>
      <w:color w:val="0F4761" w:themeColor="accent1" w:themeShade="BF"/>
    </w:rPr>
  </w:style>
  <w:style w:type="paragraph" w:styleId="IntenseQuote">
    <w:name w:val="Intense Quote"/>
    <w:basedOn w:val="Normal"/>
    <w:next w:val="Normal"/>
    <w:link w:val="IntenseQuoteChar"/>
    <w:uiPriority w:val="30"/>
    <w:qFormat/>
    <w:rsid w:val="00AD6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C60"/>
    <w:rPr>
      <w:i/>
      <w:iCs/>
      <w:color w:val="0F4761" w:themeColor="accent1" w:themeShade="BF"/>
    </w:rPr>
  </w:style>
  <w:style w:type="character" w:styleId="IntenseReference">
    <w:name w:val="Intense Reference"/>
    <w:basedOn w:val="DefaultParagraphFont"/>
    <w:uiPriority w:val="32"/>
    <w:qFormat/>
    <w:rsid w:val="00AD6C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153156">
      <w:bodyDiv w:val="1"/>
      <w:marLeft w:val="0"/>
      <w:marRight w:val="0"/>
      <w:marTop w:val="0"/>
      <w:marBottom w:val="0"/>
      <w:divBdr>
        <w:top w:val="none" w:sz="0" w:space="0" w:color="auto"/>
        <w:left w:val="none" w:sz="0" w:space="0" w:color="auto"/>
        <w:bottom w:val="none" w:sz="0" w:space="0" w:color="auto"/>
        <w:right w:val="none" w:sz="0" w:space="0" w:color="auto"/>
      </w:divBdr>
    </w:div>
    <w:div w:id="185796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Bhaarat Mukesh Kotak</dc:creator>
  <cp:keywords/>
  <dc:description/>
  <cp:lastModifiedBy>Bhaarat Mukesh Kotak</cp:lastModifiedBy>
  <cp:revision>2</cp:revision>
  <dcterms:created xsi:type="dcterms:W3CDTF">2025-12-17T18:13:00Z</dcterms:created>
  <dcterms:modified xsi:type="dcterms:W3CDTF">2025-12-17T18:20:00Z</dcterms:modified>
</cp:coreProperties>
</file>