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07" w:rsidRPr="008F573C" w:rsidRDefault="002C2A07">
      <w:pPr>
        <w:pStyle w:val="Ttulo"/>
        <w:jc w:val="right"/>
      </w:pPr>
      <w:r w:rsidRPr="008F573C">
        <w:fldChar w:fldCharType="begin"/>
      </w:r>
      <w:r w:rsidRPr="008F573C">
        <w:instrText xml:space="preserve"> SUBJECT  \* MERGEFORMAT </w:instrText>
      </w:r>
      <w:r w:rsidRPr="008F573C">
        <w:fldChar w:fldCharType="end"/>
      </w:r>
      <w:fldSimple w:instr=" SUBJECT  &quot;Procedimiento Nº17&quot;  \* MERGEFORMAT ">
        <w:r w:rsidR="00A45E74">
          <w:t>Procedimiento Nº17</w:t>
        </w:r>
      </w:fldSimple>
    </w:p>
    <w:p w:rsidR="002C2A07" w:rsidRPr="008F573C" w:rsidRDefault="006B4BA4">
      <w:pPr>
        <w:pStyle w:val="Ttulo"/>
        <w:jc w:val="right"/>
      </w:pPr>
      <w:fldSimple w:instr=" DOCPROPERTY  Title ">
        <w:r w:rsidR="006E713B">
          <w:t>Cesión de Créditos</w:t>
        </w:r>
      </w:fldSimple>
    </w:p>
    <w:p w:rsidR="002C2A07" w:rsidRPr="006B7100" w:rsidRDefault="002C2A07">
      <w:pPr>
        <w:pStyle w:val="Ttulo"/>
        <w:jc w:val="right"/>
        <w:rPr>
          <w:b w:val="0"/>
        </w:rPr>
      </w:pPr>
    </w:p>
    <w:p w:rsidR="002C2A07" w:rsidRPr="008F573C" w:rsidRDefault="003225BC">
      <w:pPr>
        <w:pStyle w:val="Ttulo"/>
        <w:jc w:val="right"/>
        <w:rPr>
          <w:sz w:val="28"/>
        </w:rPr>
      </w:pPr>
      <w:r w:rsidRPr="008F573C">
        <w:rPr>
          <w:sz w:val="28"/>
        </w:rPr>
        <w:t>Versió</w:t>
      </w:r>
      <w:r w:rsidR="002C2A07" w:rsidRPr="008F573C">
        <w:rPr>
          <w:sz w:val="28"/>
        </w:rPr>
        <w:t xml:space="preserve">n </w:t>
      </w:r>
      <w:r w:rsidR="00373847">
        <w:rPr>
          <w:sz w:val="28"/>
        </w:rPr>
        <w:fldChar w:fldCharType="begin"/>
      </w:r>
      <w:r w:rsidR="00373847">
        <w:rPr>
          <w:sz w:val="28"/>
        </w:rPr>
        <w:instrText xml:space="preserve"> DOCPROPERTY  version  \* MERGEFORMAT </w:instrText>
      </w:r>
      <w:r w:rsidR="00373847">
        <w:rPr>
          <w:sz w:val="28"/>
        </w:rPr>
        <w:fldChar w:fldCharType="separate"/>
      </w:r>
      <w:r w:rsidR="0072081B">
        <w:rPr>
          <w:sz w:val="28"/>
        </w:rPr>
        <w:t>1.0</w:t>
      </w:r>
      <w:r w:rsidR="00373847">
        <w:rPr>
          <w:sz w:val="28"/>
        </w:rPr>
        <w:fldChar w:fldCharType="end"/>
      </w:r>
    </w:p>
    <w:p w:rsidR="002C2A07" w:rsidRPr="008F573C" w:rsidRDefault="002C2A07">
      <w:pPr>
        <w:pStyle w:val="Ttulo"/>
        <w:rPr>
          <w:sz w:val="28"/>
        </w:rPr>
      </w:pPr>
    </w:p>
    <w:p w:rsidR="002C2A07" w:rsidRPr="008F573C" w:rsidRDefault="002C2A07"/>
    <w:p w:rsidR="00C930F3" w:rsidRPr="00C930F3" w:rsidRDefault="00C930F3" w:rsidP="00C930F3">
      <w:pPr>
        <w:pStyle w:val="InfoBlue"/>
      </w:pPr>
    </w:p>
    <w:p w:rsidR="002C2A07" w:rsidRPr="008F573C" w:rsidRDefault="002C2A07">
      <w:pPr>
        <w:pStyle w:val="InfoBlue"/>
      </w:pPr>
    </w:p>
    <w:p w:rsidR="002C2A07" w:rsidRPr="0072081B" w:rsidRDefault="002C2A07" w:rsidP="00381369">
      <w:pPr>
        <w:pStyle w:val="InfoBlue"/>
        <w:rPr>
          <w:lang w:val="es-ES"/>
        </w:rPr>
        <w:sectPr w:rsidR="002C2A07" w:rsidRPr="0072081B" w:rsidSect="00CB60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2C2A07" w:rsidRPr="008F573C" w:rsidRDefault="003225BC">
      <w:pPr>
        <w:pStyle w:val="Ttulo"/>
      </w:pPr>
      <w:r w:rsidRPr="008F573C">
        <w:lastRenderedPageBreak/>
        <w:t>Revisió</w:t>
      </w:r>
      <w:r w:rsidR="002C2A07" w:rsidRPr="008F573C">
        <w:t xml:space="preserve">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394"/>
        <w:gridCol w:w="2552"/>
      </w:tblGrid>
      <w:tr w:rsidR="002C2A07" w:rsidRPr="008F573C">
        <w:tc>
          <w:tcPr>
            <w:tcW w:w="1526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Fecha</w:t>
            </w:r>
          </w:p>
        </w:tc>
        <w:tc>
          <w:tcPr>
            <w:tcW w:w="992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Versió</w:t>
            </w:r>
            <w:r w:rsidR="002C2A07" w:rsidRPr="008F573C">
              <w:rPr>
                <w:b/>
              </w:rPr>
              <w:t>n</w:t>
            </w: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Descrip</w:t>
            </w:r>
            <w:r w:rsidR="00E263E7" w:rsidRPr="008F573C">
              <w:rPr>
                <w:b/>
              </w:rPr>
              <w:t>ción</w:t>
            </w:r>
          </w:p>
        </w:tc>
        <w:tc>
          <w:tcPr>
            <w:tcW w:w="2552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Autor</w:t>
            </w:r>
          </w:p>
        </w:tc>
      </w:tr>
      <w:tr w:rsidR="002C2A07" w:rsidRPr="008F573C">
        <w:tc>
          <w:tcPr>
            <w:tcW w:w="1526" w:type="dxa"/>
          </w:tcPr>
          <w:p w:rsidR="002C2A07" w:rsidRPr="008F573C" w:rsidRDefault="0072081B" w:rsidP="00B26F53">
            <w:pPr>
              <w:pStyle w:val="Tabletext"/>
            </w:pPr>
            <w:r>
              <w:t>08/11/201</w:t>
            </w:r>
            <w:r w:rsidR="00B26F53">
              <w:t>2</w:t>
            </w:r>
          </w:p>
        </w:tc>
        <w:tc>
          <w:tcPr>
            <w:tcW w:w="992" w:type="dxa"/>
          </w:tcPr>
          <w:p w:rsidR="002C2A07" w:rsidRPr="008F573C" w:rsidRDefault="0072081B" w:rsidP="0037384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</w:tcPr>
          <w:p w:rsidR="002C2A07" w:rsidRPr="008F573C" w:rsidRDefault="00B26F53" w:rsidP="00332D7B">
            <w:pPr>
              <w:pStyle w:val="Tabletext"/>
            </w:pPr>
            <w:r>
              <w:t>Se establece</w:t>
            </w:r>
            <w:r w:rsidR="006E713B">
              <w:t>n</w:t>
            </w:r>
            <w:r>
              <w:t xml:space="preserve">  </w:t>
            </w:r>
            <w:r w:rsidR="00DA66E9">
              <w:t>los procedimientos</w:t>
            </w:r>
            <w:r>
              <w:t xml:space="preserve"> a seguir para </w:t>
            </w:r>
            <w:r w:rsidR="0029228B">
              <w:t xml:space="preserve">el </w:t>
            </w:r>
            <w:r w:rsidR="006E713B">
              <w:t>perfeccionamiento de</w:t>
            </w:r>
            <w:r w:rsidR="00D6157A">
              <w:t xml:space="preserve"> los</w:t>
            </w:r>
            <w:r w:rsidR="006E713B">
              <w:t xml:space="preserve">  </w:t>
            </w:r>
            <w:r w:rsidR="0029228B">
              <w:t>pago</w:t>
            </w:r>
            <w:r w:rsidR="00D6157A">
              <w:t>s</w:t>
            </w:r>
            <w:r w:rsidR="0029228B">
              <w:t xml:space="preserve"> </w:t>
            </w:r>
            <w:r w:rsidR="006E713B">
              <w:t>en caso de existir</w:t>
            </w:r>
            <w:r w:rsidR="0029228B">
              <w:t xml:space="preserve"> cesiones de </w:t>
            </w:r>
            <w:r w:rsidR="00A45E74">
              <w:t>créditos</w:t>
            </w:r>
            <w:r w:rsidR="0029228B">
              <w:t>.</w:t>
            </w:r>
          </w:p>
        </w:tc>
        <w:tc>
          <w:tcPr>
            <w:tcW w:w="2552" w:type="dxa"/>
          </w:tcPr>
          <w:p w:rsidR="002C2A07" w:rsidRPr="008F573C" w:rsidRDefault="00B26F53" w:rsidP="00B26F53">
            <w:pPr>
              <w:pStyle w:val="Tabletext"/>
            </w:pPr>
            <w:r>
              <w:t>Fernández Etchegoyen, Rodrigo</w:t>
            </w: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</w:tbl>
    <w:p w:rsidR="002C2A07" w:rsidRPr="008F573C" w:rsidRDefault="002C2A07"/>
    <w:p w:rsidR="002C2A07" w:rsidRPr="008F573C" w:rsidRDefault="002C2A07">
      <w:pPr>
        <w:pStyle w:val="Ttulo"/>
      </w:pPr>
      <w:r w:rsidRPr="008F573C">
        <w:br w:type="page"/>
      </w:r>
      <w:r w:rsidRPr="008F573C">
        <w:lastRenderedPageBreak/>
        <w:t>Conten</w:t>
      </w:r>
      <w:r w:rsidR="00E263E7" w:rsidRPr="008F573C">
        <w:t>ido</w:t>
      </w:r>
    </w:p>
    <w:p w:rsidR="00F361FC" w:rsidRDefault="002C2A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 w:rsidRPr="008F573C">
        <w:fldChar w:fldCharType="begin"/>
      </w:r>
      <w:r w:rsidRPr="008F573C">
        <w:instrText xml:space="preserve"> TOC \o "1-3" </w:instrText>
      </w:r>
      <w:r w:rsidRPr="008F573C">
        <w:fldChar w:fldCharType="separate"/>
      </w:r>
      <w:r w:rsidR="00F361FC">
        <w:rPr>
          <w:noProof/>
        </w:rPr>
        <w:t>1.</w:t>
      </w:r>
      <w:r w:rsidR="00F361FC"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 w:rsidR="00F361FC">
        <w:rPr>
          <w:noProof/>
        </w:rPr>
        <w:t>Introducción</w:t>
      </w:r>
      <w:r w:rsidR="00F361FC">
        <w:rPr>
          <w:noProof/>
        </w:rPr>
        <w:tab/>
      </w:r>
      <w:r w:rsidR="00F361FC">
        <w:rPr>
          <w:noProof/>
        </w:rPr>
        <w:fldChar w:fldCharType="begin"/>
      </w:r>
      <w:r w:rsidR="00F361FC">
        <w:rPr>
          <w:noProof/>
        </w:rPr>
        <w:instrText xml:space="preserve"> PAGEREF _Toc336616310 \h </w:instrText>
      </w:r>
      <w:r w:rsidR="00F361FC">
        <w:rPr>
          <w:noProof/>
        </w:rPr>
      </w:r>
      <w:r w:rsidR="00F361FC">
        <w:rPr>
          <w:noProof/>
        </w:rPr>
        <w:fldChar w:fldCharType="separate"/>
      </w:r>
      <w:r w:rsidR="00BB5470">
        <w:rPr>
          <w:noProof/>
        </w:rPr>
        <w:t>4</w:t>
      </w:r>
      <w:r w:rsidR="00F361FC"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_Toc336616311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4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_Toc336616312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4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Definiciones, Acrónimos,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_Toc336616313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4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_Toc336616314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4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_Toc336616315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4</w:t>
      </w:r>
      <w:r>
        <w:rPr>
          <w:noProof/>
        </w:rPr>
        <w:fldChar w:fldCharType="end"/>
      </w:r>
    </w:p>
    <w:p w:rsidR="00F361FC" w:rsidRDefault="00F361F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_Toc336616316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5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Recepción e Ingreso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_Toc336616317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5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_Toc336616318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5</w:t>
      </w:r>
      <w:r>
        <w:rPr>
          <w:noProof/>
        </w:rPr>
        <w:fldChar w:fldCharType="end"/>
      </w:r>
    </w:p>
    <w:p w:rsidR="00F361FC" w:rsidRDefault="00F361F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Verificación y asesoramiento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_Toc336616319 \h </w:instrText>
      </w:r>
      <w:r>
        <w:rPr>
          <w:noProof/>
        </w:rPr>
      </w:r>
      <w:r>
        <w:rPr>
          <w:noProof/>
        </w:rPr>
        <w:fldChar w:fldCharType="separate"/>
      </w:r>
      <w:r w:rsidR="00BB5470">
        <w:rPr>
          <w:noProof/>
        </w:rPr>
        <w:t>5</w:t>
      </w:r>
      <w:r>
        <w:rPr>
          <w:noProof/>
        </w:rPr>
        <w:fldChar w:fldCharType="end"/>
      </w:r>
    </w:p>
    <w:p w:rsidR="002C2A07" w:rsidRPr="008F573C" w:rsidRDefault="002C2A07">
      <w:pPr>
        <w:pStyle w:val="Ttulo"/>
      </w:pPr>
      <w:r w:rsidRPr="008F573C">
        <w:fldChar w:fldCharType="end"/>
      </w:r>
      <w:r w:rsidRPr="008F573C">
        <w:br w:type="page"/>
      </w:r>
      <w:bookmarkStart w:id="0" w:name="_Toc388081625"/>
      <w:bookmarkStart w:id="1" w:name="_Toc389027946"/>
      <w:r w:rsidR="00332D7B">
        <w:lastRenderedPageBreak/>
        <w:fldChar w:fldCharType="begin"/>
      </w:r>
      <w:r w:rsidR="00332D7B">
        <w:instrText xml:space="preserve"> TITLE  "Cesión de créditos"  \* MERGEFORMAT </w:instrText>
      </w:r>
      <w:r w:rsidR="00332D7B">
        <w:fldChar w:fldCharType="separate"/>
      </w:r>
      <w:r w:rsidR="00332D7B">
        <w:t>Cesión de créditos</w:t>
      </w:r>
      <w:r w:rsidR="00332D7B">
        <w:fldChar w:fldCharType="end"/>
      </w:r>
      <w:r w:rsidRPr="008F573C">
        <w:t xml:space="preserve"> </w:t>
      </w:r>
      <w:bookmarkEnd w:id="0"/>
      <w:bookmarkEnd w:id="1"/>
    </w:p>
    <w:p w:rsidR="002C2A07" w:rsidRPr="008F573C" w:rsidRDefault="002C2A07">
      <w:pPr>
        <w:pStyle w:val="Ttulo1"/>
        <w:keepNext w:val="0"/>
      </w:pPr>
      <w:bookmarkStart w:id="2" w:name="_Toc456598586"/>
      <w:bookmarkStart w:id="3" w:name="_Toc456600917"/>
      <w:bookmarkStart w:id="4" w:name="_Toc336616310"/>
      <w:r w:rsidRPr="008F573C">
        <w:t>Introduc</w:t>
      </w:r>
      <w:r w:rsidR="008145F2" w:rsidRPr="008F573C">
        <w:t>ció</w:t>
      </w:r>
      <w:r w:rsidRPr="008F573C">
        <w:t>n</w:t>
      </w:r>
      <w:bookmarkEnd w:id="2"/>
      <w:bookmarkEnd w:id="3"/>
      <w:bookmarkEnd w:id="4"/>
    </w:p>
    <w:p w:rsidR="002C2A07" w:rsidRPr="008F573C" w:rsidRDefault="00804261">
      <w:pPr>
        <w:pStyle w:val="Ttulo2"/>
        <w:keepNext w:val="0"/>
      </w:pPr>
      <w:bookmarkStart w:id="5" w:name="_Toc336616311"/>
      <w:r w:rsidRPr="008F573C">
        <w:t>Propósito</w:t>
      </w:r>
      <w:bookmarkEnd w:id="5"/>
    </w:p>
    <w:p w:rsidR="002C2A07" w:rsidRPr="008F573C" w:rsidRDefault="00B26F53" w:rsidP="0072081B">
      <w:pPr>
        <w:pStyle w:val="Body"/>
      </w:pPr>
      <w:r>
        <w:t xml:space="preserve">Mejorar </w:t>
      </w:r>
      <w:r w:rsidR="0029228B">
        <w:t xml:space="preserve">el </w:t>
      </w:r>
      <w:r>
        <w:t>proceso mediante la n</w:t>
      </w:r>
      <w:r w:rsidRPr="00CC2B32">
        <w:t>ormaliza</w:t>
      </w:r>
      <w:r>
        <w:t>ción</w:t>
      </w:r>
      <w:r w:rsidRPr="00CC2B32">
        <w:t xml:space="preserve"> y formaliza</w:t>
      </w:r>
      <w:r>
        <w:t xml:space="preserve">ción </w:t>
      </w:r>
      <w:r w:rsidR="00DF4599">
        <w:t xml:space="preserve">del </w:t>
      </w:r>
      <w:r>
        <w:t xml:space="preserve"> flujo de i</w:t>
      </w:r>
      <w:r w:rsidRPr="00CC2B32">
        <w:t xml:space="preserve">nformación y documentación </w:t>
      </w:r>
      <w:r>
        <w:t>d</w:t>
      </w:r>
      <w:r w:rsidR="0029228B">
        <w:t xml:space="preserve">esde la recepción de la cesión de crédito recibida del </w:t>
      </w:r>
      <w:r w:rsidR="00A45E74">
        <w:t>acreedor</w:t>
      </w:r>
      <w:r w:rsidR="002A0A9F">
        <w:t>,</w:t>
      </w:r>
      <w:r w:rsidR="0029228B">
        <w:t xml:space="preserve"> </w:t>
      </w:r>
      <w:r w:rsidR="00DF4599">
        <w:t>determina</w:t>
      </w:r>
      <w:r w:rsidR="0029228B">
        <w:t>ndo</w:t>
      </w:r>
      <w:r w:rsidR="003468D1">
        <w:t xml:space="preserve"> los distintos</w:t>
      </w:r>
      <w:r w:rsidR="009F7A1E">
        <w:t xml:space="preserve"> controles y</w:t>
      </w:r>
      <w:r w:rsidR="003468D1">
        <w:t xml:space="preserve"> niveles autorizantes para </w:t>
      </w:r>
      <w:r w:rsidR="009F7A1E">
        <w:t>proceder a</w:t>
      </w:r>
      <w:r w:rsidR="0029228B">
        <w:t xml:space="preserve">l </w:t>
      </w:r>
      <w:r w:rsidR="003468D1">
        <w:t>pago</w:t>
      </w:r>
      <w:r w:rsidR="0029228B">
        <w:t xml:space="preserve"> al cesionario</w:t>
      </w:r>
      <w:r w:rsidR="003468D1">
        <w:t>.</w:t>
      </w:r>
    </w:p>
    <w:p w:rsidR="002C2A07" w:rsidRPr="008F573C" w:rsidRDefault="00804261">
      <w:pPr>
        <w:pStyle w:val="Ttulo2"/>
        <w:keepNext w:val="0"/>
      </w:pPr>
      <w:bookmarkStart w:id="6" w:name="_Toc336616312"/>
      <w:r w:rsidRPr="008F573C">
        <w:t>Alcance</w:t>
      </w:r>
      <w:bookmarkEnd w:id="6"/>
    </w:p>
    <w:p w:rsidR="002C2A07" w:rsidRDefault="00B26F53" w:rsidP="00B26F53">
      <w:pPr>
        <w:rPr>
          <w:rFonts w:ascii="Book Antiqua" w:hAnsi="Book Antiqua"/>
        </w:rPr>
      </w:pPr>
      <w:r w:rsidRPr="00F86849">
        <w:rPr>
          <w:rFonts w:ascii="Book Antiqua" w:hAnsi="Book Antiqua"/>
        </w:rPr>
        <w:t xml:space="preserve">Este procedimiento se aplicará </w:t>
      </w:r>
      <w:r w:rsidR="0029228B">
        <w:rPr>
          <w:rFonts w:ascii="Book Antiqua" w:hAnsi="Book Antiqua"/>
        </w:rPr>
        <w:t>para todos la</w:t>
      </w:r>
      <w:r w:rsidR="003614C6">
        <w:rPr>
          <w:rFonts w:ascii="Book Antiqua" w:hAnsi="Book Antiqua"/>
        </w:rPr>
        <w:t>s</w:t>
      </w:r>
      <w:r w:rsidR="00DF4599">
        <w:rPr>
          <w:rFonts w:ascii="Book Antiqua" w:hAnsi="Book Antiqua"/>
        </w:rPr>
        <w:t xml:space="preserve"> </w:t>
      </w:r>
      <w:r w:rsidR="0029228B">
        <w:rPr>
          <w:rFonts w:ascii="Book Antiqua" w:hAnsi="Book Antiqua"/>
        </w:rPr>
        <w:t>Cesiones de Créditos</w:t>
      </w:r>
      <w:r w:rsidR="003614C6">
        <w:rPr>
          <w:rFonts w:ascii="Book Antiqua" w:hAnsi="Book Antiqua"/>
        </w:rPr>
        <w:t>.</w:t>
      </w:r>
    </w:p>
    <w:p w:rsidR="003614C6" w:rsidRPr="00B26F53" w:rsidRDefault="003614C6" w:rsidP="00B26F53">
      <w:pPr>
        <w:rPr>
          <w:rFonts w:ascii="Book Antiqua" w:hAnsi="Book Antiqua"/>
        </w:rPr>
      </w:pPr>
    </w:p>
    <w:p w:rsidR="009B1F31" w:rsidRDefault="008F573C" w:rsidP="009B1F31">
      <w:pPr>
        <w:pStyle w:val="Ttulo2"/>
        <w:keepNext w:val="0"/>
      </w:pPr>
      <w:bookmarkStart w:id="7" w:name="_Toc336616313"/>
      <w:bookmarkStart w:id="8" w:name="_Toc456598589"/>
      <w:bookmarkStart w:id="9" w:name="_Toc456600920"/>
      <w:r w:rsidRPr="008F573C">
        <w:t>Definiciones, Acrónimos, Ab</w:t>
      </w:r>
      <w:r w:rsidR="00263A4E" w:rsidRPr="008F573C">
        <w:t>reviatura</w:t>
      </w:r>
      <w:r w:rsidR="00263A4E">
        <w:t>s</w:t>
      </w:r>
      <w:bookmarkEnd w:id="7"/>
    </w:p>
    <w:p w:rsidR="00263A4E" w:rsidRPr="00263A4E" w:rsidRDefault="00263A4E" w:rsidP="00263A4E"/>
    <w:p w:rsidR="009B1F31" w:rsidRDefault="009B1F31" w:rsidP="00263A4E">
      <w:pPr>
        <w:rPr>
          <w:rFonts w:ascii="Book Antiqua" w:hAnsi="Book Antiqua"/>
        </w:rPr>
      </w:pPr>
      <w:r w:rsidRPr="00263A4E">
        <w:rPr>
          <w:rFonts w:ascii="Book Antiqua" w:hAnsi="Book Antiqua"/>
          <w:b/>
        </w:rPr>
        <w:t>Cesión de créditos:</w:t>
      </w:r>
      <w:r w:rsidRPr="00263A4E">
        <w:rPr>
          <w:rFonts w:ascii="Book Antiqua" w:hAnsi="Book Antiqua"/>
        </w:rPr>
        <w:t xml:space="preserve"> Habrá cesión de crédito, cuando una de las partes se obligue a transferir a la otra parte </w:t>
      </w:r>
      <w:r w:rsidR="00536447">
        <w:rPr>
          <w:rFonts w:ascii="Book Antiqua" w:hAnsi="Book Antiqua"/>
        </w:rPr>
        <w:t xml:space="preserve"> </w:t>
      </w:r>
      <w:r w:rsidRPr="00263A4E">
        <w:rPr>
          <w:rFonts w:ascii="Book Antiqua" w:hAnsi="Book Antiqua"/>
        </w:rPr>
        <w:t>el derecho que le compete contra su deudor, entregándole el título del crédito, si existiese. (Artículo 1434.- Código Civil de la República Argentina)</w:t>
      </w:r>
      <w:r w:rsidR="00263A4E">
        <w:rPr>
          <w:rFonts w:ascii="Book Antiqua" w:hAnsi="Book Antiqua"/>
        </w:rPr>
        <w:t>.</w:t>
      </w:r>
    </w:p>
    <w:p w:rsidR="00263A4E" w:rsidRPr="00263A4E" w:rsidRDefault="00263A4E" w:rsidP="00263A4E">
      <w:pPr>
        <w:rPr>
          <w:rFonts w:ascii="Book Antiqua" w:hAnsi="Book Antiqua"/>
        </w:rPr>
      </w:pPr>
    </w:p>
    <w:p w:rsidR="009B1F31" w:rsidRDefault="009B1F31" w:rsidP="00263A4E">
      <w:pPr>
        <w:rPr>
          <w:rFonts w:ascii="Book Antiqua" w:hAnsi="Book Antiqua"/>
        </w:rPr>
      </w:pPr>
      <w:r w:rsidRPr="00263A4E">
        <w:rPr>
          <w:rFonts w:ascii="Book Antiqua" w:hAnsi="Book Antiqua"/>
          <w:b/>
        </w:rPr>
        <w:t>C</w:t>
      </w:r>
      <w:r w:rsidRPr="00263A4E">
        <w:rPr>
          <w:rFonts w:ascii="Book Antiqua" w:hAnsi="Book Antiqua" w:hint="eastAsia"/>
          <w:b/>
        </w:rPr>
        <w:t>esionario</w:t>
      </w:r>
      <w:r w:rsidRPr="00263A4E">
        <w:rPr>
          <w:rFonts w:ascii="Book Antiqua" w:hAnsi="Book Antiqua"/>
          <w:b/>
        </w:rPr>
        <w:t>:</w:t>
      </w:r>
      <w:r w:rsidRPr="00A45E74">
        <w:rPr>
          <w:rFonts w:ascii="Book Antiqua" w:hAnsi="Book Antiqua"/>
        </w:rPr>
        <w:t xml:space="preserve"> </w:t>
      </w:r>
      <w:r w:rsidRPr="00A45E74">
        <w:rPr>
          <w:rFonts w:ascii="Book Antiqua" w:hAnsi="Book Antiqua" w:hint="eastAsia"/>
        </w:rPr>
        <w:t>Dicho de una persona o de una entidad: Que recibe una cesión hecha en su favor</w:t>
      </w:r>
      <w:r>
        <w:rPr>
          <w:rFonts w:ascii="Book Antiqua" w:hAnsi="Book Antiqua"/>
        </w:rPr>
        <w:t xml:space="preserve"> (Real Academia Española)</w:t>
      </w:r>
      <w:r w:rsidR="00263A4E">
        <w:rPr>
          <w:rFonts w:ascii="Book Antiqua" w:hAnsi="Book Antiqua"/>
        </w:rPr>
        <w:t>.</w:t>
      </w:r>
    </w:p>
    <w:p w:rsidR="00263A4E" w:rsidRDefault="00263A4E" w:rsidP="00263A4E">
      <w:pPr>
        <w:rPr>
          <w:rFonts w:ascii="Book Antiqua" w:hAnsi="Book Antiqua"/>
        </w:rPr>
      </w:pPr>
    </w:p>
    <w:p w:rsidR="00A45E74" w:rsidRDefault="009B1F31" w:rsidP="00263A4E">
      <w:pPr>
        <w:rPr>
          <w:rFonts w:ascii="Book Antiqua" w:hAnsi="Book Antiqua"/>
        </w:rPr>
      </w:pPr>
      <w:r w:rsidRPr="00263A4E">
        <w:rPr>
          <w:rFonts w:ascii="Book Antiqua" w:hAnsi="Book Antiqua"/>
          <w:b/>
        </w:rPr>
        <w:t>Cedente:</w:t>
      </w:r>
      <w:r>
        <w:rPr>
          <w:rFonts w:ascii="Book Antiqua" w:hAnsi="Book Antiqua"/>
        </w:rPr>
        <w:t xml:space="preserve"> </w:t>
      </w:r>
      <w:r w:rsidRPr="00A45E74">
        <w:rPr>
          <w:rFonts w:ascii="Book Antiqua" w:hAnsi="Book Antiqua" w:hint="eastAsia"/>
        </w:rPr>
        <w:t>Dicho de una persona</w:t>
      </w:r>
      <w:r w:rsidRPr="009B1F31">
        <w:rPr>
          <w:rFonts w:ascii="Book Antiqua" w:hAnsi="Book Antiqua" w:hint="eastAsia"/>
        </w:rPr>
        <w:t xml:space="preserve"> </w:t>
      </w:r>
      <w:r w:rsidRPr="00A45E74">
        <w:rPr>
          <w:rFonts w:ascii="Book Antiqua" w:hAnsi="Book Antiqua" w:hint="eastAsia"/>
        </w:rPr>
        <w:t xml:space="preserve">o de una entidad: Que </w:t>
      </w:r>
      <w:hyperlink r:id="rId15" w:anchor="0_1" w:history="1">
        <w:r w:rsidRPr="00A45E74">
          <w:rPr>
            <w:rFonts w:ascii="Book Antiqua" w:hAnsi="Book Antiqua"/>
          </w:rPr>
          <w:t>cede</w:t>
        </w:r>
      </w:hyperlink>
      <w:r w:rsidRPr="00A45E74">
        <w:rPr>
          <w:rFonts w:ascii="Book Antiqua" w:hAnsi="Book Antiqua" w:hint="eastAsia"/>
        </w:rPr>
        <w:t xml:space="preserve"> (traspasa una cosa, acción o derecho).</w:t>
      </w:r>
      <w:bookmarkEnd w:id="8"/>
      <w:bookmarkEnd w:id="9"/>
    </w:p>
    <w:p w:rsidR="00263A4E" w:rsidRPr="00A45E74" w:rsidRDefault="00263A4E" w:rsidP="009B1F31">
      <w:pPr>
        <w:pStyle w:val="p"/>
        <w:rPr>
          <w:rFonts w:ascii="Book Antiqua" w:hAnsi="Book Antiqua"/>
          <w:sz w:val="20"/>
          <w:szCs w:val="20"/>
        </w:rPr>
      </w:pPr>
    </w:p>
    <w:p w:rsidR="002C2A07" w:rsidRPr="008F573C" w:rsidRDefault="008F573C">
      <w:pPr>
        <w:pStyle w:val="Ttulo2"/>
        <w:keepNext w:val="0"/>
      </w:pPr>
      <w:bookmarkStart w:id="10" w:name="_Toc336616314"/>
      <w:r w:rsidRPr="008F573C">
        <w:t>Referencias</w:t>
      </w:r>
      <w:bookmarkEnd w:id="10"/>
    </w:p>
    <w:p w:rsidR="002C2A07" w:rsidRDefault="00482515" w:rsidP="00B26F53">
      <w:pPr>
        <w:rPr>
          <w:rFonts w:ascii="Book Antiqua" w:hAnsi="Book Antiqua"/>
        </w:rPr>
      </w:pPr>
      <w:r w:rsidRPr="00C73EF2">
        <w:rPr>
          <w:rFonts w:ascii="Book Antiqua" w:hAnsi="Book Antiqua"/>
        </w:rPr>
        <w:t>E</w:t>
      </w:r>
      <w:r w:rsidR="00A45E74">
        <w:rPr>
          <w:rFonts w:ascii="Book Antiqua" w:hAnsi="Book Antiqua"/>
        </w:rPr>
        <w:t>ste procedimiento complementa e</w:t>
      </w:r>
      <w:r w:rsidRPr="00C73EF2">
        <w:rPr>
          <w:rFonts w:ascii="Book Antiqua" w:hAnsi="Book Antiqua"/>
        </w:rPr>
        <w:t xml:space="preserve">l </w:t>
      </w:r>
      <w:hyperlink r:id="rId16" w:history="1">
        <w:r w:rsidR="00050AEC">
          <w:rPr>
            <w:rStyle w:val="Hipervnculo"/>
            <w:rFonts w:ascii="Book Antiqua" w:hAnsi="Book Antiqua"/>
          </w:rPr>
          <w:t>Procedimiento Nº 5 de Tesorería</w:t>
        </w:r>
      </w:hyperlink>
      <w:r w:rsidR="00050AEC">
        <w:rPr>
          <w:rFonts w:ascii="Book Antiqua" w:hAnsi="Book Antiqua"/>
        </w:rPr>
        <w:t xml:space="preserve"> </w:t>
      </w:r>
      <w:r w:rsidR="00A86341">
        <w:rPr>
          <w:rFonts w:ascii="Book Antiqua" w:hAnsi="Book Antiqua"/>
        </w:rPr>
        <w:t>perteneciente al</w:t>
      </w:r>
      <w:r w:rsidRPr="00C73EF2">
        <w:rPr>
          <w:rFonts w:ascii="Book Antiqua" w:hAnsi="Book Antiqua"/>
        </w:rPr>
        <w:t xml:space="preserve"> Manual de Procedimientos Administrativos</w:t>
      </w:r>
      <w:r w:rsidR="00B26F53">
        <w:rPr>
          <w:rFonts w:ascii="Book Antiqua" w:hAnsi="Book Antiqua"/>
        </w:rPr>
        <w:t>.</w:t>
      </w:r>
    </w:p>
    <w:p w:rsidR="00A45E74" w:rsidRPr="00B26F53" w:rsidRDefault="00A45E74" w:rsidP="00B26F53">
      <w:pPr>
        <w:rPr>
          <w:rFonts w:ascii="Book Antiqua" w:hAnsi="Book Antiqua"/>
        </w:rPr>
      </w:pPr>
    </w:p>
    <w:p w:rsidR="002C2A07" w:rsidRPr="008F573C" w:rsidRDefault="002C2A07">
      <w:pPr>
        <w:pStyle w:val="Ttulo2"/>
        <w:keepNext w:val="0"/>
      </w:pPr>
      <w:bookmarkStart w:id="11" w:name="_Toc456598591"/>
      <w:bookmarkStart w:id="12" w:name="_Toc456600922"/>
      <w:bookmarkStart w:id="13" w:name="_Toc336616315"/>
      <w:proofErr w:type="spellStart"/>
      <w:r w:rsidRPr="008F573C">
        <w:t>Overview</w:t>
      </w:r>
      <w:bookmarkEnd w:id="11"/>
      <w:bookmarkEnd w:id="12"/>
      <w:bookmarkEnd w:id="13"/>
      <w:proofErr w:type="spellEnd"/>
    </w:p>
    <w:p w:rsidR="002C2A07" w:rsidRDefault="00B26F53" w:rsidP="00B26F53">
      <w:pPr>
        <w:jc w:val="both"/>
        <w:rPr>
          <w:rFonts w:ascii="Book Antiqua" w:hAnsi="Book Antiqua"/>
        </w:rPr>
      </w:pPr>
      <w:r w:rsidRPr="00D6229B">
        <w:rPr>
          <w:rFonts w:ascii="Book Antiqua" w:hAnsi="Book Antiqua"/>
        </w:rPr>
        <w:t xml:space="preserve">Es de gran importancia </w:t>
      </w:r>
      <w:r>
        <w:rPr>
          <w:rFonts w:ascii="Book Antiqua" w:hAnsi="Book Antiqua"/>
        </w:rPr>
        <w:t>establecer normas para el manejo de l</w:t>
      </w:r>
      <w:r w:rsidR="009B1F31">
        <w:rPr>
          <w:rFonts w:ascii="Book Antiqua" w:hAnsi="Book Antiqua"/>
        </w:rPr>
        <w:t>as Cesiones de Créditos</w:t>
      </w:r>
      <w:r>
        <w:rPr>
          <w:rFonts w:ascii="Book Antiqua" w:hAnsi="Book Antiqua"/>
        </w:rPr>
        <w:t>. Est</w:t>
      </w:r>
      <w:r w:rsidR="00DA66E9">
        <w:rPr>
          <w:rFonts w:ascii="Book Antiqua" w:hAnsi="Book Antiqua"/>
        </w:rPr>
        <w:t>os</w:t>
      </w:r>
      <w:r>
        <w:rPr>
          <w:rFonts w:ascii="Book Antiqua" w:hAnsi="Book Antiqua"/>
        </w:rPr>
        <w:t xml:space="preserve"> procedimiento</w:t>
      </w:r>
      <w:r w:rsidR="00DA66E9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servirá</w:t>
      </w:r>
      <w:r w:rsidR="00DA66E9">
        <w:rPr>
          <w:rFonts w:ascii="Book Antiqua" w:hAnsi="Book Antiqua"/>
        </w:rPr>
        <w:t>n</w:t>
      </w:r>
      <w:r>
        <w:rPr>
          <w:rFonts w:ascii="Book Antiqua" w:hAnsi="Book Antiqua"/>
        </w:rPr>
        <w:t xml:space="preserve"> como instrumento para suministrar información para el control de l</w:t>
      </w:r>
      <w:r w:rsidR="009B1F31">
        <w:rPr>
          <w:rFonts w:ascii="Book Antiqua" w:hAnsi="Book Antiqua"/>
        </w:rPr>
        <w:t>as</w:t>
      </w:r>
      <w:r>
        <w:rPr>
          <w:rFonts w:ascii="Book Antiqua" w:hAnsi="Book Antiqua"/>
        </w:rPr>
        <w:t xml:space="preserve"> mism</w:t>
      </w:r>
      <w:r w:rsidR="009B1F31">
        <w:rPr>
          <w:rFonts w:ascii="Book Antiqua" w:hAnsi="Book Antiqua"/>
        </w:rPr>
        <w:t>a</w:t>
      </w:r>
      <w:r>
        <w:rPr>
          <w:rFonts w:ascii="Book Antiqua" w:hAnsi="Book Antiqua"/>
        </w:rPr>
        <w:t>s y establecer con mayor precisión la distribución de tareas y responsabilidades dentro de</w:t>
      </w:r>
      <w:r w:rsidR="00DA66E9">
        <w:rPr>
          <w:rFonts w:ascii="Book Antiqua" w:hAnsi="Book Antiqua"/>
        </w:rPr>
        <w:t>l proceso</w:t>
      </w:r>
      <w:r>
        <w:rPr>
          <w:rFonts w:ascii="Book Antiqua" w:hAnsi="Book Antiqua"/>
        </w:rPr>
        <w:t xml:space="preserve"> involucrado.</w:t>
      </w: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1E3687" w:rsidRDefault="001E3687" w:rsidP="001E3687">
      <w:pPr>
        <w:pStyle w:val="Ttulo1"/>
        <w:keepNext w:val="0"/>
      </w:pPr>
      <w:bookmarkStart w:id="14" w:name="_Toc332802057"/>
      <w:bookmarkStart w:id="15" w:name="_Toc336616316"/>
      <w:r>
        <w:t>Contenido</w:t>
      </w:r>
      <w:bookmarkEnd w:id="14"/>
      <w:bookmarkEnd w:id="15"/>
    </w:p>
    <w:p w:rsidR="001E3687" w:rsidRPr="00B121D5" w:rsidRDefault="001E3687" w:rsidP="001E3687">
      <w:pPr>
        <w:pStyle w:val="Body"/>
      </w:pPr>
    </w:p>
    <w:p w:rsidR="009B1F31" w:rsidRDefault="009B1F31" w:rsidP="001E3687">
      <w:pPr>
        <w:pStyle w:val="Ttulo2"/>
        <w:keepNext w:val="0"/>
      </w:pPr>
      <w:bookmarkStart w:id="16" w:name="_Toc336616317"/>
      <w:bookmarkStart w:id="17" w:name="_Toc332807250"/>
      <w:bookmarkStart w:id="18" w:name="_Toc332802058"/>
      <w:r>
        <w:t>R</w:t>
      </w:r>
      <w:r w:rsidRPr="009B1F31">
        <w:t>ecepción e Ingres</w:t>
      </w:r>
      <w:r>
        <w:t>o</w:t>
      </w:r>
      <w:bookmarkEnd w:id="16"/>
    </w:p>
    <w:p w:rsidR="00263A4E" w:rsidRPr="00263A4E" w:rsidRDefault="00263A4E" w:rsidP="00292915">
      <w:pPr>
        <w:jc w:val="both"/>
      </w:pPr>
    </w:p>
    <w:p w:rsidR="009B1F31" w:rsidRDefault="009B1F31" w:rsidP="00292915">
      <w:pPr>
        <w:pStyle w:val="Body"/>
        <w:spacing w:before="0"/>
        <w:ind w:left="567" w:hanging="567"/>
      </w:pPr>
      <w:r>
        <w:t>2.1.1.</w:t>
      </w:r>
      <w:r w:rsidR="002A0A9F">
        <w:tab/>
      </w:r>
      <w:r>
        <w:t>El Departamento de Legales RECIBE la documentación de la cesión de</w:t>
      </w:r>
      <w:r w:rsidR="00F64F94">
        <w:t>l</w:t>
      </w:r>
      <w:r>
        <w:t xml:space="preserve"> crédito</w:t>
      </w:r>
      <w:r w:rsidR="006978E5">
        <w:t>,</w:t>
      </w:r>
      <w:r>
        <w:t xml:space="preserve"> ANALIZA la legalidad de la misma</w:t>
      </w:r>
      <w:r w:rsidR="006978E5">
        <w:t xml:space="preserve"> y la </w:t>
      </w:r>
      <w:r>
        <w:t>ENVIA</w:t>
      </w:r>
      <w:r w:rsidRPr="00E2106F">
        <w:t xml:space="preserve"> </w:t>
      </w:r>
      <w:r>
        <w:t>a</w:t>
      </w:r>
      <w:r w:rsidR="006978E5">
        <w:t xml:space="preserve"> los</w:t>
      </w:r>
      <w:r>
        <w:t xml:space="preserve"> Departamento</w:t>
      </w:r>
      <w:r w:rsidR="006978E5">
        <w:t>s</w:t>
      </w:r>
      <w:r>
        <w:t xml:space="preserve"> de Impuestos</w:t>
      </w:r>
      <w:r w:rsidR="00BB648D">
        <w:t>,</w:t>
      </w:r>
      <w:r w:rsidR="001A6167">
        <w:t xml:space="preserve"> Tesorería</w:t>
      </w:r>
      <w:r w:rsidR="00BB648D">
        <w:t xml:space="preserve"> y  Departamento de  Mercaderías</w:t>
      </w:r>
      <w:r w:rsidRPr="007E5132">
        <w:t xml:space="preserve">. </w:t>
      </w:r>
    </w:p>
    <w:p w:rsidR="00F361FC" w:rsidRPr="007E5132" w:rsidRDefault="00F361FC" w:rsidP="00292915">
      <w:pPr>
        <w:pStyle w:val="Body"/>
        <w:spacing w:before="0"/>
        <w:ind w:left="567" w:hanging="567"/>
      </w:pPr>
    </w:p>
    <w:p w:rsidR="009B1F31" w:rsidRDefault="009B1F31" w:rsidP="00292915">
      <w:pPr>
        <w:pStyle w:val="Body"/>
        <w:spacing w:before="0"/>
        <w:ind w:left="567" w:hanging="567"/>
      </w:pPr>
      <w:r>
        <w:t>2.1.2.</w:t>
      </w:r>
      <w:r w:rsidR="002A0A9F">
        <w:tab/>
      </w:r>
      <w:r>
        <w:t xml:space="preserve"> El Departamento de Impuestos INGRESA los datos del cesionario en el sistema AS400.</w:t>
      </w:r>
    </w:p>
    <w:p w:rsidR="0017292F" w:rsidRDefault="0017292F" w:rsidP="00292915">
      <w:pPr>
        <w:pStyle w:val="Body"/>
        <w:spacing w:before="0"/>
        <w:ind w:left="567" w:hanging="567"/>
      </w:pPr>
    </w:p>
    <w:p w:rsidR="00643431" w:rsidRPr="00643431" w:rsidRDefault="0017292F" w:rsidP="0017292F">
      <w:pPr>
        <w:widowControl/>
        <w:spacing w:line="240" w:lineRule="auto"/>
        <w:ind w:left="567" w:hanging="567"/>
        <w:jc w:val="both"/>
      </w:pPr>
      <w:r w:rsidRPr="00643431">
        <w:rPr>
          <w:rFonts w:ascii="Book Antiqua" w:hAnsi="Book Antiqua"/>
        </w:rPr>
        <w:t xml:space="preserve">2.1.3.  </w:t>
      </w:r>
      <w:r w:rsidR="001A6167" w:rsidRPr="00643431">
        <w:t>Tesorería CONTROLA la correspondencia de la cuenta bancaria del cesionario</w:t>
      </w:r>
      <w:r w:rsidR="00643431">
        <w:t>,</w:t>
      </w:r>
      <w:r w:rsidR="001A6167" w:rsidRPr="00643431">
        <w:t xml:space="preserve">  INGRESA los datos de</w:t>
      </w:r>
      <w:r w:rsidR="00F64F94">
        <w:t xml:space="preserve"> la</w:t>
      </w:r>
      <w:r w:rsidR="001A6167" w:rsidRPr="00643431">
        <w:t xml:space="preserve"> CBU en el Datanet y </w:t>
      </w:r>
      <w:r w:rsidR="00643431" w:rsidRPr="00643431">
        <w:t xml:space="preserve"> </w:t>
      </w:r>
      <w:r w:rsidR="00643431">
        <w:t>el número de</w:t>
      </w:r>
      <w:r w:rsidR="00643431" w:rsidRPr="00643431">
        <w:t xml:space="preserve"> cuenta corriente </w:t>
      </w:r>
      <w:r w:rsidR="001A6167" w:rsidRPr="00643431">
        <w:t>en módulo de Tesorería del AS 400</w:t>
      </w:r>
      <w:r w:rsidR="00643431" w:rsidRPr="00643431">
        <w:t>.</w:t>
      </w:r>
    </w:p>
    <w:p w:rsidR="001A6167" w:rsidRPr="00643431" w:rsidRDefault="001A6167" w:rsidP="0017292F">
      <w:pPr>
        <w:widowControl/>
        <w:spacing w:line="240" w:lineRule="auto"/>
        <w:ind w:left="567" w:hanging="567"/>
        <w:jc w:val="both"/>
      </w:pPr>
    </w:p>
    <w:p w:rsidR="001A6167" w:rsidRDefault="009B1F31" w:rsidP="001A6167">
      <w:pPr>
        <w:widowControl/>
        <w:spacing w:line="240" w:lineRule="auto"/>
        <w:ind w:left="567" w:hanging="567"/>
        <w:jc w:val="both"/>
        <w:rPr>
          <w:rFonts w:ascii="Book Antiqua" w:hAnsi="Book Antiqua"/>
        </w:rPr>
      </w:pPr>
      <w:r w:rsidRPr="00643431">
        <w:t xml:space="preserve">2.1.4 </w:t>
      </w:r>
      <w:r w:rsidR="002A0A9F" w:rsidRPr="00643431">
        <w:tab/>
      </w:r>
      <w:r w:rsidRPr="00643431">
        <w:t xml:space="preserve"> </w:t>
      </w:r>
      <w:r w:rsidR="001A6167" w:rsidRPr="00643431">
        <w:rPr>
          <w:rFonts w:ascii="Book Antiqua" w:hAnsi="Book Antiqua"/>
        </w:rPr>
        <w:t>El Departamento de Legales CONTROLA la relación del contrato con la cuenta cesionaria, el CBU, etc. y</w:t>
      </w:r>
      <w:r w:rsidR="006978E5">
        <w:rPr>
          <w:rFonts w:ascii="Book Antiqua" w:hAnsi="Book Antiqua"/>
        </w:rPr>
        <w:t>,</w:t>
      </w:r>
      <w:r w:rsidR="001A6167" w:rsidRPr="00643431">
        <w:rPr>
          <w:rFonts w:ascii="Book Antiqua" w:hAnsi="Book Antiqua"/>
        </w:rPr>
        <w:t xml:space="preserve"> </w:t>
      </w:r>
      <w:r w:rsidR="006978E5" w:rsidRPr="00643431">
        <w:rPr>
          <w:rFonts w:ascii="Book Antiqua" w:hAnsi="Book Antiqua"/>
        </w:rPr>
        <w:t>de corresponder</w:t>
      </w:r>
      <w:r w:rsidR="006978E5">
        <w:rPr>
          <w:rFonts w:ascii="Book Antiqua" w:hAnsi="Book Antiqua"/>
        </w:rPr>
        <w:t xml:space="preserve">, </w:t>
      </w:r>
      <w:r w:rsidR="001A6167" w:rsidRPr="00643431">
        <w:rPr>
          <w:rFonts w:ascii="Book Antiqua" w:hAnsi="Book Antiqua"/>
        </w:rPr>
        <w:t>AUTORIZA</w:t>
      </w:r>
      <w:r w:rsidR="006978E5">
        <w:rPr>
          <w:rFonts w:ascii="Book Antiqua" w:hAnsi="Book Antiqua"/>
        </w:rPr>
        <w:t xml:space="preserve"> (vía sistema)</w:t>
      </w:r>
      <w:r w:rsidR="001A6167" w:rsidRPr="00643431">
        <w:rPr>
          <w:rFonts w:ascii="Book Antiqua" w:hAnsi="Book Antiqua"/>
        </w:rPr>
        <w:t>.</w:t>
      </w:r>
      <w:r w:rsidR="001A6167" w:rsidRPr="007F4EF6">
        <w:t xml:space="preserve"> </w:t>
      </w:r>
    </w:p>
    <w:p w:rsidR="009B1F31" w:rsidRDefault="009B1F31" w:rsidP="00292915">
      <w:pPr>
        <w:pStyle w:val="Body"/>
        <w:spacing w:before="0"/>
        <w:ind w:left="567" w:hanging="567"/>
      </w:pPr>
    </w:p>
    <w:p w:rsidR="009B1F31" w:rsidRDefault="009B1F31" w:rsidP="009B1F31">
      <w:pPr>
        <w:pStyle w:val="Ttulo2"/>
        <w:keepNext w:val="0"/>
        <w:numPr>
          <w:ilvl w:val="0"/>
          <w:numId w:val="0"/>
        </w:numPr>
      </w:pPr>
    </w:p>
    <w:p w:rsidR="009B1F31" w:rsidRDefault="009B1F31" w:rsidP="009B1F31">
      <w:pPr>
        <w:pStyle w:val="Ttulo2"/>
        <w:keepNext w:val="0"/>
      </w:pPr>
      <w:bookmarkStart w:id="19" w:name="_Toc332807251"/>
      <w:bookmarkStart w:id="20" w:name="_Toc336616318"/>
      <w:r w:rsidRPr="009B1F31">
        <w:t>Pago</w:t>
      </w:r>
      <w:bookmarkEnd w:id="19"/>
      <w:bookmarkEnd w:id="20"/>
    </w:p>
    <w:p w:rsidR="00F361FC" w:rsidRPr="00F361FC" w:rsidRDefault="00F361FC" w:rsidP="00F361FC"/>
    <w:p w:rsidR="009B1F31" w:rsidRDefault="009B1F31" w:rsidP="00F361FC">
      <w:pPr>
        <w:widowControl/>
        <w:spacing w:line="240" w:lineRule="auto"/>
        <w:jc w:val="both"/>
        <w:rPr>
          <w:rFonts w:ascii="Book Antiqua" w:hAnsi="Book Antiqua"/>
        </w:rPr>
      </w:pPr>
      <w:r w:rsidRPr="009B1F31">
        <w:rPr>
          <w:rFonts w:ascii="Book Antiqua" w:hAnsi="Book Antiqua"/>
        </w:rPr>
        <w:t>Presentada la oportunidad de pago de la cesión de créditos:</w:t>
      </w:r>
    </w:p>
    <w:p w:rsidR="00F361FC" w:rsidRPr="009B1F31" w:rsidRDefault="00F361FC" w:rsidP="00F361FC">
      <w:pPr>
        <w:widowControl/>
        <w:spacing w:line="240" w:lineRule="auto"/>
        <w:jc w:val="both"/>
        <w:rPr>
          <w:rFonts w:ascii="Book Antiqua" w:hAnsi="Book Antiqua"/>
        </w:rPr>
      </w:pPr>
    </w:p>
    <w:p w:rsidR="0017292F" w:rsidRPr="0017292F" w:rsidRDefault="009B1F31" w:rsidP="006978E5">
      <w:pPr>
        <w:ind w:left="567" w:hanging="567"/>
        <w:jc w:val="both"/>
        <w:rPr>
          <w:rFonts w:ascii="Book Antiqua" w:eastAsia="Calibri" w:hAnsi="Book Antiqua" w:cs="Calibri"/>
        </w:rPr>
      </w:pPr>
      <w:r w:rsidRPr="009B1F31">
        <w:rPr>
          <w:rFonts w:ascii="Book Antiqua" w:hAnsi="Book Antiqua"/>
        </w:rPr>
        <w:t xml:space="preserve">2.2.1 </w:t>
      </w:r>
      <w:r w:rsidR="0017292F">
        <w:rPr>
          <w:rFonts w:ascii="Book Antiqua" w:hAnsi="Book Antiqua"/>
        </w:rPr>
        <w:t>El Departamento de Mercaderías</w:t>
      </w:r>
      <w:r w:rsidRPr="009B1F31">
        <w:rPr>
          <w:rFonts w:ascii="Book Antiqua" w:hAnsi="Book Antiqua"/>
        </w:rPr>
        <w:t xml:space="preserve"> EMITE la </w:t>
      </w:r>
      <w:r w:rsidR="006978E5">
        <w:rPr>
          <w:rFonts w:ascii="Book Antiqua" w:hAnsi="Book Antiqua"/>
        </w:rPr>
        <w:t>Minuta de Pago correspondiente (l</w:t>
      </w:r>
      <w:r w:rsidR="0017292F" w:rsidRPr="0017292F">
        <w:rPr>
          <w:rFonts w:ascii="Book Antiqua" w:eastAsia="Calibri" w:hAnsi="Book Antiqua" w:cs="Calibri"/>
        </w:rPr>
        <w:t>a misma es impresa por el sistema con una leyenda que indica la condición “cesión de pagos”</w:t>
      </w:r>
      <w:r w:rsidR="006978E5">
        <w:rPr>
          <w:rFonts w:ascii="Book Antiqua" w:eastAsia="Calibri" w:hAnsi="Book Antiqua" w:cs="Calibri"/>
        </w:rPr>
        <w:t>)</w:t>
      </w:r>
      <w:r w:rsidR="0017292F" w:rsidRPr="0017292F">
        <w:rPr>
          <w:rFonts w:ascii="Book Antiqua" w:eastAsia="Calibri" w:hAnsi="Book Antiqua" w:cs="Calibri"/>
        </w:rPr>
        <w:t>.</w:t>
      </w:r>
    </w:p>
    <w:p w:rsidR="00263A4E" w:rsidRPr="009B1F31" w:rsidRDefault="00263A4E" w:rsidP="00F361FC">
      <w:pPr>
        <w:widowControl/>
        <w:spacing w:line="240" w:lineRule="auto"/>
        <w:jc w:val="both"/>
        <w:rPr>
          <w:rFonts w:ascii="Book Antiqua" w:hAnsi="Book Antiqua"/>
        </w:rPr>
      </w:pPr>
    </w:p>
    <w:p w:rsidR="00263A4E" w:rsidRPr="009B1F31" w:rsidRDefault="009B1F31" w:rsidP="006B4BA4">
      <w:pPr>
        <w:widowControl/>
        <w:spacing w:after="200" w:line="240" w:lineRule="auto"/>
        <w:ind w:left="426" w:hanging="426"/>
        <w:jc w:val="both"/>
        <w:rPr>
          <w:rFonts w:ascii="Book Antiqua" w:hAnsi="Book Antiqua"/>
        </w:rPr>
      </w:pPr>
      <w:r w:rsidRPr="009B1F31">
        <w:rPr>
          <w:rFonts w:ascii="Book Antiqua" w:hAnsi="Book Antiqua"/>
        </w:rPr>
        <w:t xml:space="preserve">2.2.2. </w:t>
      </w:r>
      <w:r w:rsidR="006B4BA4">
        <w:rPr>
          <w:rFonts w:ascii="Book Antiqua" w:hAnsi="Book Antiqua"/>
        </w:rPr>
        <w:t>El responsable de mercaderías (o suplente) FIRMA</w:t>
      </w:r>
      <w:r w:rsidR="006B4BA4" w:rsidRPr="009B1F31">
        <w:rPr>
          <w:rFonts w:ascii="Book Antiqua" w:hAnsi="Book Antiqua"/>
        </w:rPr>
        <w:t xml:space="preserve"> </w:t>
      </w:r>
      <w:r w:rsidR="006B4BA4">
        <w:rPr>
          <w:rFonts w:ascii="Book Antiqua" w:hAnsi="Book Antiqua"/>
        </w:rPr>
        <w:t>l</w:t>
      </w:r>
      <w:r w:rsidRPr="009B1F31">
        <w:rPr>
          <w:rFonts w:ascii="Book Antiqua" w:hAnsi="Book Antiqua"/>
        </w:rPr>
        <w:t>a Minuta de pago</w:t>
      </w:r>
      <w:r w:rsidR="006B4BA4">
        <w:rPr>
          <w:rFonts w:ascii="Book Antiqua" w:hAnsi="Book Antiqua"/>
        </w:rPr>
        <w:t xml:space="preserve"> y requiere una segunda autorización, en un todo de acuerdo a lo estipulado en el Anexo V del Procedimiento Nº5 (Tesorería)</w:t>
      </w:r>
      <w:r w:rsidR="006B4BA4" w:rsidRPr="00611A40">
        <w:rPr>
          <w:rFonts w:ascii="Book Antiqua" w:hAnsi="Book Antiqua"/>
        </w:rPr>
        <w:t>.</w:t>
      </w:r>
    </w:p>
    <w:p w:rsidR="009B1F31" w:rsidRDefault="009B1F31" w:rsidP="00F361FC">
      <w:pPr>
        <w:widowControl/>
        <w:spacing w:line="240" w:lineRule="auto"/>
        <w:jc w:val="both"/>
        <w:rPr>
          <w:rFonts w:ascii="Book Antiqua" w:hAnsi="Book Antiqua"/>
        </w:rPr>
      </w:pPr>
      <w:r w:rsidRPr="009B1F31">
        <w:rPr>
          <w:rFonts w:ascii="Book Antiqua" w:hAnsi="Book Antiqua"/>
        </w:rPr>
        <w:t xml:space="preserve">2.2.3. Tesorería SOLICITA la aprobación vía sistema del Departamento de </w:t>
      </w:r>
      <w:r w:rsidR="0017292F">
        <w:rPr>
          <w:rFonts w:ascii="Book Antiqua" w:hAnsi="Book Antiqua"/>
        </w:rPr>
        <w:t>Mercaderías</w:t>
      </w:r>
      <w:r w:rsidR="00F21253">
        <w:rPr>
          <w:rFonts w:ascii="Book Antiqua" w:hAnsi="Book Antiqua"/>
        </w:rPr>
        <w:t>.</w:t>
      </w:r>
    </w:p>
    <w:p w:rsidR="00263A4E" w:rsidRPr="009B1F31" w:rsidRDefault="00263A4E" w:rsidP="00F361FC">
      <w:pPr>
        <w:widowControl/>
        <w:spacing w:line="240" w:lineRule="auto"/>
        <w:jc w:val="both"/>
        <w:rPr>
          <w:rFonts w:ascii="Book Antiqua" w:hAnsi="Book Antiqua"/>
        </w:rPr>
      </w:pPr>
    </w:p>
    <w:p w:rsidR="009B1F31" w:rsidRPr="00643431" w:rsidRDefault="009B1F31" w:rsidP="0017292F">
      <w:pPr>
        <w:widowControl/>
        <w:spacing w:line="240" w:lineRule="auto"/>
        <w:ind w:left="567" w:hanging="567"/>
        <w:jc w:val="both"/>
        <w:rPr>
          <w:rFonts w:ascii="Book Antiqua" w:hAnsi="Book Antiqua"/>
        </w:rPr>
      </w:pPr>
      <w:r w:rsidRPr="009B1F31">
        <w:rPr>
          <w:rFonts w:ascii="Book Antiqua" w:hAnsi="Book Antiqua"/>
        </w:rPr>
        <w:t>2.2.</w:t>
      </w:r>
      <w:r w:rsidR="0017292F">
        <w:rPr>
          <w:rFonts w:ascii="Book Antiqua" w:hAnsi="Book Antiqua"/>
        </w:rPr>
        <w:t>4</w:t>
      </w:r>
      <w:r w:rsidRPr="009B1F31">
        <w:rPr>
          <w:rFonts w:ascii="Book Antiqua" w:hAnsi="Book Antiqua"/>
        </w:rPr>
        <w:t xml:space="preserve">. </w:t>
      </w:r>
      <w:r w:rsidRPr="00643431">
        <w:rPr>
          <w:rFonts w:ascii="Book Antiqua" w:hAnsi="Book Antiqua"/>
        </w:rPr>
        <w:t xml:space="preserve">El Departamento de Mercaderías CONTROLA </w:t>
      </w:r>
      <w:r w:rsidR="00643431">
        <w:rPr>
          <w:rFonts w:ascii="Book Antiqua" w:hAnsi="Book Antiqua"/>
        </w:rPr>
        <w:t>la documentación</w:t>
      </w:r>
      <w:r w:rsidR="006F2B6B">
        <w:rPr>
          <w:rFonts w:ascii="Book Antiqua" w:hAnsi="Book Antiqua"/>
        </w:rPr>
        <w:t xml:space="preserve"> de respaldo</w:t>
      </w:r>
      <w:bookmarkStart w:id="21" w:name="_GoBack"/>
      <w:bookmarkEnd w:id="21"/>
      <w:r w:rsidR="00643431">
        <w:rPr>
          <w:rFonts w:ascii="Book Antiqua" w:hAnsi="Book Antiqua"/>
        </w:rPr>
        <w:t xml:space="preserve"> </w:t>
      </w:r>
      <w:r w:rsidRPr="00643431">
        <w:rPr>
          <w:rFonts w:ascii="Book Antiqua" w:hAnsi="Book Antiqua"/>
        </w:rPr>
        <w:t>y AUTORIZA</w:t>
      </w:r>
      <w:r w:rsidR="006978E5">
        <w:rPr>
          <w:rFonts w:ascii="Book Antiqua" w:hAnsi="Book Antiqua"/>
        </w:rPr>
        <w:t xml:space="preserve"> (vía sistema) </w:t>
      </w:r>
      <w:r w:rsidRPr="00643431">
        <w:rPr>
          <w:rFonts w:ascii="Book Antiqua" w:hAnsi="Book Antiqua"/>
        </w:rPr>
        <w:t xml:space="preserve"> el pago.</w:t>
      </w:r>
    </w:p>
    <w:p w:rsidR="00263A4E" w:rsidRPr="00643431" w:rsidRDefault="00263A4E" w:rsidP="00263A4E">
      <w:pPr>
        <w:widowControl/>
        <w:spacing w:line="240" w:lineRule="auto"/>
        <w:jc w:val="both"/>
        <w:rPr>
          <w:rFonts w:ascii="Book Antiqua" w:hAnsi="Book Antiqua"/>
        </w:rPr>
      </w:pPr>
    </w:p>
    <w:p w:rsidR="00180CC2" w:rsidRPr="00180CC2" w:rsidRDefault="009B1F31" w:rsidP="00263A4E">
      <w:pPr>
        <w:widowControl/>
        <w:spacing w:line="240" w:lineRule="auto"/>
        <w:jc w:val="both"/>
        <w:rPr>
          <w:rFonts w:ascii="Book Antiqua" w:hAnsi="Book Antiqua"/>
        </w:rPr>
      </w:pPr>
      <w:r w:rsidRPr="00643431">
        <w:rPr>
          <w:rFonts w:ascii="Book Antiqua" w:hAnsi="Book Antiqua"/>
        </w:rPr>
        <w:t>2.2.5. Tesorería EMITE la Orden de Pago</w:t>
      </w:r>
      <w:r w:rsidR="00180CC2" w:rsidRPr="00643431">
        <w:rPr>
          <w:rFonts w:ascii="Book Antiqua" w:hAnsi="Book Antiqua"/>
        </w:rPr>
        <w:t>.</w:t>
      </w:r>
    </w:p>
    <w:p w:rsidR="00180CC2" w:rsidRDefault="00180CC2" w:rsidP="00263A4E">
      <w:pPr>
        <w:widowControl/>
        <w:spacing w:line="240" w:lineRule="auto"/>
        <w:jc w:val="both"/>
        <w:rPr>
          <w:rFonts w:ascii="Book Antiqua" w:hAnsi="Book Antiqua"/>
        </w:rPr>
      </w:pPr>
    </w:p>
    <w:p w:rsidR="009B1F31" w:rsidRDefault="00180CC2" w:rsidP="00263A4E">
      <w:pPr>
        <w:widowControl/>
        <w:spacing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2.2.6. L</w:t>
      </w:r>
      <w:r w:rsidR="009B1F31" w:rsidRPr="009B1F31">
        <w:rPr>
          <w:rFonts w:ascii="Book Antiqua" w:hAnsi="Book Antiqua"/>
        </w:rPr>
        <w:t>os apoderados AUTORIZAN la</w:t>
      </w:r>
      <w:r>
        <w:rPr>
          <w:rFonts w:ascii="Book Antiqua" w:hAnsi="Book Antiqua"/>
        </w:rPr>
        <w:t xml:space="preserve"> Orden de pago</w:t>
      </w:r>
      <w:r w:rsidR="009B1F31" w:rsidRPr="009B1F31">
        <w:rPr>
          <w:rFonts w:ascii="Book Antiqua" w:hAnsi="Book Antiqua"/>
        </w:rPr>
        <w:t>.</w:t>
      </w:r>
    </w:p>
    <w:p w:rsidR="00263A4E" w:rsidRPr="009B1F31" w:rsidRDefault="00263A4E" w:rsidP="00263A4E">
      <w:pPr>
        <w:widowControl/>
        <w:spacing w:line="240" w:lineRule="auto"/>
        <w:jc w:val="both"/>
        <w:rPr>
          <w:rFonts w:ascii="Book Antiqua" w:hAnsi="Book Antiqua"/>
        </w:rPr>
      </w:pPr>
    </w:p>
    <w:p w:rsidR="009B1F31" w:rsidRPr="009B1F31" w:rsidRDefault="009B1F31" w:rsidP="00263A4E">
      <w:pPr>
        <w:widowControl/>
        <w:spacing w:line="240" w:lineRule="auto"/>
        <w:jc w:val="both"/>
        <w:rPr>
          <w:rFonts w:ascii="Book Antiqua" w:hAnsi="Book Antiqua"/>
        </w:rPr>
      </w:pPr>
      <w:r w:rsidRPr="009B1F31">
        <w:rPr>
          <w:rFonts w:ascii="Book Antiqua" w:hAnsi="Book Antiqua"/>
        </w:rPr>
        <w:t>2.2.</w:t>
      </w:r>
      <w:r w:rsidR="00180CC2">
        <w:rPr>
          <w:rFonts w:ascii="Book Antiqua" w:hAnsi="Book Antiqua"/>
        </w:rPr>
        <w:t>7</w:t>
      </w:r>
      <w:r w:rsidRPr="009B1F31">
        <w:rPr>
          <w:rFonts w:ascii="Book Antiqua" w:hAnsi="Book Antiqua"/>
        </w:rPr>
        <w:t xml:space="preserve">. Tesorería </w:t>
      </w:r>
      <w:r w:rsidR="0017292F">
        <w:rPr>
          <w:rFonts w:ascii="Book Antiqua" w:hAnsi="Book Antiqua"/>
        </w:rPr>
        <w:t>PERFECCIONA</w:t>
      </w:r>
      <w:r w:rsidRPr="009B1F3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el pago</w:t>
      </w:r>
      <w:r w:rsidR="00292915">
        <w:rPr>
          <w:rFonts w:ascii="Book Antiqua" w:hAnsi="Book Antiqua"/>
        </w:rPr>
        <w:t>.</w:t>
      </w:r>
    </w:p>
    <w:p w:rsidR="009B1F31" w:rsidRDefault="009B1F31" w:rsidP="009B1F31">
      <w:pPr>
        <w:pStyle w:val="Ttulo2"/>
        <w:keepNext w:val="0"/>
        <w:numPr>
          <w:ilvl w:val="0"/>
          <w:numId w:val="0"/>
        </w:numPr>
      </w:pPr>
    </w:p>
    <w:p w:rsidR="00F361FC" w:rsidRPr="00F361FC" w:rsidRDefault="00F361FC" w:rsidP="00F361FC"/>
    <w:p w:rsidR="009B1F31" w:rsidRDefault="009B1F31" w:rsidP="00F361FC">
      <w:pPr>
        <w:pStyle w:val="Ttulo2"/>
        <w:keepNext w:val="0"/>
        <w:spacing w:before="0" w:after="0"/>
      </w:pPr>
      <w:bookmarkStart w:id="22" w:name="_Toc336616319"/>
      <w:r w:rsidRPr="005E29A7">
        <w:t>Verificación y asesoramiento</w:t>
      </w:r>
      <w:bookmarkEnd w:id="22"/>
    </w:p>
    <w:p w:rsidR="00F361FC" w:rsidRPr="00292915" w:rsidRDefault="00F361FC" w:rsidP="00F361FC"/>
    <w:p w:rsidR="009B1F31" w:rsidRPr="009B1F31" w:rsidRDefault="009B1F31" w:rsidP="002A0A9F">
      <w:pPr>
        <w:widowControl/>
        <w:spacing w:line="240" w:lineRule="auto"/>
        <w:jc w:val="both"/>
      </w:pPr>
      <w:r>
        <w:rPr>
          <w:rFonts w:ascii="Book Antiqua" w:hAnsi="Book Antiqua"/>
        </w:rPr>
        <w:t>2</w:t>
      </w:r>
      <w:r w:rsidRPr="009B1F31">
        <w:rPr>
          <w:rFonts w:ascii="Book Antiqua" w:hAnsi="Book Antiqua"/>
        </w:rPr>
        <w:t>.3.1. Auditoria Interna está facultada para verificar el cumplimiento y asesorar.</w:t>
      </w:r>
      <w:bookmarkEnd w:id="17"/>
    </w:p>
    <w:bookmarkEnd w:id="18"/>
    <w:p w:rsidR="00874D95" w:rsidRPr="00874D95" w:rsidRDefault="00874D95" w:rsidP="00874D95"/>
    <w:sectPr w:rsidR="00874D95" w:rsidRPr="00874D95" w:rsidSect="009B788A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3B" w:rsidRDefault="0095593B">
      <w:pPr>
        <w:spacing w:line="240" w:lineRule="auto"/>
      </w:pPr>
      <w:r>
        <w:separator/>
      </w:r>
    </w:p>
  </w:endnote>
  <w:endnote w:type="continuationSeparator" w:id="0">
    <w:p w:rsidR="0095593B" w:rsidRDefault="00955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Georgi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 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3D99" w:rsidRDefault="001D3D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DD2" w:rsidRDefault="00225D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DD2" w:rsidRDefault="00225DD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1D3D99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D3D99" w:rsidRDefault="001D3D99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1D3D99" w:rsidRPr="00E263E7" w:rsidRDefault="001D3D99">
          <w:pPr>
            <w:jc w:val="center"/>
            <w:rPr>
              <w:lang w:val="en-US"/>
            </w:rPr>
          </w:pPr>
          <w:r>
            <w:sym w:font="Symbol" w:char="F0D3"/>
          </w:r>
          <w:r>
            <w:fldChar w:fldCharType="begin"/>
          </w:r>
          <w:r w:rsidRPr="00E263E7">
            <w:rPr>
              <w:lang w:val="en-US"/>
            </w:rPr>
            <w:instrText xml:space="preserve"> DOCPROPERTY "Company"  \* MERGEFORMAT </w:instrText>
          </w:r>
          <w:r>
            <w:fldChar w:fldCharType="separate"/>
          </w:r>
          <w:r w:rsidR="00CA2D69">
            <w:rPr>
              <w:lang w:val="en-US"/>
            </w:rPr>
            <w:t>Alfred C. Toepfer Intl. S.R.L.</w:t>
          </w:r>
          <w:r>
            <w:fldChar w:fldCharType="end"/>
          </w:r>
          <w:r w:rsidRPr="00E263E7">
            <w:rPr>
              <w:lang w:val="en-U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2B6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3D99" w:rsidRDefault="001D3D99">
          <w:pPr>
            <w:jc w:val="right"/>
          </w:pPr>
          <w: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F2B6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F2B6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D3D99" w:rsidRDefault="001D3D9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3B" w:rsidRDefault="0095593B">
      <w:pPr>
        <w:spacing w:line="240" w:lineRule="auto"/>
      </w:pPr>
      <w:r>
        <w:separator/>
      </w:r>
    </w:p>
  </w:footnote>
  <w:footnote w:type="continuationSeparator" w:id="0">
    <w:p w:rsidR="0095593B" w:rsidRDefault="00955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DD2" w:rsidRDefault="00225D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rPr>
        <w:sz w:val="24"/>
      </w:rPr>
    </w:pPr>
  </w:p>
  <w:p w:rsidR="001D3D99" w:rsidRDefault="00555546">
    <w:pPr>
      <w:pBdr>
        <w:top w:val="single" w:sz="6" w:space="1" w:color="auto"/>
      </w:pBdr>
      <w:rPr>
        <w:sz w:val="24"/>
      </w:rPr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5CF61278" wp14:editId="672F7F5A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763270" cy="626110"/>
          <wp:effectExtent l="0" t="0" r="0" b="2540"/>
          <wp:wrapNone/>
          <wp:docPr id="1" name="Imagen 1" descr="kogge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gge2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3D99" w:rsidRPr="00373847" w:rsidRDefault="001D3D99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r>
      <w:rPr>
        <w:rFonts w:ascii="Arial" w:hAnsi="Arial"/>
        <w:b/>
        <w:sz w:val="36"/>
      </w:rPr>
      <w:fldChar w:fldCharType="begin"/>
    </w:r>
    <w:r w:rsidRPr="00373847">
      <w:rPr>
        <w:rFonts w:ascii="Arial" w:hAnsi="Arial"/>
        <w:b/>
        <w:sz w:val="36"/>
        <w:lang w:val="en-US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2D69">
      <w:rPr>
        <w:rFonts w:ascii="Arial" w:hAnsi="Arial"/>
        <w:b/>
        <w:sz w:val="36"/>
        <w:lang w:val="en-US"/>
      </w:rPr>
      <w:t>Alfred C. Toepfer Intl. S.R.L.</w:t>
    </w:r>
    <w:r>
      <w:rPr>
        <w:rFonts w:ascii="Arial" w:hAnsi="Arial"/>
        <w:b/>
        <w:sz w:val="36"/>
      </w:rPr>
      <w:fldChar w:fldCharType="end"/>
    </w:r>
  </w:p>
  <w:p w:rsidR="001D3D99" w:rsidRPr="00373847" w:rsidRDefault="001D3D99">
    <w:pPr>
      <w:pBdr>
        <w:bottom w:val="single" w:sz="6" w:space="1" w:color="auto"/>
      </w:pBdr>
      <w:jc w:val="right"/>
      <w:rPr>
        <w:sz w:val="24"/>
        <w:lang w:val="en-US"/>
      </w:rPr>
    </w:pPr>
  </w:p>
  <w:p w:rsidR="001D3D99" w:rsidRPr="00373847" w:rsidRDefault="001D3D99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DD2" w:rsidRDefault="00225DD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3D99">
      <w:tc>
        <w:tcPr>
          <w:tcW w:w="6379" w:type="dxa"/>
        </w:tcPr>
        <w:p w:rsidR="001D3D99" w:rsidRDefault="006B4BA4" w:rsidP="00243675">
          <w:fldSimple w:instr=" SUBJECT   \* MERGEFORMAT ">
            <w:r w:rsidR="00CA2D69">
              <w:t>Procedimiento Nº17</w:t>
            </w:r>
          </w:fldSimple>
        </w:p>
      </w:tc>
      <w:tc>
        <w:tcPr>
          <w:tcW w:w="3179" w:type="dxa"/>
        </w:tcPr>
        <w:p w:rsidR="001D3D99" w:rsidRDefault="001D3D99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fldSimple w:instr=" DOCPROPERTY  version  \* MERGEFORMAT ">
            <w:r w:rsidR="00CA2D69">
              <w:t>1.0</w:t>
            </w:r>
          </w:fldSimple>
        </w:p>
      </w:tc>
    </w:tr>
    <w:tr w:rsidR="001D3D99">
      <w:tc>
        <w:tcPr>
          <w:tcW w:w="6379" w:type="dxa"/>
        </w:tcPr>
        <w:p w:rsidR="001D3D99" w:rsidRDefault="006B4BA4" w:rsidP="00B26F53">
          <w:fldSimple w:instr=" DOCPROPERTY  Title  \* MERGEFORMAT ">
            <w:r w:rsidR="00CA2D69">
              <w:t>Cesión de créditos</w:t>
            </w:r>
          </w:fldSimple>
        </w:p>
      </w:tc>
      <w:tc>
        <w:tcPr>
          <w:tcW w:w="3179" w:type="dxa"/>
        </w:tcPr>
        <w:p w:rsidR="001D3D99" w:rsidRDefault="001D3D99" w:rsidP="00225DD2">
          <w:r>
            <w:t xml:space="preserve">  Fecha:  </w:t>
          </w:r>
          <w:r w:rsidR="00225DD2">
            <w:t>08/11</w:t>
          </w:r>
          <w:r w:rsidR="00A45E74">
            <w:t>/2012</w:t>
          </w:r>
        </w:p>
      </w:tc>
    </w:tr>
    <w:tr w:rsidR="001D3D99">
      <w:tc>
        <w:tcPr>
          <w:tcW w:w="9558" w:type="dxa"/>
          <w:gridSpan w:val="2"/>
        </w:tcPr>
        <w:p w:rsidR="001D3D99" w:rsidRDefault="001D3D99"/>
      </w:tc>
    </w:tr>
  </w:tbl>
  <w:p w:rsidR="001D3D99" w:rsidRDefault="001D3D99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4B3CBA"/>
    <w:multiLevelType w:val="multilevel"/>
    <w:tmpl w:val="D124D544"/>
    <w:lvl w:ilvl="0">
      <w:start w:val="8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5">
    <w:nsid w:val="14EA16CF"/>
    <w:multiLevelType w:val="multilevel"/>
    <w:tmpl w:val="E7A655FC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8.4.%3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C3E97"/>
    <w:multiLevelType w:val="multilevel"/>
    <w:tmpl w:val="AEBA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745392"/>
    <w:multiLevelType w:val="hybridMultilevel"/>
    <w:tmpl w:val="9AD0C2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4702BC"/>
    <w:multiLevelType w:val="multilevel"/>
    <w:tmpl w:val="E6A298F8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7.%2.%3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8855E6"/>
    <w:multiLevelType w:val="multilevel"/>
    <w:tmpl w:val="043E0018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8.%2.%3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ECA3281"/>
    <w:multiLevelType w:val="multilevel"/>
    <w:tmpl w:val="2D603134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7F14D8F"/>
    <w:multiLevelType w:val="multilevel"/>
    <w:tmpl w:val="D5A839EC"/>
    <w:lvl w:ilvl="0">
      <w:start w:val="8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275C97"/>
    <w:multiLevelType w:val="hybridMultilevel"/>
    <w:tmpl w:val="22F690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8F51F4F"/>
    <w:multiLevelType w:val="multilevel"/>
    <w:tmpl w:val="A364B6A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DEB6EAB"/>
    <w:multiLevelType w:val="hybridMultilevel"/>
    <w:tmpl w:val="EC80B4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3"/>
  </w:num>
  <w:num w:numId="12">
    <w:abstractNumId w:val="11"/>
  </w:num>
  <w:num w:numId="13">
    <w:abstractNumId w:val="28"/>
  </w:num>
  <w:num w:numId="14">
    <w:abstractNumId w:val="10"/>
  </w:num>
  <w:num w:numId="15">
    <w:abstractNumId w:val="6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9"/>
  </w:num>
  <w:num w:numId="21">
    <w:abstractNumId w:val="25"/>
  </w:num>
  <w:num w:numId="22">
    <w:abstractNumId w:val="24"/>
  </w:num>
  <w:num w:numId="23">
    <w:abstractNumId w:val="17"/>
  </w:num>
  <w:num w:numId="24">
    <w:abstractNumId w:val="32"/>
  </w:num>
  <w:num w:numId="25">
    <w:abstractNumId w:val="14"/>
  </w:num>
  <w:num w:numId="26">
    <w:abstractNumId w:val="27"/>
  </w:num>
  <w:num w:numId="27">
    <w:abstractNumId w:val="22"/>
  </w:num>
  <w:num w:numId="28">
    <w:abstractNumId w:val="30"/>
  </w:num>
  <w:num w:numId="29">
    <w:abstractNumId w:val="16"/>
  </w:num>
  <w:num w:numId="30">
    <w:abstractNumId w:val="19"/>
    <w:lvlOverride w:ilvl="0">
      <w:lvl w:ilvl="0">
        <w:start w:val="7"/>
        <w:numFmt w:val="decimal"/>
        <w:lvlText w:val="%1.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isLgl/>
        <w:lvlText w:val="8.%2.%3"/>
        <w:lvlJc w:val="left"/>
        <w:pPr>
          <w:tabs>
            <w:tab w:val="num" w:pos="1247"/>
          </w:tabs>
          <w:ind w:left="1247" w:hanging="6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31">
    <w:abstractNumId w:val="23"/>
  </w:num>
  <w:num w:numId="32">
    <w:abstractNumId w:val="5"/>
    <w:lvlOverride w:ilvl="0">
      <w:lvl w:ilvl="0">
        <w:start w:val="7"/>
        <w:numFmt w:val="decimal"/>
        <w:lvlText w:val="%1.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isLgl/>
        <w:lvlText w:val="8.4.%3"/>
        <w:lvlJc w:val="left"/>
        <w:pPr>
          <w:tabs>
            <w:tab w:val="num" w:pos="1247"/>
          </w:tabs>
          <w:ind w:left="1247" w:hanging="6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33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</w:num>
  <w:num w:numId="34">
    <w:abstractNumId w:val="4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07"/>
    <w:rsid w:val="00014B2F"/>
    <w:rsid w:val="00026C0E"/>
    <w:rsid w:val="00050AEC"/>
    <w:rsid w:val="000635DF"/>
    <w:rsid w:val="00094793"/>
    <w:rsid w:val="0009573E"/>
    <w:rsid w:val="000B4744"/>
    <w:rsid w:val="000C56F7"/>
    <w:rsid w:val="000D679A"/>
    <w:rsid w:val="000E7543"/>
    <w:rsid w:val="001014E1"/>
    <w:rsid w:val="00105A75"/>
    <w:rsid w:val="00107271"/>
    <w:rsid w:val="00143B1E"/>
    <w:rsid w:val="001548AF"/>
    <w:rsid w:val="001633A8"/>
    <w:rsid w:val="0017292F"/>
    <w:rsid w:val="00180CC2"/>
    <w:rsid w:val="001A6167"/>
    <w:rsid w:val="001B3657"/>
    <w:rsid w:val="001C09E4"/>
    <w:rsid w:val="001D3D99"/>
    <w:rsid w:val="001E3687"/>
    <w:rsid w:val="001F4FD0"/>
    <w:rsid w:val="00200EC7"/>
    <w:rsid w:val="00201CB3"/>
    <w:rsid w:val="00225DD2"/>
    <w:rsid w:val="00243675"/>
    <w:rsid w:val="00254602"/>
    <w:rsid w:val="00263A4E"/>
    <w:rsid w:val="0029228B"/>
    <w:rsid w:val="00292915"/>
    <w:rsid w:val="002A0A9F"/>
    <w:rsid w:val="002A1AD2"/>
    <w:rsid w:val="002C2A07"/>
    <w:rsid w:val="0031546E"/>
    <w:rsid w:val="003225BC"/>
    <w:rsid w:val="00332D7B"/>
    <w:rsid w:val="003468D1"/>
    <w:rsid w:val="003614C6"/>
    <w:rsid w:val="00363731"/>
    <w:rsid w:val="0037203E"/>
    <w:rsid w:val="00373847"/>
    <w:rsid w:val="00381369"/>
    <w:rsid w:val="0039719E"/>
    <w:rsid w:val="003C47AC"/>
    <w:rsid w:val="00414A5C"/>
    <w:rsid w:val="00453971"/>
    <w:rsid w:val="00482515"/>
    <w:rsid w:val="004829FD"/>
    <w:rsid w:val="00484C6C"/>
    <w:rsid w:val="00486009"/>
    <w:rsid w:val="004A4818"/>
    <w:rsid w:val="004D6314"/>
    <w:rsid w:val="00510DC0"/>
    <w:rsid w:val="00511C40"/>
    <w:rsid w:val="00516BDC"/>
    <w:rsid w:val="00536447"/>
    <w:rsid w:val="00547500"/>
    <w:rsid w:val="00555546"/>
    <w:rsid w:val="005707A0"/>
    <w:rsid w:val="00593052"/>
    <w:rsid w:val="005B1F4F"/>
    <w:rsid w:val="005C3EC8"/>
    <w:rsid w:val="005D045C"/>
    <w:rsid w:val="005D23AB"/>
    <w:rsid w:val="005E7EDD"/>
    <w:rsid w:val="005F3384"/>
    <w:rsid w:val="00613683"/>
    <w:rsid w:val="00643431"/>
    <w:rsid w:val="006520A0"/>
    <w:rsid w:val="006978E5"/>
    <w:rsid w:val="006B4BA4"/>
    <w:rsid w:val="006B7100"/>
    <w:rsid w:val="006D526E"/>
    <w:rsid w:val="006E713B"/>
    <w:rsid w:val="006F2B6B"/>
    <w:rsid w:val="0072081B"/>
    <w:rsid w:val="007346C8"/>
    <w:rsid w:val="007503BD"/>
    <w:rsid w:val="007B72B0"/>
    <w:rsid w:val="007C65E1"/>
    <w:rsid w:val="007D5701"/>
    <w:rsid w:val="007E2AA3"/>
    <w:rsid w:val="007F4EF6"/>
    <w:rsid w:val="00804261"/>
    <w:rsid w:val="008145F2"/>
    <w:rsid w:val="008557CB"/>
    <w:rsid w:val="008577EA"/>
    <w:rsid w:val="00874D95"/>
    <w:rsid w:val="008A7573"/>
    <w:rsid w:val="008D1C65"/>
    <w:rsid w:val="008E1841"/>
    <w:rsid w:val="008E6C6A"/>
    <w:rsid w:val="008F1CEB"/>
    <w:rsid w:val="008F54C8"/>
    <w:rsid w:val="008F573C"/>
    <w:rsid w:val="00914320"/>
    <w:rsid w:val="0095593B"/>
    <w:rsid w:val="009B1F31"/>
    <w:rsid w:val="009B3AB4"/>
    <w:rsid w:val="009B788A"/>
    <w:rsid w:val="009C7B15"/>
    <w:rsid w:val="009D71F2"/>
    <w:rsid w:val="009F7A1E"/>
    <w:rsid w:val="00A4276A"/>
    <w:rsid w:val="00A44259"/>
    <w:rsid w:val="00A45E74"/>
    <w:rsid w:val="00A86341"/>
    <w:rsid w:val="00B121D5"/>
    <w:rsid w:val="00B26F53"/>
    <w:rsid w:val="00B53F50"/>
    <w:rsid w:val="00B66A31"/>
    <w:rsid w:val="00B83D7A"/>
    <w:rsid w:val="00BB03FB"/>
    <w:rsid w:val="00BB5470"/>
    <w:rsid w:val="00BB648D"/>
    <w:rsid w:val="00BB732B"/>
    <w:rsid w:val="00BD0232"/>
    <w:rsid w:val="00C34408"/>
    <w:rsid w:val="00C359CD"/>
    <w:rsid w:val="00C57220"/>
    <w:rsid w:val="00C62546"/>
    <w:rsid w:val="00C63669"/>
    <w:rsid w:val="00C930F3"/>
    <w:rsid w:val="00C93C86"/>
    <w:rsid w:val="00CA05E1"/>
    <w:rsid w:val="00CA275D"/>
    <w:rsid w:val="00CA2D69"/>
    <w:rsid w:val="00CB6082"/>
    <w:rsid w:val="00CD3BC1"/>
    <w:rsid w:val="00CD6516"/>
    <w:rsid w:val="00CE2CDE"/>
    <w:rsid w:val="00D141AE"/>
    <w:rsid w:val="00D27DF3"/>
    <w:rsid w:val="00D33A13"/>
    <w:rsid w:val="00D6157A"/>
    <w:rsid w:val="00D76F12"/>
    <w:rsid w:val="00DA0232"/>
    <w:rsid w:val="00DA66E9"/>
    <w:rsid w:val="00DB5AFC"/>
    <w:rsid w:val="00DD1F34"/>
    <w:rsid w:val="00DE12A3"/>
    <w:rsid w:val="00DF4599"/>
    <w:rsid w:val="00DF64BD"/>
    <w:rsid w:val="00E263E7"/>
    <w:rsid w:val="00E51E91"/>
    <w:rsid w:val="00E80B68"/>
    <w:rsid w:val="00E84CCF"/>
    <w:rsid w:val="00E8618E"/>
    <w:rsid w:val="00F21253"/>
    <w:rsid w:val="00F361FC"/>
    <w:rsid w:val="00F43634"/>
    <w:rsid w:val="00F45640"/>
    <w:rsid w:val="00F52845"/>
    <w:rsid w:val="00F56E36"/>
    <w:rsid w:val="00F56FD2"/>
    <w:rsid w:val="00F64F94"/>
    <w:rsid w:val="00F91317"/>
    <w:rsid w:val="00F9255A"/>
    <w:rsid w:val="00F96BA5"/>
    <w:rsid w:val="00FC3D2F"/>
    <w:rsid w:val="00FC69EB"/>
    <w:rsid w:val="00FC7946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577E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0AEC"/>
    <w:rPr>
      <w:color w:val="800080" w:themeColor="followedHyperlink"/>
      <w:u w:val="single"/>
    </w:rPr>
  </w:style>
  <w:style w:type="paragraph" w:customStyle="1" w:styleId="Default">
    <w:name w:val="Default"/>
    <w:rsid w:val="004D63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1">
    <w:name w:val="b1"/>
    <w:basedOn w:val="Fuentedeprrafopredeter"/>
    <w:rsid w:val="00A45E74"/>
    <w:rPr>
      <w:color w:val="000000"/>
    </w:rPr>
  </w:style>
  <w:style w:type="paragraph" w:customStyle="1" w:styleId="p">
    <w:name w:val="p"/>
    <w:basedOn w:val="Normal"/>
    <w:rsid w:val="00A45E74"/>
    <w:pPr>
      <w:widowControl/>
      <w:spacing w:before="100" w:beforeAutospacing="1" w:line="240" w:lineRule="auto"/>
    </w:pPr>
    <w:rPr>
      <w:sz w:val="24"/>
      <w:szCs w:val="24"/>
      <w:lang w:eastAsia="es-AR"/>
    </w:rPr>
  </w:style>
  <w:style w:type="character" w:customStyle="1" w:styleId="f1">
    <w:name w:val="f1"/>
    <w:basedOn w:val="Fuentedeprrafopredeter"/>
    <w:rsid w:val="00A45E74"/>
    <w:rPr>
      <w:color w:val="0000FF"/>
      <w:sz w:val="30"/>
      <w:szCs w:val="30"/>
    </w:rPr>
  </w:style>
  <w:style w:type="character" w:customStyle="1" w:styleId="c1">
    <w:name w:val="c1"/>
    <w:basedOn w:val="Fuentedeprrafopredeter"/>
    <w:rsid w:val="00A45E74"/>
    <w:rPr>
      <w:rFonts w:ascii="Arial Unicode MS" w:eastAsia="Arial Unicode MS" w:hAnsi="Arial Unicode MS" w:cs="Arial Unicode MS" w:hint="eastAsia"/>
      <w:color w:val="0000FF"/>
      <w:sz w:val="26"/>
      <w:szCs w:val="26"/>
    </w:rPr>
  </w:style>
  <w:style w:type="character" w:customStyle="1" w:styleId="n1">
    <w:name w:val="n1"/>
    <w:basedOn w:val="Fuentedeprrafopredeter"/>
    <w:rsid w:val="00A45E7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577E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0AEC"/>
    <w:rPr>
      <w:color w:val="800080" w:themeColor="followedHyperlink"/>
      <w:u w:val="single"/>
    </w:rPr>
  </w:style>
  <w:style w:type="paragraph" w:customStyle="1" w:styleId="Default">
    <w:name w:val="Default"/>
    <w:rsid w:val="004D63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1">
    <w:name w:val="b1"/>
    <w:basedOn w:val="Fuentedeprrafopredeter"/>
    <w:rsid w:val="00A45E74"/>
    <w:rPr>
      <w:color w:val="000000"/>
    </w:rPr>
  </w:style>
  <w:style w:type="paragraph" w:customStyle="1" w:styleId="p">
    <w:name w:val="p"/>
    <w:basedOn w:val="Normal"/>
    <w:rsid w:val="00A45E74"/>
    <w:pPr>
      <w:widowControl/>
      <w:spacing w:before="100" w:beforeAutospacing="1" w:line="240" w:lineRule="auto"/>
    </w:pPr>
    <w:rPr>
      <w:sz w:val="24"/>
      <w:szCs w:val="24"/>
      <w:lang w:eastAsia="es-AR"/>
    </w:rPr>
  </w:style>
  <w:style w:type="character" w:customStyle="1" w:styleId="f1">
    <w:name w:val="f1"/>
    <w:basedOn w:val="Fuentedeprrafopredeter"/>
    <w:rsid w:val="00A45E74"/>
    <w:rPr>
      <w:color w:val="0000FF"/>
      <w:sz w:val="30"/>
      <w:szCs w:val="30"/>
    </w:rPr>
  </w:style>
  <w:style w:type="character" w:customStyle="1" w:styleId="c1">
    <w:name w:val="c1"/>
    <w:basedOn w:val="Fuentedeprrafopredeter"/>
    <w:rsid w:val="00A45E74"/>
    <w:rPr>
      <w:rFonts w:ascii="Arial Unicode MS" w:eastAsia="Arial Unicode MS" w:hAnsi="Arial Unicode MS" w:cs="Arial Unicode MS" w:hint="eastAsia"/>
      <w:color w:val="0000FF"/>
      <w:sz w:val="26"/>
      <w:szCs w:val="26"/>
    </w:rPr>
  </w:style>
  <w:style w:type="character" w:customStyle="1" w:styleId="n1">
    <w:name w:val="n1"/>
    <w:basedOn w:val="Fuentedeprrafopredeter"/>
    <w:rsid w:val="00A4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bai-vm-intra-2/ActiSAintra/documentos/Auditoria%20Interna/normas/1.-%20Manual%20de%20Procedimientos%20Administrativos/Procedimiento%20N&#186;%2005%20(Tesoreria)/Procedimiento%20N&#186;%2005%20version%202012%20preliminar%20(Tesoreria).doc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ema.rae.es/drae/srv/search?id=wHI03haGtDXX2bg3AznD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%20Work%20Space\Webmanager%202.0\Design\Document%20Templates\Rational%20Unified%20Process%20Templates\cm_mgt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360A4-948E-4D44-9CCF-C47639A0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</TotalTime>
  <Pages>5</Pages>
  <Words>519</Words>
  <Characters>3770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Cesión de créditos</vt:lpstr>
    </vt:vector>
  </TitlesOfParts>
  <Company>Alfred C. Toepfer Intl. S.R.L.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Cesión de créditos</dc:title>
  <dc:subject>Procedimiento Nº17</dc:subject>
  <dc:creator>IT Team</dc:creator>
  <cp:lastModifiedBy>Fernandez Etchegoyen, Rodrigo</cp:lastModifiedBy>
  <cp:revision>2</cp:revision>
  <cp:lastPrinted>2012-11-09T17:54:00Z</cp:lastPrinted>
  <dcterms:created xsi:type="dcterms:W3CDTF">2013-12-04T18:27:00Z</dcterms:created>
  <dcterms:modified xsi:type="dcterms:W3CDTF">2013-12-04T18:27:00Z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Fecha Version">
    <vt:lpwstr>08/11/2011</vt:lpwstr>
  </property>
</Properties>
</file>