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07" w:rsidRPr="008F573C" w:rsidRDefault="002C2A07">
      <w:pPr>
        <w:pStyle w:val="Ttulo"/>
        <w:jc w:val="right"/>
      </w:pPr>
      <w:r w:rsidRPr="008F573C">
        <w:fldChar w:fldCharType="begin"/>
      </w:r>
      <w:r w:rsidRPr="008F573C">
        <w:instrText xml:space="preserve"> SUBJECT  \* MERGEFORMAT </w:instrText>
      </w:r>
      <w:r w:rsidRPr="008F573C">
        <w:fldChar w:fldCharType="end"/>
      </w:r>
      <w:r w:rsidR="00227A69">
        <w:fldChar w:fldCharType="begin"/>
      </w:r>
      <w:r w:rsidR="00227A69">
        <w:instrText xml:space="preserve"> SUBJECT  Mercaderías  \* MERGEFORMAT </w:instrText>
      </w:r>
      <w:r w:rsidR="00227A69">
        <w:fldChar w:fldCharType="separate"/>
      </w:r>
      <w:r w:rsidR="00957EF4">
        <w:t>Mercaderías</w:t>
      </w:r>
      <w:r w:rsidR="00227A69">
        <w:fldChar w:fldCharType="end"/>
      </w:r>
    </w:p>
    <w:p w:rsidR="002C2A07" w:rsidRPr="008F573C" w:rsidRDefault="00FC430A">
      <w:pPr>
        <w:pStyle w:val="Ttulo"/>
        <w:jc w:val="right"/>
      </w:pPr>
      <w:fldSimple w:instr=" DOCPROPERTY  Title  \* MERGEFORMAT ">
        <w:r w:rsidR="00435EA2">
          <w:t>Diferencia de precios</w:t>
        </w:r>
      </w:fldSimple>
    </w:p>
    <w:p w:rsidR="002C2A07" w:rsidRPr="006B7100" w:rsidRDefault="002C2A07">
      <w:pPr>
        <w:pStyle w:val="Ttulo"/>
        <w:jc w:val="right"/>
        <w:rPr>
          <w:b w:val="0"/>
        </w:rPr>
      </w:pPr>
    </w:p>
    <w:p w:rsidR="002C2A07" w:rsidRPr="008F573C" w:rsidRDefault="003225BC">
      <w:pPr>
        <w:pStyle w:val="Ttulo"/>
        <w:jc w:val="right"/>
        <w:rPr>
          <w:sz w:val="28"/>
        </w:rPr>
      </w:pPr>
      <w:r w:rsidRPr="008F573C">
        <w:rPr>
          <w:sz w:val="28"/>
        </w:rPr>
        <w:t>Versió</w:t>
      </w:r>
      <w:r w:rsidR="002C2A07" w:rsidRPr="008F573C">
        <w:rPr>
          <w:sz w:val="28"/>
        </w:rPr>
        <w:t xml:space="preserve">n </w:t>
      </w:r>
      <w:r w:rsidR="00373847">
        <w:rPr>
          <w:sz w:val="28"/>
        </w:rPr>
        <w:fldChar w:fldCharType="begin"/>
      </w:r>
      <w:r w:rsidR="00373847">
        <w:rPr>
          <w:sz w:val="28"/>
        </w:rPr>
        <w:instrText xml:space="preserve"> DOCPROPERTY  version  \* MERGEFORMAT </w:instrText>
      </w:r>
      <w:r w:rsidR="00373847">
        <w:rPr>
          <w:sz w:val="28"/>
        </w:rPr>
        <w:fldChar w:fldCharType="separate"/>
      </w:r>
      <w:r w:rsidR="0072081B">
        <w:rPr>
          <w:sz w:val="28"/>
        </w:rPr>
        <w:t>1.0</w:t>
      </w:r>
      <w:r w:rsidR="00373847">
        <w:rPr>
          <w:sz w:val="28"/>
        </w:rPr>
        <w:fldChar w:fldCharType="end"/>
      </w:r>
    </w:p>
    <w:p w:rsidR="002C2A07" w:rsidRPr="008F573C" w:rsidRDefault="002C2A07">
      <w:pPr>
        <w:pStyle w:val="Ttulo"/>
        <w:rPr>
          <w:sz w:val="28"/>
        </w:rPr>
      </w:pPr>
    </w:p>
    <w:p w:rsidR="002C2A07" w:rsidRPr="008F573C" w:rsidRDefault="002C2A07"/>
    <w:p w:rsidR="00C930F3" w:rsidRPr="00C930F3" w:rsidRDefault="00C930F3" w:rsidP="00C930F3">
      <w:pPr>
        <w:pStyle w:val="InfoBlue"/>
      </w:pPr>
    </w:p>
    <w:p w:rsidR="002C2A07" w:rsidRPr="008F573C" w:rsidRDefault="002C2A07">
      <w:pPr>
        <w:pStyle w:val="InfoBlue"/>
      </w:pPr>
    </w:p>
    <w:p w:rsidR="002C2A07" w:rsidRPr="0072081B" w:rsidRDefault="002C2A07" w:rsidP="00381369">
      <w:pPr>
        <w:pStyle w:val="InfoBlue"/>
        <w:rPr>
          <w:lang w:val="es-ES"/>
        </w:rPr>
        <w:sectPr w:rsidR="002C2A07" w:rsidRPr="0072081B" w:rsidSect="00CB6082">
          <w:headerReference w:type="default" r:id="rId9"/>
          <w:footerReference w:type="even" r:id="rId10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2C2A07" w:rsidRPr="008F573C" w:rsidRDefault="003225BC">
      <w:pPr>
        <w:pStyle w:val="Ttulo"/>
      </w:pPr>
      <w:r w:rsidRPr="008F573C">
        <w:lastRenderedPageBreak/>
        <w:t>Revisió</w:t>
      </w:r>
      <w:r w:rsidR="002C2A07" w:rsidRPr="008F573C">
        <w:t xml:space="preserve">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4394"/>
        <w:gridCol w:w="2552"/>
      </w:tblGrid>
      <w:tr w:rsidR="002C2A07" w:rsidRPr="008F573C">
        <w:tc>
          <w:tcPr>
            <w:tcW w:w="1526" w:type="dxa"/>
          </w:tcPr>
          <w:p w:rsidR="002C2A07" w:rsidRPr="008F573C" w:rsidRDefault="00E263E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Fecha</w:t>
            </w:r>
          </w:p>
        </w:tc>
        <w:tc>
          <w:tcPr>
            <w:tcW w:w="992" w:type="dxa"/>
          </w:tcPr>
          <w:p w:rsidR="002C2A07" w:rsidRPr="008F573C" w:rsidRDefault="00E263E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Versió</w:t>
            </w:r>
            <w:r w:rsidR="002C2A07" w:rsidRPr="008F573C">
              <w:rPr>
                <w:b/>
              </w:rPr>
              <w:t>n</w:t>
            </w:r>
          </w:p>
        </w:tc>
        <w:tc>
          <w:tcPr>
            <w:tcW w:w="4394" w:type="dxa"/>
          </w:tcPr>
          <w:p w:rsidR="002C2A07" w:rsidRPr="008F573C" w:rsidRDefault="002C2A0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Descrip</w:t>
            </w:r>
            <w:r w:rsidR="00E263E7" w:rsidRPr="008F573C">
              <w:rPr>
                <w:b/>
              </w:rPr>
              <w:t>ción</w:t>
            </w:r>
          </w:p>
        </w:tc>
        <w:tc>
          <w:tcPr>
            <w:tcW w:w="2552" w:type="dxa"/>
          </w:tcPr>
          <w:p w:rsidR="002C2A07" w:rsidRPr="008F573C" w:rsidRDefault="00E263E7">
            <w:pPr>
              <w:pStyle w:val="Tabletext"/>
              <w:jc w:val="center"/>
              <w:rPr>
                <w:b/>
              </w:rPr>
            </w:pPr>
            <w:r w:rsidRPr="008F573C">
              <w:rPr>
                <w:b/>
              </w:rPr>
              <w:t>Autor</w:t>
            </w:r>
          </w:p>
        </w:tc>
      </w:tr>
      <w:tr w:rsidR="002C2A07" w:rsidRPr="008F573C">
        <w:tc>
          <w:tcPr>
            <w:tcW w:w="1526" w:type="dxa"/>
          </w:tcPr>
          <w:p w:rsidR="002C2A07" w:rsidRPr="008F573C" w:rsidRDefault="00435EA2" w:rsidP="000B5074">
            <w:pPr>
              <w:pStyle w:val="Tabletext"/>
            </w:pPr>
            <w:r>
              <w:t>1</w:t>
            </w:r>
            <w:r w:rsidR="000B5074">
              <w:t>8</w:t>
            </w:r>
            <w:r w:rsidR="0072081B">
              <w:t>/1</w:t>
            </w:r>
            <w:r>
              <w:t>2</w:t>
            </w:r>
            <w:r w:rsidR="0072081B">
              <w:t>/201</w:t>
            </w:r>
            <w:r w:rsidR="00B26F53">
              <w:t>2</w:t>
            </w:r>
          </w:p>
        </w:tc>
        <w:tc>
          <w:tcPr>
            <w:tcW w:w="992" w:type="dxa"/>
          </w:tcPr>
          <w:p w:rsidR="002C2A07" w:rsidRPr="008F573C" w:rsidRDefault="0072081B" w:rsidP="0037384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394" w:type="dxa"/>
          </w:tcPr>
          <w:p w:rsidR="002C2A07" w:rsidRPr="008F573C" w:rsidRDefault="00B26F53" w:rsidP="00AE069D">
            <w:pPr>
              <w:pStyle w:val="Tabletext"/>
            </w:pPr>
            <w:r>
              <w:t>Se establece</w:t>
            </w:r>
            <w:r w:rsidR="000B5074">
              <w:t xml:space="preserve">n </w:t>
            </w:r>
            <w:r>
              <w:t xml:space="preserve"> </w:t>
            </w:r>
            <w:r w:rsidR="00DA66E9">
              <w:t>los</w:t>
            </w:r>
            <w:r w:rsidR="000B5074">
              <w:t xml:space="preserve"> lineamientos</w:t>
            </w:r>
            <w:r>
              <w:t xml:space="preserve"> para la </w:t>
            </w:r>
            <w:r w:rsidR="00435EA2">
              <w:t>autorización y reconocimiento de diferencias de precios en la</w:t>
            </w:r>
            <w:r w:rsidR="00AE069D">
              <w:t xml:space="preserve"> compras de </w:t>
            </w:r>
            <w:r w:rsidR="00435EA2">
              <w:t>mercaderías.</w:t>
            </w:r>
          </w:p>
        </w:tc>
        <w:tc>
          <w:tcPr>
            <w:tcW w:w="2552" w:type="dxa"/>
          </w:tcPr>
          <w:p w:rsidR="002C2A07" w:rsidRPr="008F573C" w:rsidRDefault="00B26F53" w:rsidP="00B26F53">
            <w:pPr>
              <w:pStyle w:val="Tabletext"/>
            </w:pPr>
            <w:r>
              <w:t>Fernández Etchegoyen, Rodrigo</w:t>
            </w:r>
          </w:p>
        </w:tc>
      </w:tr>
      <w:tr w:rsidR="002C2A07" w:rsidRPr="008F573C">
        <w:tc>
          <w:tcPr>
            <w:tcW w:w="1526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992" w:type="dxa"/>
          </w:tcPr>
          <w:p w:rsidR="002C2A07" w:rsidRPr="008F573C" w:rsidRDefault="002C2A07" w:rsidP="00373847">
            <w:pPr>
              <w:pStyle w:val="Tabletext"/>
              <w:jc w:val="center"/>
            </w:pPr>
          </w:p>
        </w:tc>
        <w:tc>
          <w:tcPr>
            <w:tcW w:w="4394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2552" w:type="dxa"/>
          </w:tcPr>
          <w:p w:rsidR="002C2A07" w:rsidRPr="008F573C" w:rsidRDefault="002C2A07">
            <w:pPr>
              <w:pStyle w:val="Tabletext"/>
            </w:pPr>
          </w:p>
        </w:tc>
      </w:tr>
      <w:tr w:rsidR="002C2A07" w:rsidRPr="008F573C">
        <w:tc>
          <w:tcPr>
            <w:tcW w:w="1526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992" w:type="dxa"/>
          </w:tcPr>
          <w:p w:rsidR="002C2A07" w:rsidRPr="008F573C" w:rsidRDefault="002C2A07" w:rsidP="00373847">
            <w:pPr>
              <w:pStyle w:val="Tabletext"/>
              <w:jc w:val="center"/>
            </w:pPr>
          </w:p>
        </w:tc>
        <w:tc>
          <w:tcPr>
            <w:tcW w:w="4394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2552" w:type="dxa"/>
          </w:tcPr>
          <w:p w:rsidR="002C2A07" w:rsidRPr="008F573C" w:rsidRDefault="002C2A07">
            <w:pPr>
              <w:pStyle w:val="Tabletext"/>
            </w:pPr>
          </w:p>
        </w:tc>
      </w:tr>
      <w:tr w:rsidR="002C2A07" w:rsidRPr="008F573C">
        <w:tc>
          <w:tcPr>
            <w:tcW w:w="1526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992" w:type="dxa"/>
          </w:tcPr>
          <w:p w:rsidR="002C2A07" w:rsidRPr="008F573C" w:rsidRDefault="002C2A07" w:rsidP="00373847">
            <w:pPr>
              <w:pStyle w:val="Tabletext"/>
              <w:jc w:val="center"/>
            </w:pPr>
          </w:p>
        </w:tc>
        <w:tc>
          <w:tcPr>
            <w:tcW w:w="4394" w:type="dxa"/>
          </w:tcPr>
          <w:p w:rsidR="002C2A07" w:rsidRPr="008F573C" w:rsidRDefault="002C2A07">
            <w:pPr>
              <w:pStyle w:val="Tabletext"/>
            </w:pPr>
          </w:p>
        </w:tc>
        <w:tc>
          <w:tcPr>
            <w:tcW w:w="2552" w:type="dxa"/>
          </w:tcPr>
          <w:p w:rsidR="002C2A07" w:rsidRPr="008F573C" w:rsidRDefault="002C2A07">
            <w:pPr>
              <w:pStyle w:val="Tabletext"/>
            </w:pPr>
          </w:p>
        </w:tc>
      </w:tr>
    </w:tbl>
    <w:p w:rsidR="002C2A07" w:rsidRPr="008F573C" w:rsidRDefault="002C2A07"/>
    <w:p w:rsidR="002C2A07" w:rsidRPr="008F573C" w:rsidRDefault="002C2A07">
      <w:pPr>
        <w:pStyle w:val="Ttulo"/>
      </w:pPr>
      <w:r w:rsidRPr="008F573C">
        <w:br w:type="page"/>
      </w:r>
      <w:r w:rsidRPr="008F573C">
        <w:lastRenderedPageBreak/>
        <w:t>Conten</w:t>
      </w:r>
      <w:r w:rsidR="00E263E7" w:rsidRPr="008F573C">
        <w:t>ido</w:t>
      </w:r>
    </w:p>
    <w:p w:rsidR="00010BC1" w:rsidRDefault="002C2A0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 w:rsidRPr="008F573C">
        <w:fldChar w:fldCharType="begin"/>
      </w:r>
      <w:r w:rsidRPr="008F573C">
        <w:instrText xml:space="preserve"> TOC \o "1-3" </w:instrText>
      </w:r>
      <w:r w:rsidRPr="008F573C">
        <w:fldChar w:fldCharType="separate"/>
      </w:r>
      <w:r w:rsidR="00010BC1">
        <w:rPr>
          <w:noProof/>
        </w:rPr>
        <w:t>1.</w:t>
      </w:r>
      <w:r w:rsidR="00010BC1"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 w:rsidR="00010BC1">
        <w:rPr>
          <w:noProof/>
        </w:rPr>
        <w:t>Introducción</w:t>
      </w:r>
      <w:r w:rsidR="00010BC1">
        <w:rPr>
          <w:noProof/>
        </w:rPr>
        <w:tab/>
      </w:r>
      <w:r w:rsidR="00010BC1">
        <w:rPr>
          <w:noProof/>
        </w:rPr>
        <w:fldChar w:fldCharType="begin"/>
      </w:r>
      <w:r w:rsidR="00010BC1">
        <w:rPr>
          <w:noProof/>
        </w:rPr>
        <w:instrText xml:space="preserve"> PAGEREF _Toc343508588 \h </w:instrText>
      </w:r>
      <w:r w:rsidR="00010BC1">
        <w:rPr>
          <w:noProof/>
        </w:rPr>
      </w:r>
      <w:r w:rsidR="00010BC1">
        <w:rPr>
          <w:noProof/>
        </w:rPr>
        <w:fldChar w:fldCharType="separate"/>
      </w:r>
      <w:r w:rsidR="00692AF6">
        <w:rPr>
          <w:noProof/>
        </w:rPr>
        <w:t>4</w:t>
      </w:r>
      <w:r w:rsidR="00010BC1">
        <w:rPr>
          <w:noProof/>
        </w:rPr>
        <w:fldChar w:fldCharType="end"/>
      </w:r>
    </w:p>
    <w:p w:rsidR="00010BC1" w:rsidRDefault="00010BC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_Toc343508589 \h </w:instrText>
      </w:r>
      <w:r>
        <w:rPr>
          <w:noProof/>
        </w:rPr>
      </w:r>
      <w:r>
        <w:rPr>
          <w:noProof/>
        </w:rPr>
        <w:fldChar w:fldCharType="separate"/>
      </w:r>
      <w:r w:rsidR="00692AF6">
        <w:rPr>
          <w:noProof/>
        </w:rPr>
        <w:t>4</w:t>
      </w:r>
      <w:r>
        <w:rPr>
          <w:noProof/>
        </w:rPr>
        <w:fldChar w:fldCharType="end"/>
      </w:r>
    </w:p>
    <w:p w:rsidR="00010BC1" w:rsidRDefault="00010BC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_Toc343508590 \h </w:instrText>
      </w:r>
      <w:r>
        <w:rPr>
          <w:noProof/>
        </w:rPr>
      </w:r>
      <w:r>
        <w:rPr>
          <w:noProof/>
        </w:rPr>
        <w:fldChar w:fldCharType="separate"/>
      </w:r>
      <w:r w:rsidR="00692AF6">
        <w:rPr>
          <w:noProof/>
        </w:rPr>
        <w:t>4</w:t>
      </w:r>
      <w:r>
        <w:rPr>
          <w:noProof/>
        </w:rPr>
        <w:fldChar w:fldCharType="end"/>
      </w:r>
    </w:p>
    <w:p w:rsidR="00010BC1" w:rsidRDefault="00010BC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_Toc343508591 \h </w:instrText>
      </w:r>
      <w:r>
        <w:rPr>
          <w:noProof/>
        </w:rPr>
      </w:r>
      <w:r>
        <w:rPr>
          <w:noProof/>
        </w:rPr>
        <w:fldChar w:fldCharType="separate"/>
      </w:r>
      <w:r w:rsidR="00692AF6">
        <w:rPr>
          <w:noProof/>
        </w:rPr>
        <w:t>4</w:t>
      </w:r>
      <w:r>
        <w:rPr>
          <w:noProof/>
        </w:rPr>
        <w:fldChar w:fldCharType="end"/>
      </w:r>
    </w:p>
    <w:p w:rsidR="00010BC1" w:rsidRDefault="00010BC1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_Toc343508592 \h </w:instrText>
      </w:r>
      <w:r>
        <w:rPr>
          <w:noProof/>
        </w:rPr>
      </w:r>
      <w:r>
        <w:rPr>
          <w:noProof/>
        </w:rPr>
        <w:fldChar w:fldCharType="separate"/>
      </w:r>
      <w:r w:rsidR="00692AF6">
        <w:rPr>
          <w:noProof/>
        </w:rPr>
        <w:t>4</w:t>
      </w:r>
      <w:r>
        <w:rPr>
          <w:noProof/>
        </w:rPr>
        <w:fldChar w:fldCharType="end"/>
      </w:r>
    </w:p>
    <w:p w:rsidR="00010BC1" w:rsidRDefault="00010BC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  <w:tab/>
      </w:r>
      <w:r>
        <w:rPr>
          <w:noProof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_Toc343508593 \h </w:instrText>
      </w:r>
      <w:r>
        <w:rPr>
          <w:noProof/>
        </w:rPr>
      </w:r>
      <w:r>
        <w:rPr>
          <w:noProof/>
        </w:rPr>
        <w:fldChar w:fldCharType="separate"/>
      </w:r>
      <w:r w:rsidR="00692AF6">
        <w:rPr>
          <w:noProof/>
        </w:rPr>
        <w:t>5</w:t>
      </w:r>
      <w:r>
        <w:rPr>
          <w:noProof/>
        </w:rPr>
        <w:fldChar w:fldCharType="end"/>
      </w:r>
    </w:p>
    <w:p w:rsidR="002C2A07" w:rsidRPr="008F573C" w:rsidRDefault="002C2A07">
      <w:pPr>
        <w:pStyle w:val="Ttulo"/>
      </w:pPr>
      <w:r w:rsidRPr="008F573C">
        <w:fldChar w:fldCharType="end"/>
      </w:r>
      <w:r w:rsidRPr="008F573C">
        <w:br w:type="page"/>
      </w:r>
      <w:bookmarkStart w:id="0" w:name="_Toc388081625"/>
      <w:bookmarkStart w:id="1" w:name="_Toc389027946"/>
      <w:r w:rsidR="000E07C8">
        <w:lastRenderedPageBreak/>
        <w:fldChar w:fldCharType="begin"/>
      </w:r>
      <w:r w:rsidR="000E07C8">
        <w:instrText xml:space="preserve"> TITLE  "Diferencia de Precio"  \* MERGEFORMAT </w:instrText>
      </w:r>
      <w:r w:rsidR="000E07C8">
        <w:fldChar w:fldCharType="separate"/>
      </w:r>
      <w:r w:rsidR="000E07C8">
        <w:t>Diferencia de Precio</w:t>
      </w:r>
      <w:r w:rsidR="000E07C8">
        <w:fldChar w:fldCharType="end"/>
      </w:r>
      <w:r w:rsidRPr="008F573C">
        <w:t xml:space="preserve"> </w:t>
      </w:r>
      <w:bookmarkEnd w:id="0"/>
      <w:bookmarkEnd w:id="1"/>
    </w:p>
    <w:p w:rsidR="002C2A07" w:rsidRDefault="002C2A07">
      <w:pPr>
        <w:pStyle w:val="Ttulo1"/>
        <w:keepNext w:val="0"/>
      </w:pPr>
      <w:bookmarkStart w:id="2" w:name="_Toc456598586"/>
      <w:bookmarkStart w:id="3" w:name="_Toc456600917"/>
      <w:bookmarkStart w:id="4" w:name="_Toc343508588"/>
      <w:r w:rsidRPr="008F573C">
        <w:t>Introduc</w:t>
      </w:r>
      <w:r w:rsidR="008145F2" w:rsidRPr="008F573C">
        <w:t>ció</w:t>
      </w:r>
      <w:r w:rsidRPr="008F573C">
        <w:t>n</w:t>
      </w:r>
      <w:bookmarkEnd w:id="2"/>
      <w:bookmarkEnd w:id="3"/>
      <w:bookmarkEnd w:id="4"/>
    </w:p>
    <w:p w:rsidR="000E07C8" w:rsidRPr="000E07C8" w:rsidRDefault="000E07C8" w:rsidP="000E07C8"/>
    <w:p w:rsidR="002C2A07" w:rsidRPr="008F573C" w:rsidRDefault="00804261">
      <w:pPr>
        <w:pStyle w:val="Ttulo2"/>
        <w:keepNext w:val="0"/>
      </w:pPr>
      <w:bookmarkStart w:id="5" w:name="_Toc343508589"/>
      <w:r w:rsidRPr="008F573C">
        <w:t>Propósito</w:t>
      </w:r>
      <w:bookmarkEnd w:id="5"/>
    </w:p>
    <w:p w:rsidR="002C2A07" w:rsidRDefault="00B26F53" w:rsidP="0072081B">
      <w:pPr>
        <w:pStyle w:val="Body"/>
      </w:pPr>
      <w:r>
        <w:t>Mejorar la eficacia y eficiencia del proceso mediante la n</w:t>
      </w:r>
      <w:r w:rsidRPr="00CC2B32">
        <w:t>ormaliza</w:t>
      </w:r>
      <w:r>
        <w:t>ción</w:t>
      </w:r>
      <w:r w:rsidRPr="00CC2B32">
        <w:t xml:space="preserve"> y formaliza</w:t>
      </w:r>
      <w:r>
        <w:t xml:space="preserve">ción </w:t>
      </w:r>
      <w:r w:rsidR="00DF4599">
        <w:t xml:space="preserve">del </w:t>
      </w:r>
      <w:r>
        <w:t xml:space="preserve"> flujo de i</w:t>
      </w:r>
      <w:r w:rsidR="00435EA2">
        <w:t xml:space="preserve">nformación y documentación, </w:t>
      </w:r>
      <w:r w:rsidR="003468D1">
        <w:t>y</w:t>
      </w:r>
      <w:r w:rsidR="00DF4599">
        <w:t xml:space="preserve"> </w:t>
      </w:r>
      <w:r w:rsidR="00435EA2">
        <w:t>la determinación de</w:t>
      </w:r>
      <w:r w:rsidR="003468D1">
        <w:t xml:space="preserve"> los distintos</w:t>
      </w:r>
      <w:r w:rsidR="009F7A1E">
        <w:t xml:space="preserve"> controles y</w:t>
      </w:r>
      <w:r w:rsidR="003468D1">
        <w:t xml:space="preserve"> niveles </w:t>
      </w:r>
      <w:r w:rsidR="00435EA2">
        <w:t>de autorización</w:t>
      </w:r>
      <w:r w:rsidR="003468D1">
        <w:t xml:space="preserve"> para </w:t>
      </w:r>
      <w:r w:rsidR="009F7A1E">
        <w:t xml:space="preserve">proceder a </w:t>
      </w:r>
      <w:r w:rsidR="003468D1">
        <w:t>su pago.</w:t>
      </w:r>
    </w:p>
    <w:p w:rsidR="00435EA2" w:rsidRPr="008F573C" w:rsidRDefault="00435EA2" w:rsidP="0072081B">
      <w:pPr>
        <w:pStyle w:val="Body"/>
      </w:pPr>
    </w:p>
    <w:p w:rsidR="002C2A07" w:rsidRPr="008F573C" w:rsidRDefault="00804261">
      <w:pPr>
        <w:pStyle w:val="Ttulo2"/>
        <w:keepNext w:val="0"/>
      </w:pPr>
      <w:bookmarkStart w:id="6" w:name="_Toc343508590"/>
      <w:r w:rsidRPr="008F573C">
        <w:t>Alcance</w:t>
      </w:r>
      <w:bookmarkEnd w:id="6"/>
    </w:p>
    <w:p w:rsidR="002C2A07" w:rsidRDefault="00B26F53" w:rsidP="00B26F53">
      <w:pPr>
        <w:rPr>
          <w:rFonts w:ascii="Book Antiqua" w:hAnsi="Book Antiqua"/>
        </w:rPr>
      </w:pPr>
      <w:r w:rsidRPr="00F86849">
        <w:rPr>
          <w:rFonts w:ascii="Book Antiqua" w:hAnsi="Book Antiqua"/>
        </w:rPr>
        <w:t xml:space="preserve">Este procedimiento se aplicará </w:t>
      </w:r>
      <w:r w:rsidR="003614C6">
        <w:rPr>
          <w:rFonts w:ascii="Book Antiqua" w:hAnsi="Book Antiqua"/>
        </w:rPr>
        <w:t>para todos l</w:t>
      </w:r>
      <w:r w:rsidR="00435EA2">
        <w:rPr>
          <w:rFonts w:ascii="Book Antiqua" w:hAnsi="Book Antiqua"/>
        </w:rPr>
        <w:t xml:space="preserve">as diferencias de precios </w:t>
      </w:r>
      <w:r w:rsidR="00010BC1">
        <w:rPr>
          <w:rFonts w:ascii="Book Antiqua" w:hAnsi="Book Antiqua"/>
        </w:rPr>
        <w:t xml:space="preserve">de mercaderías </w:t>
      </w:r>
      <w:r w:rsidR="00435EA2">
        <w:rPr>
          <w:rFonts w:ascii="Book Antiqua" w:hAnsi="Book Antiqua"/>
        </w:rPr>
        <w:t>superiores a $ 500.-</w:t>
      </w:r>
      <w:r w:rsidR="00010BC1">
        <w:rPr>
          <w:rFonts w:ascii="Book Antiqua" w:hAnsi="Book Antiqua"/>
        </w:rPr>
        <w:t xml:space="preserve"> (quinientos pesos)</w:t>
      </w:r>
      <w:r w:rsidR="00435EA2">
        <w:rPr>
          <w:rFonts w:ascii="Book Antiqua" w:hAnsi="Book Antiqua"/>
        </w:rPr>
        <w:t xml:space="preserve"> </w:t>
      </w:r>
    </w:p>
    <w:p w:rsidR="002C2A07" w:rsidRPr="008F573C" w:rsidRDefault="002C2A07" w:rsidP="0072081B">
      <w:pPr>
        <w:pStyle w:val="Body"/>
      </w:pPr>
    </w:p>
    <w:p w:rsidR="002C2A07" w:rsidRPr="008F573C" w:rsidRDefault="008F573C">
      <w:pPr>
        <w:pStyle w:val="Ttulo2"/>
        <w:keepNext w:val="0"/>
      </w:pPr>
      <w:bookmarkStart w:id="7" w:name="_Toc343508591"/>
      <w:r w:rsidRPr="008F573C">
        <w:t>Referencias</w:t>
      </w:r>
      <w:bookmarkEnd w:id="7"/>
    </w:p>
    <w:p w:rsidR="002C2A07" w:rsidRDefault="00482515" w:rsidP="00B26F53">
      <w:pPr>
        <w:rPr>
          <w:rFonts w:ascii="Book Antiqua" w:hAnsi="Book Antiqua"/>
        </w:rPr>
      </w:pPr>
      <w:r w:rsidRPr="00C73EF2">
        <w:rPr>
          <w:rFonts w:ascii="Book Antiqua" w:hAnsi="Book Antiqua"/>
        </w:rPr>
        <w:t xml:space="preserve">Este procedimiento complementa el </w:t>
      </w:r>
      <w:hyperlink r:id="rId11" w:history="1">
        <w:r w:rsidR="00050AEC">
          <w:rPr>
            <w:rStyle w:val="Hipervnculo"/>
            <w:rFonts w:ascii="Book Antiqua" w:hAnsi="Book Antiqua"/>
          </w:rPr>
          <w:t>Procedimiento Nº 5 de Tesorería</w:t>
        </w:r>
      </w:hyperlink>
      <w:r w:rsidR="00050AEC">
        <w:rPr>
          <w:rFonts w:ascii="Book Antiqua" w:hAnsi="Book Antiqua"/>
        </w:rPr>
        <w:t xml:space="preserve"> </w:t>
      </w:r>
      <w:r w:rsidR="00A86341">
        <w:rPr>
          <w:rFonts w:ascii="Book Antiqua" w:hAnsi="Book Antiqua"/>
        </w:rPr>
        <w:t>perteneciente al</w:t>
      </w:r>
      <w:r w:rsidRPr="00C73EF2">
        <w:rPr>
          <w:rFonts w:ascii="Book Antiqua" w:hAnsi="Book Antiqua"/>
        </w:rPr>
        <w:t xml:space="preserve"> Manual de Procedimientos Administrativos</w:t>
      </w:r>
      <w:r w:rsidR="000E07C8">
        <w:rPr>
          <w:rFonts w:ascii="Book Antiqua" w:hAnsi="Book Antiqua"/>
        </w:rPr>
        <w:t xml:space="preserve"> y el instructivo de sistemas “Control Diferencia de precios en minutas”</w:t>
      </w:r>
      <w:r w:rsidR="00B26F53">
        <w:rPr>
          <w:rFonts w:ascii="Book Antiqua" w:hAnsi="Book Antiqua"/>
        </w:rPr>
        <w:t>.</w:t>
      </w:r>
    </w:p>
    <w:p w:rsidR="00010BC1" w:rsidRPr="00B26F53" w:rsidRDefault="00010BC1" w:rsidP="00B26F53">
      <w:pPr>
        <w:rPr>
          <w:rFonts w:ascii="Book Antiqua" w:hAnsi="Book Antiqua"/>
        </w:rPr>
      </w:pPr>
    </w:p>
    <w:p w:rsidR="002C2A07" w:rsidRPr="008F573C" w:rsidRDefault="002C2A07">
      <w:pPr>
        <w:pStyle w:val="Ttulo2"/>
        <w:keepNext w:val="0"/>
      </w:pPr>
      <w:bookmarkStart w:id="8" w:name="_Toc456598591"/>
      <w:bookmarkStart w:id="9" w:name="_Toc456600922"/>
      <w:bookmarkStart w:id="10" w:name="_Toc343508592"/>
      <w:proofErr w:type="spellStart"/>
      <w:r w:rsidRPr="008F573C">
        <w:t>Overview</w:t>
      </w:r>
      <w:bookmarkEnd w:id="8"/>
      <w:bookmarkEnd w:id="9"/>
      <w:bookmarkEnd w:id="10"/>
      <w:proofErr w:type="spellEnd"/>
    </w:p>
    <w:p w:rsidR="002C2A07" w:rsidRDefault="00B26F53" w:rsidP="00B26F53">
      <w:pPr>
        <w:jc w:val="both"/>
        <w:rPr>
          <w:rFonts w:ascii="Book Antiqua" w:hAnsi="Book Antiqua"/>
        </w:rPr>
      </w:pPr>
      <w:r w:rsidRPr="00D6229B">
        <w:rPr>
          <w:rFonts w:ascii="Book Antiqua" w:hAnsi="Book Antiqua"/>
        </w:rPr>
        <w:t xml:space="preserve">Es de gran importancia </w:t>
      </w:r>
      <w:r>
        <w:rPr>
          <w:rFonts w:ascii="Book Antiqua" w:hAnsi="Book Antiqua"/>
        </w:rPr>
        <w:t>establecer normas para el manejo de l</w:t>
      </w:r>
      <w:r w:rsidR="00435EA2">
        <w:rPr>
          <w:rFonts w:ascii="Book Antiqua" w:hAnsi="Book Antiqua"/>
        </w:rPr>
        <w:t>as autorizaciones de diferencias de precios</w:t>
      </w:r>
      <w:r>
        <w:rPr>
          <w:rFonts w:ascii="Book Antiqua" w:hAnsi="Book Antiqua"/>
        </w:rPr>
        <w:t>. Est</w:t>
      </w:r>
      <w:r w:rsidR="00DA66E9">
        <w:rPr>
          <w:rFonts w:ascii="Book Antiqua" w:hAnsi="Book Antiqua"/>
        </w:rPr>
        <w:t>os</w:t>
      </w:r>
      <w:r>
        <w:rPr>
          <w:rFonts w:ascii="Book Antiqua" w:hAnsi="Book Antiqua"/>
        </w:rPr>
        <w:t xml:space="preserve"> procedimiento</w:t>
      </w:r>
      <w:r w:rsidR="00DA66E9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servirá</w:t>
      </w:r>
      <w:r w:rsidR="00DA66E9">
        <w:rPr>
          <w:rFonts w:ascii="Book Antiqua" w:hAnsi="Book Antiqua"/>
        </w:rPr>
        <w:t>n</w:t>
      </w:r>
      <w:r>
        <w:rPr>
          <w:rFonts w:ascii="Book Antiqua" w:hAnsi="Book Antiqua"/>
        </w:rPr>
        <w:t xml:space="preserve"> como instrumento para suministrar información para el control de los mismos y establecer con mayor precisión la distribución de tareas y responsabilidades dentro de</w:t>
      </w:r>
      <w:r w:rsidR="00DA66E9">
        <w:rPr>
          <w:rFonts w:ascii="Book Antiqua" w:hAnsi="Book Antiqua"/>
        </w:rPr>
        <w:t>l proceso</w:t>
      </w:r>
      <w:r>
        <w:rPr>
          <w:rFonts w:ascii="Book Antiqua" w:hAnsi="Book Antiqua"/>
        </w:rPr>
        <w:t xml:space="preserve"> involucrado.</w:t>
      </w: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B26F53" w:rsidRDefault="00B26F53" w:rsidP="00B26F53">
      <w:pPr>
        <w:jc w:val="both"/>
        <w:rPr>
          <w:rFonts w:ascii="Book Antiqua" w:hAnsi="Book Antiqua"/>
        </w:rPr>
      </w:pPr>
    </w:p>
    <w:p w:rsidR="00747183" w:rsidRDefault="00747183" w:rsidP="00747183">
      <w:pPr>
        <w:pStyle w:val="Ttulo1"/>
        <w:keepNext w:val="0"/>
        <w:numPr>
          <w:ilvl w:val="0"/>
          <w:numId w:val="0"/>
        </w:numPr>
        <w:ind w:left="720"/>
      </w:pPr>
      <w:bookmarkStart w:id="11" w:name="_Toc332802057"/>
      <w:bookmarkStart w:id="12" w:name="_Toc343508593"/>
    </w:p>
    <w:p w:rsidR="001E3687" w:rsidRDefault="001E3687" w:rsidP="001E3687">
      <w:pPr>
        <w:pStyle w:val="Ttulo1"/>
        <w:keepNext w:val="0"/>
      </w:pPr>
      <w:r>
        <w:t>Contenido</w:t>
      </w:r>
      <w:bookmarkEnd w:id="11"/>
      <w:bookmarkEnd w:id="12"/>
    </w:p>
    <w:p w:rsidR="001E3687" w:rsidRPr="00B121D5" w:rsidRDefault="001E3687" w:rsidP="001E3687">
      <w:pPr>
        <w:pStyle w:val="Body"/>
      </w:pPr>
    </w:p>
    <w:p w:rsidR="00CC5E35" w:rsidRDefault="00CC5E35" w:rsidP="00CC5E35">
      <w:pPr>
        <w:jc w:val="both"/>
      </w:pPr>
      <w:bookmarkStart w:id="13" w:name="_Toc332802058"/>
    </w:p>
    <w:p w:rsidR="00C1242F" w:rsidRDefault="00CC5E35" w:rsidP="00D3638C">
      <w:pPr>
        <w:widowControl/>
        <w:spacing w:after="200" w:line="240" w:lineRule="auto"/>
        <w:ind w:left="426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2.1. </w:t>
      </w:r>
      <w:r w:rsidRPr="00611A40">
        <w:rPr>
          <w:rFonts w:ascii="Book Antiqua" w:hAnsi="Book Antiqua"/>
        </w:rPr>
        <w:t xml:space="preserve">El </w:t>
      </w:r>
      <w:r>
        <w:rPr>
          <w:rFonts w:ascii="Book Antiqua" w:hAnsi="Book Antiqua"/>
        </w:rPr>
        <w:t xml:space="preserve">Departamento de </w:t>
      </w:r>
      <w:r w:rsidR="00B41A0B">
        <w:rPr>
          <w:rFonts w:ascii="Book Antiqua" w:hAnsi="Book Antiqua"/>
        </w:rPr>
        <w:t>M</w:t>
      </w:r>
      <w:r>
        <w:rPr>
          <w:rFonts w:ascii="Book Antiqua" w:hAnsi="Book Antiqua"/>
        </w:rPr>
        <w:t xml:space="preserve">ercaderías </w:t>
      </w:r>
      <w:r w:rsidR="00B41A0B">
        <w:rPr>
          <w:rFonts w:ascii="Book Antiqua" w:hAnsi="Book Antiqua"/>
        </w:rPr>
        <w:t>INGRESA</w:t>
      </w:r>
      <w:r>
        <w:rPr>
          <w:rFonts w:ascii="Book Antiqua" w:hAnsi="Book Antiqua"/>
        </w:rPr>
        <w:t xml:space="preserve"> la factura al sistema. </w:t>
      </w:r>
    </w:p>
    <w:p w:rsidR="00CC5E35" w:rsidRPr="00611A40" w:rsidRDefault="00B41A0B" w:rsidP="00D3638C">
      <w:pPr>
        <w:widowControl/>
        <w:spacing w:after="200" w:line="240" w:lineRule="auto"/>
        <w:ind w:left="426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2.2. Mercaderías IMPRIME la minuta </w:t>
      </w:r>
      <w:r w:rsidR="00C1242F">
        <w:rPr>
          <w:rFonts w:ascii="Book Antiqua" w:hAnsi="Book Antiqua"/>
        </w:rPr>
        <w:t xml:space="preserve">de pago </w:t>
      </w:r>
      <w:r>
        <w:rPr>
          <w:rFonts w:ascii="Book Antiqua" w:hAnsi="Book Antiqua"/>
        </w:rPr>
        <w:t xml:space="preserve">y </w:t>
      </w:r>
      <w:bookmarkStart w:id="14" w:name="_GoBack"/>
      <w:r>
        <w:rPr>
          <w:rFonts w:ascii="Book Antiqua" w:hAnsi="Book Antiqua"/>
        </w:rPr>
        <w:t>solicita la FIRMA del responsable de mercaderías (o suplente) y una segunda autorización, en un todo de acuerdo a lo estipulado en el Anexo V del Procedimiento Nº5 (Tesorería)</w:t>
      </w:r>
      <w:r w:rsidRPr="00611A40">
        <w:rPr>
          <w:rFonts w:ascii="Book Antiqua" w:hAnsi="Book Antiqua"/>
        </w:rPr>
        <w:t>.</w:t>
      </w:r>
    </w:p>
    <w:bookmarkEnd w:id="14"/>
    <w:p w:rsidR="00955614" w:rsidRDefault="00CC5E35" w:rsidP="00D3638C">
      <w:pPr>
        <w:ind w:left="426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2.</w:t>
      </w:r>
      <w:r w:rsidR="00F21A2E">
        <w:rPr>
          <w:rFonts w:ascii="Book Antiqua" w:hAnsi="Book Antiqua"/>
        </w:rPr>
        <w:t>3</w:t>
      </w:r>
      <w:r w:rsidR="00D3638C">
        <w:rPr>
          <w:rFonts w:ascii="Book Antiqua" w:hAnsi="Book Antiqua"/>
        </w:rPr>
        <w:t xml:space="preserve">. </w:t>
      </w:r>
      <w:r w:rsidR="00C1242F">
        <w:rPr>
          <w:rFonts w:ascii="Book Antiqua" w:hAnsi="Book Antiqua"/>
        </w:rPr>
        <w:t>El Departamento de Mercaderías TRANFIERE la/s minutas autorizada/s a la agenda de pagos de Tesorería.</w:t>
      </w:r>
      <w:r w:rsidR="00C1242F" w:rsidRPr="00C1242F">
        <w:rPr>
          <w:rFonts w:ascii="Book Antiqua" w:hAnsi="Book Antiqua"/>
        </w:rPr>
        <w:t xml:space="preserve"> </w:t>
      </w:r>
      <w:r w:rsidR="00C1242F">
        <w:rPr>
          <w:rFonts w:ascii="Book Antiqua" w:hAnsi="Book Antiqua"/>
        </w:rPr>
        <w:t>Si el sistema detecta una diferencia en el precio superior a $ 500.- con respecto al precio estipulado en el contrato de compraventa surge un aviso indicando que la</w:t>
      </w:r>
      <w:r w:rsidR="00C1242F" w:rsidRPr="000D24E6">
        <w:rPr>
          <w:rFonts w:ascii="Book Antiqua" w:hAnsi="Book Antiqua"/>
        </w:rPr>
        <w:t xml:space="preserve"> minuta ha superado el mínimo indicado para el importe de “Diferencia de Precio”</w:t>
      </w:r>
      <w:r w:rsidR="00C1242F">
        <w:rPr>
          <w:rFonts w:ascii="Book Antiqua" w:hAnsi="Book Antiqua"/>
        </w:rPr>
        <w:t xml:space="preserve">.  </w:t>
      </w:r>
      <w:r w:rsidR="00C1242F" w:rsidRPr="000D24E6">
        <w:rPr>
          <w:rFonts w:ascii="Book Antiqua" w:hAnsi="Book Antiqua"/>
        </w:rPr>
        <w:t>En este caso la</w:t>
      </w:r>
      <w:r w:rsidR="00FC430A">
        <w:rPr>
          <w:rFonts w:ascii="Book Antiqua" w:hAnsi="Book Antiqua"/>
        </w:rPr>
        <w:t xml:space="preserve"> /s </w:t>
      </w:r>
      <w:r w:rsidR="00C1242F" w:rsidRPr="000D24E6">
        <w:rPr>
          <w:rFonts w:ascii="Book Antiqua" w:hAnsi="Book Antiqua"/>
        </w:rPr>
        <w:t xml:space="preserve"> minuta</w:t>
      </w:r>
      <w:r w:rsidR="00FC430A">
        <w:rPr>
          <w:rFonts w:ascii="Book Antiqua" w:hAnsi="Book Antiqua"/>
        </w:rPr>
        <w:t>/</w:t>
      </w:r>
      <w:r w:rsidR="00C1242F" w:rsidRPr="000D24E6">
        <w:rPr>
          <w:rFonts w:ascii="Book Antiqua" w:hAnsi="Book Antiqua"/>
        </w:rPr>
        <w:t xml:space="preserve">s </w:t>
      </w:r>
      <w:r w:rsidR="00C1242F">
        <w:rPr>
          <w:rFonts w:ascii="Book Antiqua" w:hAnsi="Book Antiqua"/>
        </w:rPr>
        <w:t>queda</w:t>
      </w:r>
      <w:r w:rsidR="00FC430A">
        <w:rPr>
          <w:rFonts w:ascii="Book Antiqua" w:hAnsi="Book Antiqua"/>
        </w:rPr>
        <w:t>/</w:t>
      </w:r>
      <w:r w:rsidR="00C1242F">
        <w:rPr>
          <w:rFonts w:ascii="Book Antiqua" w:hAnsi="Book Antiqua"/>
        </w:rPr>
        <w:t>n a la</w:t>
      </w:r>
      <w:r w:rsidR="00C1242F" w:rsidRPr="000D24E6">
        <w:rPr>
          <w:rFonts w:ascii="Book Antiqua" w:hAnsi="Book Antiqua"/>
        </w:rPr>
        <w:t xml:space="preserve"> espera de la correspondiente autorización de</w:t>
      </w:r>
      <w:r w:rsidR="00C1242F">
        <w:rPr>
          <w:rFonts w:ascii="Book Antiqua" w:hAnsi="Book Antiqua"/>
        </w:rPr>
        <w:t>l Controller.</w:t>
      </w:r>
      <w:r w:rsidR="00C1242F" w:rsidRPr="00B41A0B">
        <w:rPr>
          <w:rFonts w:ascii="Book Antiqua" w:hAnsi="Book Antiqua"/>
        </w:rPr>
        <w:t xml:space="preserve"> </w:t>
      </w:r>
    </w:p>
    <w:p w:rsidR="00CC5E35" w:rsidRPr="00611A40" w:rsidRDefault="00CC5E35" w:rsidP="00D3638C">
      <w:pPr>
        <w:widowControl/>
        <w:spacing w:line="240" w:lineRule="auto"/>
        <w:ind w:left="426" w:hanging="426"/>
        <w:jc w:val="both"/>
        <w:rPr>
          <w:rFonts w:ascii="Book Antiqua" w:hAnsi="Book Antiqua"/>
        </w:rPr>
      </w:pPr>
    </w:p>
    <w:p w:rsidR="00C1242F" w:rsidRDefault="00CC5E35" w:rsidP="00C1242F">
      <w:pPr>
        <w:widowControl/>
        <w:spacing w:after="200" w:line="240" w:lineRule="auto"/>
        <w:ind w:left="426" w:hanging="426"/>
        <w:jc w:val="both"/>
        <w:rPr>
          <w:rFonts w:ascii="Book Antiqua" w:hAnsi="Book Antiqua"/>
        </w:rPr>
      </w:pPr>
      <w:r w:rsidRPr="00611A40">
        <w:rPr>
          <w:rFonts w:ascii="Book Antiqua" w:hAnsi="Book Antiqua"/>
        </w:rPr>
        <w:t>2.</w:t>
      </w:r>
      <w:r w:rsidR="00F21A2E">
        <w:rPr>
          <w:rFonts w:ascii="Book Antiqua" w:hAnsi="Book Antiqua"/>
        </w:rPr>
        <w:t>4</w:t>
      </w:r>
      <w:r w:rsidR="00C1242F">
        <w:rPr>
          <w:rFonts w:ascii="Book Antiqua" w:hAnsi="Book Antiqua"/>
        </w:rPr>
        <w:t xml:space="preserve">. El Controller AUTORIZA o no la/s minuta/s correspondiente/s </w:t>
      </w:r>
      <w:r w:rsidR="00C1242F" w:rsidRPr="00227A69">
        <w:rPr>
          <w:rFonts w:ascii="Book Antiqua" w:hAnsi="Book Antiqua"/>
          <w:color w:val="0000FF"/>
        </w:rPr>
        <w:t>(</w:t>
      </w:r>
      <w:r w:rsidR="00227A69" w:rsidRPr="00227A69">
        <w:rPr>
          <w:rFonts w:ascii="Book Antiqua" w:hAnsi="Book Antiqua"/>
          <w:color w:val="0000FF"/>
        </w:rPr>
        <w:t>Ver I</w:t>
      </w:r>
      <w:r w:rsidR="00C1242F" w:rsidRPr="00227A69">
        <w:rPr>
          <w:rFonts w:ascii="Book Antiqua" w:hAnsi="Book Antiqua"/>
          <w:color w:val="0000FF"/>
        </w:rPr>
        <w:t>nstructivo)</w:t>
      </w:r>
      <w:r w:rsidR="00C1242F" w:rsidRPr="00227A69">
        <w:rPr>
          <w:rFonts w:ascii="Book Antiqua" w:hAnsi="Book Antiqua"/>
        </w:rPr>
        <w:t>.</w:t>
      </w:r>
      <w:r w:rsidR="00C1242F" w:rsidRPr="00227A69">
        <w:rPr>
          <w:rFonts w:ascii="Book Antiqua" w:hAnsi="Book Antiqua"/>
          <w:color w:val="0000FF"/>
        </w:rPr>
        <w:t xml:space="preserve"> </w:t>
      </w:r>
      <w:r w:rsidR="00C1242F">
        <w:rPr>
          <w:rFonts w:ascii="Book Antiqua" w:hAnsi="Book Antiqua"/>
        </w:rPr>
        <w:t>De ser aprobadas,  quedan habilitadas para ser pasadas a la agenda de pagos de Tesorería.</w:t>
      </w:r>
      <w:r w:rsidR="00EC4169">
        <w:rPr>
          <w:rFonts w:ascii="Book Antiqua" w:hAnsi="Book Antiqua"/>
        </w:rPr>
        <w:t xml:space="preserve"> Si no son autorizadas deberán anularse.</w:t>
      </w:r>
    </w:p>
    <w:p w:rsidR="00CC5E35" w:rsidRDefault="00955614" w:rsidP="00B41A0B">
      <w:pPr>
        <w:widowControl/>
        <w:spacing w:line="240" w:lineRule="auto"/>
        <w:ind w:left="426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2.</w:t>
      </w:r>
      <w:r w:rsidR="00F21A2E">
        <w:rPr>
          <w:rFonts w:ascii="Book Antiqua" w:hAnsi="Book Antiqua"/>
        </w:rPr>
        <w:t>5</w:t>
      </w:r>
      <w:r w:rsidR="00CC5E35" w:rsidRPr="00611A40">
        <w:rPr>
          <w:rFonts w:ascii="Book Antiqua" w:hAnsi="Book Antiqua"/>
        </w:rPr>
        <w:t>.</w:t>
      </w:r>
      <w:r w:rsidR="00CC5E35">
        <w:rPr>
          <w:rFonts w:ascii="Book Antiqua" w:hAnsi="Book Antiqua"/>
        </w:rPr>
        <w:t xml:space="preserve"> Una vez </w:t>
      </w:r>
      <w:r w:rsidR="00754A43">
        <w:rPr>
          <w:rFonts w:ascii="Book Antiqua" w:hAnsi="Book Antiqua"/>
        </w:rPr>
        <w:t>pasadas a la agenda de pagos</w:t>
      </w:r>
      <w:r w:rsidR="00CC5E35">
        <w:rPr>
          <w:rFonts w:ascii="Book Antiqua" w:hAnsi="Book Antiqua"/>
        </w:rPr>
        <w:t>, Mercaderías ENVIA el legajo de pago completo a Tesorería.</w:t>
      </w:r>
    </w:p>
    <w:p w:rsidR="00CC5E35" w:rsidRDefault="00CC5E35" w:rsidP="00D3638C">
      <w:pPr>
        <w:widowControl/>
        <w:spacing w:line="240" w:lineRule="auto"/>
        <w:ind w:left="426" w:hanging="426"/>
        <w:jc w:val="both"/>
        <w:rPr>
          <w:rFonts w:ascii="Book Antiqua" w:hAnsi="Book Antiqua"/>
        </w:rPr>
      </w:pPr>
    </w:p>
    <w:p w:rsidR="00CC5E35" w:rsidRPr="00611A40" w:rsidRDefault="00CC5E35" w:rsidP="00D3638C">
      <w:pPr>
        <w:widowControl/>
        <w:spacing w:line="240" w:lineRule="auto"/>
        <w:ind w:left="426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2.</w:t>
      </w:r>
      <w:r w:rsidR="00F21A2E">
        <w:rPr>
          <w:rFonts w:ascii="Book Antiqua" w:hAnsi="Book Antiqua"/>
        </w:rPr>
        <w:t>6</w:t>
      </w:r>
      <w:r>
        <w:rPr>
          <w:rFonts w:ascii="Book Antiqua" w:hAnsi="Book Antiqua"/>
        </w:rPr>
        <w:t>. Tesorería CONTROLA y PAGA de acuerdo a lo establecido en el punto B) del Procedimiento Nº5 (Tesorería).</w:t>
      </w:r>
    </w:p>
    <w:bookmarkEnd w:id="13"/>
    <w:p w:rsidR="002C2A07" w:rsidRPr="00F21A2E" w:rsidRDefault="002C2A07" w:rsidP="00D3638C">
      <w:pPr>
        <w:pStyle w:val="Body"/>
        <w:ind w:left="426" w:hanging="426"/>
      </w:pPr>
    </w:p>
    <w:sectPr w:rsidR="002C2A07" w:rsidRPr="00F21A2E" w:rsidSect="009B788A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A84" w:rsidRDefault="00D82A84">
      <w:pPr>
        <w:spacing w:line="240" w:lineRule="auto"/>
      </w:pPr>
      <w:r>
        <w:separator/>
      </w:r>
    </w:p>
  </w:endnote>
  <w:endnote w:type="continuationSeparator" w:id="0">
    <w:p w:rsidR="00D82A84" w:rsidRDefault="00D82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99" w:rsidRDefault="001D3D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3D99" w:rsidRDefault="001D3D9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1D3D99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1D3D99" w:rsidRDefault="001D3D99">
          <w:pPr>
            <w:ind w:right="360"/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1D3D99" w:rsidRPr="00E263E7" w:rsidRDefault="001D3D99">
          <w:pPr>
            <w:jc w:val="center"/>
            <w:rPr>
              <w:lang w:val="en-US"/>
            </w:rPr>
          </w:pPr>
          <w:r>
            <w:sym w:font="Symbol" w:char="F0D3"/>
          </w:r>
          <w:r>
            <w:fldChar w:fldCharType="begin"/>
          </w:r>
          <w:r w:rsidRPr="00E263E7">
            <w:rPr>
              <w:lang w:val="en-US"/>
            </w:rPr>
            <w:instrText xml:space="preserve"> DOCPROPERTY "Company"  \* MERGEFORMAT </w:instrText>
          </w:r>
          <w:r>
            <w:fldChar w:fldCharType="separate"/>
          </w:r>
          <w:r w:rsidRPr="00E263E7">
            <w:rPr>
              <w:lang w:val="en-US"/>
            </w:rPr>
            <w:t>Alfred C. Toepfer Intl. S.R.L.</w:t>
          </w:r>
          <w:r>
            <w:fldChar w:fldCharType="end"/>
          </w:r>
          <w:r w:rsidRPr="00E263E7">
            <w:rPr>
              <w:lang w:val="en-US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27A6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3D99" w:rsidRDefault="001D3D99">
          <w:pPr>
            <w:jc w:val="right"/>
          </w:pPr>
          <w: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27A69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27A69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1D3D99" w:rsidRDefault="001D3D9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99" w:rsidRDefault="001D3D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A84" w:rsidRDefault="00D82A84">
      <w:pPr>
        <w:spacing w:line="240" w:lineRule="auto"/>
      </w:pPr>
      <w:r>
        <w:separator/>
      </w:r>
    </w:p>
  </w:footnote>
  <w:footnote w:type="continuationSeparator" w:id="0">
    <w:p w:rsidR="00D82A84" w:rsidRDefault="00D82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99" w:rsidRDefault="001D3D99">
    <w:pPr>
      <w:rPr>
        <w:sz w:val="24"/>
      </w:rPr>
    </w:pPr>
  </w:p>
  <w:p w:rsidR="001D3D99" w:rsidRDefault="00555546">
    <w:pPr>
      <w:pBdr>
        <w:top w:val="single" w:sz="6" w:space="1" w:color="auto"/>
      </w:pBdr>
      <w:rPr>
        <w:sz w:val="24"/>
      </w:rPr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 wp14:anchorId="6E76CF8F" wp14:editId="5F05A2B9">
          <wp:simplePos x="0" y="0"/>
          <wp:positionH relativeFrom="column">
            <wp:posOffset>0</wp:posOffset>
          </wp:positionH>
          <wp:positionV relativeFrom="paragraph">
            <wp:posOffset>25400</wp:posOffset>
          </wp:positionV>
          <wp:extent cx="763270" cy="626110"/>
          <wp:effectExtent l="0" t="0" r="0" b="2540"/>
          <wp:wrapNone/>
          <wp:docPr id="1" name="Imagen 1" descr="kogge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gge25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D3D99" w:rsidRPr="00373847" w:rsidRDefault="001D3D99">
    <w:pPr>
      <w:pBdr>
        <w:bottom w:val="single" w:sz="6" w:space="1" w:color="auto"/>
      </w:pBdr>
      <w:jc w:val="right"/>
      <w:rPr>
        <w:rFonts w:ascii="Arial" w:hAnsi="Arial"/>
        <w:b/>
        <w:sz w:val="36"/>
        <w:lang w:val="en-US"/>
      </w:rPr>
    </w:pPr>
    <w:r>
      <w:rPr>
        <w:rFonts w:ascii="Arial" w:hAnsi="Arial"/>
        <w:b/>
        <w:sz w:val="36"/>
      </w:rPr>
      <w:fldChar w:fldCharType="begin"/>
    </w:r>
    <w:r w:rsidRPr="00373847">
      <w:rPr>
        <w:rFonts w:ascii="Arial" w:hAnsi="Arial"/>
        <w:b/>
        <w:sz w:val="36"/>
        <w:lang w:val="en-US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Pr="00373847">
      <w:rPr>
        <w:rFonts w:ascii="Arial" w:hAnsi="Arial"/>
        <w:b/>
        <w:sz w:val="36"/>
        <w:lang w:val="en-US"/>
      </w:rPr>
      <w:t>Alfred C. Toepfer Int. S.R.L.</w:t>
    </w:r>
    <w:r>
      <w:rPr>
        <w:rFonts w:ascii="Arial" w:hAnsi="Arial"/>
        <w:b/>
        <w:sz w:val="36"/>
      </w:rPr>
      <w:fldChar w:fldCharType="end"/>
    </w:r>
  </w:p>
  <w:p w:rsidR="001D3D99" w:rsidRPr="00373847" w:rsidRDefault="001D3D99">
    <w:pPr>
      <w:pBdr>
        <w:bottom w:val="single" w:sz="6" w:space="1" w:color="auto"/>
      </w:pBdr>
      <w:jc w:val="right"/>
      <w:rPr>
        <w:sz w:val="24"/>
        <w:lang w:val="en-US"/>
      </w:rPr>
    </w:pPr>
  </w:p>
  <w:p w:rsidR="001D3D99" w:rsidRPr="00373847" w:rsidRDefault="001D3D99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3D99">
      <w:tc>
        <w:tcPr>
          <w:tcW w:w="6379" w:type="dxa"/>
        </w:tcPr>
        <w:p w:rsidR="001D3D99" w:rsidRDefault="00FC430A" w:rsidP="00243675">
          <w:fldSimple w:instr=" SUBJECT   \* MERGEFORMAT ">
            <w:r w:rsidR="00435EA2">
              <w:t>Mercaderías</w:t>
            </w:r>
          </w:fldSimple>
        </w:p>
      </w:tc>
      <w:tc>
        <w:tcPr>
          <w:tcW w:w="3179" w:type="dxa"/>
        </w:tcPr>
        <w:p w:rsidR="001D3D99" w:rsidRDefault="001D3D99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</w:t>
          </w:r>
          <w:fldSimple w:instr=" DOCPROPERTY  version  \* MERGEFORMAT ">
            <w:r w:rsidR="0072081B">
              <w:t>1.0</w:t>
            </w:r>
          </w:fldSimple>
        </w:p>
      </w:tc>
    </w:tr>
    <w:tr w:rsidR="001D3D99">
      <w:tc>
        <w:tcPr>
          <w:tcW w:w="6379" w:type="dxa"/>
        </w:tcPr>
        <w:p w:rsidR="001D3D99" w:rsidRDefault="00FC430A" w:rsidP="00B26F53">
          <w:fldSimple w:instr=" DOCPROPERTY  Title  \* MERGEFORMAT ">
            <w:r w:rsidR="00435EA2">
              <w:t>Diferencia de precios</w:t>
            </w:r>
          </w:fldSimple>
        </w:p>
      </w:tc>
      <w:tc>
        <w:tcPr>
          <w:tcW w:w="3179" w:type="dxa"/>
        </w:tcPr>
        <w:p w:rsidR="001D3D99" w:rsidRDefault="001D3D99" w:rsidP="00BE1D72">
          <w:r>
            <w:t xml:space="preserve">  Fecha:  </w:t>
          </w:r>
          <w:r w:rsidR="00BE1D72">
            <w:fldChar w:fldCharType="begin"/>
          </w:r>
          <w:r w:rsidR="00BE1D72">
            <w:instrText xml:space="preserve"> DATE  \@ "18/12/2012"  \* MERGEFORMAT </w:instrText>
          </w:r>
          <w:r w:rsidR="00BE1D72">
            <w:fldChar w:fldCharType="separate"/>
          </w:r>
          <w:r w:rsidR="00227A69">
            <w:rPr>
              <w:noProof/>
            </w:rPr>
            <w:t>18/12/2012</w:t>
          </w:r>
          <w:r w:rsidR="00BE1D72">
            <w:fldChar w:fldCharType="end"/>
          </w:r>
        </w:p>
      </w:tc>
    </w:tr>
    <w:tr w:rsidR="001D3D99">
      <w:tc>
        <w:tcPr>
          <w:tcW w:w="9558" w:type="dxa"/>
          <w:gridSpan w:val="2"/>
        </w:tcPr>
        <w:p w:rsidR="001D3D99" w:rsidRDefault="001D3D99"/>
      </w:tc>
    </w:tr>
  </w:tbl>
  <w:p w:rsidR="001D3D99" w:rsidRDefault="001D3D9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99" w:rsidRDefault="001D3D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4B3CBA"/>
    <w:multiLevelType w:val="multilevel"/>
    <w:tmpl w:val="D124D544"/>
    <w:lvl w:ilvl="0">
      <w:start w:val="8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5">
    <w:nsid w:val="14EA16CF"/>
    <w:multiLevelType w:val="multilevel"/>
    <w:tmpl w:val="E7A655FC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lvlRestart w:val="0"/>
      <w:isLgl/>
      <w:lvlText w:val="8.4.%3"/>
      <w:lvlJc w:val="left"/>
      <w:pPr>
        <w:tabs>
          <w:tab w:val="num" w:pos="851"/>
        </w:tabs>
        <w:ind w:left="851" w:hanging="68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0C3E97"/>
    <w:multiLevelType w:val="multilevel"/>
    <w:tmpl w:val="AEBA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745392"/>
    <w:multiLevelType w:val="hybridMultilevel"/>
    <w:tmpl w:val="9AD0C2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54702BC"/>
    <w:multiLevelType w:val="multilevel"/>
    <w:tmpl w:val="E6A298F8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lvlRestart w:val="0"/>
      <w:isLgl/>
      <w:lvlText w:val="7.%2.%3"/>
      <w:lvlJc w:val="left"/>
      <w:pPr>
        <w:tabs>
          <w:tab w:val="num" w:pos="1247"/>
        </w:tabs>
        <w:ind w:left="1247" w:hanging="6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B8855E6"/>
    <w:multiLevelType w:val="multilevel"/>
    <w:tmpl w:val="043E0018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lvlRestart w:val="0"/>
      <w:isLgl/>
      <w:lvlText w:val="8.%2.%3"/>
      <w:lvlJc w:val="left"/>
      <w:pPr>
        <w:tabs>
          <w:tab w:val="num" w:pos="851"/>
        </w:tabs>
        <w:ind w:left="851" w:hanging="68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ECA3281"/>
    <w:multiLevelType w:val="multilevel"/>
    <w:tmpl w:val="2D603134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7F14D8F"/>
    <w:multiLevelType w:val="multilevel"/>
    <w:tmpl w:val="D5A839EC"/>
    <w:lvl w:ilvl="0">
      <w:start w:val="8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275C97"/>
    <w:multiLevelType w:val="hybridMultilevel"/>
    <w:tmpl w:val="22F690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8F51F4F"/>
    <w:multiLevelType w:val="multilevel"/>
    <w:tmpl w:val="A364B6A8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DEB6EAB"/>
    <w:multiLevelType w:val="hybridMultilevel"/>
    <w:tmpl w:val="EC80B4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3"/>
  </w:num>
  <w:num w:numId="12">
    <w:abstractNumId w:val="11"/>
  </w:num>
  <w:num w:numId="13">
    <w:abstractNumId w:val="28"/>
  </w:num>
  <w:num w:numId="14">
    <w:abstractNumId w:val="10"/>
  </w:num>
  <w:num w:numId="15">
    <w:abstractNumId w:val="6"/>
  </w:num>
  <w:num w:numId="16">
    <w:abstractNumId w:val="26"/>
  </w:num>
  <w:num w:numId="17">
    <w:abstractNumId w:val="18"/>
  </w:num>
  <w:num w:numId="18">
    <w:abstractNumId w:val="8"/>
  </w:num>
  <w:num w:numId="19">
    <w:abstractNumId w:val="15"/>
  </w:num>
  <w:num w:numId="20">
    <w:abstractNumId w:val="9"/>
  </w:num>
  <w:num w:numId="21">
    <w:abstractNumId w:val="25"/>
  </w:num>
  <w:num w:numId="22">
    <w:abstractNumId w:val="24"/>
  </w:num>
  <w:num w:numId="23">
    <w:abstractNumId w:val="17"/>
  </w:num>
  <w:num w:numId="24">
    <w:abstractNumId w:val="32"/>
  </w:num>
  <w:num w:numId="25">
    <w:abstractNumId w:val="14"/>
  </w:num>
  <w:num w:numId="26">
    <w:abstractNumId w:val="27"/>
  </w:num>
  <w:num w:numId="27">
    <w:abstractNumId w:val="22"/>
  </w:num>
  <w:num w:numId="28">
    <w:abstractNumId w:val="30"/>
  </w:num>
  <w:num w:numId="29">
    <w:abstractNumId w:val="16"/>
  </w:num>
  <w:num w:numId="30">
    <w:abstractNumId w:val="19"/>
    <w:lvlOverride w:ilvl="0">
      <w:lvl w:ilvl="0">
        <w:start w:val="7"/>
        <w:numFmt w:val="decimal"/>
        <w:lvlText w:val="%1."/>
        <w:lvlJc w:val="left"/>
        <w:pPr>
          <w:tabs>
            <w:tab w:val="num" w:pos="567"/>
          </w:tabs>
          <w:ind w:left="567" w:hanging="454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567"/>
          </w:tabs>
          <w:ind w:left="567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isLgl/>
        <w:lvlText w:val="8.%2.%3"/>
        <w:lvlJc w:val="left"/>
        <w:pPr>
          <w:tabs>
            <w:tab w:val="num" w:pos="1247"/>
          </w:tabs>
          <w:ind w:left="1247" w:hanging="6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</w:num>
  <w:num w:numId="31">
    <w:abstractNumId w:val="23"/>
  </w:num>
  <w:num w:numId="32">
    <w:abstractNumId w:val="5"/>
    <w:lvlOverride w:ilvl="0">
      <w:lvl w:ilvl="0">
        <w:start w:val="7"/>
        <w:numFmt w:val="decimal"/>
        <w:lvlText w:val="%1."/>
        <w:lvlJc w:val="left"/>
        <w:pPr>
          <w:tabs>
            <w:tab w:val="num" w:pos="567"/>
          </w:tabs>
          <w:ind w:left="567" w:hanging="454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567"/>
          </w:tabs>
          <w:ind w:left="567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isLgl/>
        <w:lvlText w:val="8.4.%3"/>
        <w:lvlJc w:val="left"/>
        <w:pPr>
          <w:tabs>
            <w:tab w:val="num" w:pos="1247"/>
          </w:tabs>
          <w:ind w:left="1247" w:hanging="6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</w:num>
  <w:num w:numId="33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</w:num>
  <w:num w:numId="34">
    <w:abstractNumId w:val="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07"/>
    <w:rsid w:val="00010BC1"/>
    <w:rsid w:val="00014B2F"/>
    <w:rsid w:val="00026C0E"/>
    <w:rsid w:val="00050AEC"/>
    <w:rsid w:val="00094793"/>
    <w:rsid w:val="0009573E"/>
    <w:rsid w:val="00097A90"/>
    <w:rsid w:val="000A3855"/>
    <w:rsid w:val="000B4744"/>
    <w:rsid w:val="000B5074"/>
    <w:rsid w:val="000D679A"/>
    <w:rsid w:val="000E07C8"/>
    <w:rsid w:val="000E1939"/>
    <w:rsid w:val="000E7543"/>
    <w:rsid w:val="001014E1"/>
    <w:rsid w:val="00105A75"/>
    <w:rsid w:val="00107271"/>
    <w:rsid w:val="00143B1E"/>
    <w:rsid w:val="001633A8"/>
    <w:rsid w:val="00195CF0"/>
    <w:rsid w:val="001B3657"/>
    <w:rsid w:val="001C09E4"/>
    <w:rsid w:val="001D3D99"/>
    <w:rsid w:val="001E3687"/>
    <w:rsid w:val="001F4FD0"/>
    <w:rsid w:val="00201CB3"/>
    <w:rsid w:val="00227A69"/>
    <w:rsid w:val="00243675"/>
    <w:rsid w:val="00254602"/>
    <w:rsid w:val="002A1AD2"/>
    <w:rsid w:val="002C2A07"/>
    <w:rsid w:val="0031546E"/>
    <w:rsid w:val="003225BC"/>
    <w:rsid w:val="003468D1"/>
    <w:rsid w:val="003614C6"/>
    <w:rsid w:val="0037203E"/>
    <w:rsid w:val="00373847"/>
    <w:rsid w:val="00381369"/>
    <w:rsid w:val="003924F6"/>
    <w:rsid w:val="0039719E"/>
    <w:rsid w:val="003C47AC"/>
    <w:rsid w:val="00414A5C"/>
    <w:rsid w:val="00435EA2"/>
    <w:rsid w:val="00453971"/>
    <w:rsid w:val="00482515"/>
    <w:rsid w:val="004D6314"/>
    <w:rsid w:val="00510DC0"/>
    <w:rsid w:val="00511C40"/>
    <w:rsid w:val="00516BDC"/>
    <w:rsid w:val="00547500"/>
    <w:rsid w:val="00555546"/>
    <w:rsid w:val="005707A0"/>
    <w:rsid w:val="00593052"/>
    <w:rsid w:val="005A376E"/>
    <w:rsid w:val="005B1F4F"/>
    <w:rsid w:val="005C3EC8"/>
    <w:rsid w:val="005D045C"/>
    <w:rsid w:val="005D23AB"/>
    <w:rsid w:val="005F3384"/>
    <w:rsid w:val="00613683"/>
    <w:rsid w:val="006520A0"/>
    <w:rsid w:val="00654B2A"/>
    <w:rsid w:val="00692AF6"/>
    <w:rsid w:val="006B7100"/>
    <w:rsid w:val="006D526E"/>
    <w:rsid w:val="0072081B"/>
    <w:rsid w:val="007346C8"/>
    <w:rsid w:val="00747183"/>
    <w:rsid w:val="007503BD"/>
    <w:rsid w:val="00754A43"/>
    <w:rsid w:val="007B72B0"/>
    <w:rsid w:val="007C184E"/>
    <w:rsid w:val="007C65E1"/>
    <w:rsid w:val="007D5701"/>
    <w:rsid w:val="007E2AA3"/>
    <w:rsid w:val="007E5F64"/>
    <w:rsid w:val="00804261"/>
    <w:rsid w:val="008145F2"/>
    <w:rsid w:val="008577EA"/>
    <w:rsid w:val="00874D95"/>
    <w:rsid w:val="008A7573"/>
    <w:rsid w:val="008D1C65"/>
    <w:rsid w:val="008E1841"/>
    <w:rsid w:val="008E6C6A"/>
    <w:rsid w:val="008F1CEB"/>
    <w:rsid w:val="008F54C8"/>
    <w:rsid w:val="008F573C"/>
    <w:rsid w:val="00914320"/>
    <w:rsid w:val="00955614"/>
    <w:rsid w:val="00957EF4"/>
    <w:rsid w:val="009B3AB4"/>
    <w:rsid w:val="009B788A"/>
    <w:rsid w:val="009C7B15"/>
    <w:rsid w:val="009F7A1E"/>
    <w:rsid w:val="00A4276A"/>
    <w:rsid w:val="00A44259"/>
    <w:rsid w:val="00A703A2"/>
    <w:rsid w:val="00A82027"/>
    <w:rsid w:val="00A86341"/>
    <w:rsid w:val="00AA75BF"/>
    <w:rsid w:val="00AE069D"/>
    <w:rsid w:val="00B121D5"/>
    <w:rsid w:val="00B26F53"/>
    <w:rsid w:val="00B41A0B"/>
    <w:rsid w:val="00B53F50"/>
    <w:rsid w:val="00B66A31"/>
    <w:rsid w:val="00B83D7A"/>
    <w:rsid w:val="00BB03FB"/>
    <w:rsid w:val="00BB732B"/>
    <w:rsid w:val="00BD0232"/>
    <w:rsid w:val="00BE1D72"/>
    <w:rsid w:val="00C1242F"/>
    <w:rsid w:val="00C34408"/>
    <w:rsid w:val="00C62546"/>
    <w:rsid w:val="00C63669"/>
    <w:rsid w:val="00C930F3"/>
    <w:rsid w:val="00C93C86"/>
    <w:rsid w:val="00CA05E1"/>
    <w:rsid w:val="00CA275D"/>
    <w:rsid w:val="00CB6082"/>
    <w:rsid w:val="00CC4006"/>
    <w:rsid w:val="00CC5E35"/>
    <w:rsid w:val="00CD6516"/>
    <w:rsid w:val="00CE2CDE"/>
    <w:rsid w:val="00CF764A"/>
    <w:rsid w:val="00D141AE"/>
    <w:rsid w:val="00D27DF3"/>
    <w:rsid w:val="00D3292C"/>
    <w:rsid w:val="00D3638C"/>
    <w:rsid w:val="00D603D1"/>
    <w:rsid w:val="00D76F12"/>
    <w:rsid w:val="00D82A84"/>
    <w:rsid w:val="00DA0232"/>
    <w:rsid w:val="00DA66E9"/>
    <w:rsid w:val="00DB5AFC"/>
    <w:rsid w:val="00DE12A3"/>
    <w:rsid w:val="00DF4599"/>
    <w:rsid w:val="00DF64BD"/>
    <w:rsid w:val="00E263E7"/>
    <w:rsid w:val="00E51E91"/>
    <w:rsid w:val="00E76387"/>
    <w:rsid w:val="00E80B68"/>
    <w:rsid w:val="00E84CCF"/>
    <w:rsid w:val="00E8618E"/>
    <w:rsid w:val="00EB2D83"/>
    <w:rsid w:val="00EB57DF"/>
    <w:rsid w:val="00EC4169"/>
    <w:rsid w:val="00EF1A60"/>
    <w:rsid w:val="00EF5127"/>
    <w:rsid w:val="00F21A2E"/>
    <w:rsid w:val="00F43634"/>
    <w:rsid w:val="00F45640"/>
    <w:rsid w:val="00F52845"/>
    <w:rsid w:val="00F56E36"/>
    <w:rsid w:val="00F56FD2"/>
    <w:rsid w:val="00F91317"/>
    <w:rsid w:val="00F9255A"/>
    <w:rsid w:val="00F96BA5"/>
    <w:rsid w:val="00FC3D2F"/>
    <w:rsid w:val="00FC430A"/>
    <w:rsid w:val="00FC69EB"/>
    <w:rsid w:val="00FC7946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C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C6A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8577E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50AEC"/>
    <w:rPr>
      <w:color w:val="800080" w:themeColor="followedHyperlink"/>
      <w:u w:val="single"/>
    </w:rPr>
  </w:style>
  <w:style w:type="paragraph" w:customStyle="1" w:styleId="Default">
    <w:name w:val="Default"/>
    <w:rsid w:val="004D63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C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C6A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8577E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50AEC"/>
    <w:rPr>
      <w:color w:val="800080" w:themeColor="followedHyperlink"/>
      <w:u w:val="single"/>
    </w:rPr>
  </w:style>
  <w:style w:type="paragraph" w:customStyle="1" w:styleId="Default">
    <w:name w:val="Default"/>
    <w:rsid w:val="004D63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-vm-intra-2/ActiSAintra/documentos/Auditoria%20Interna/normas/1.-%20Manual%20de%20Procedimientos%20Administrativos/Procedimiento%20N&#186;%2005%20(Tesoreria)/Procedimiento%20N&#186;%2005%20(Tesoreria).doc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%20Work%20Space\Webmanager%202.0\Design\Document%20Templates\Rational%20Unified%20Process%20Templates\cm_mgt\rup_cm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FC96B-7DF3-4A17-8B10-598FFCE6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1</TotalTime>
  <Pages>5</Pages>
  <Words>380</Words>
  <Characters>2788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Diferencia de Precio</vt:lpstr>
    </vt:vector>
  </TitlesOfParts>
  <Company>Alfred C. Toepfer Intl. S.R.L.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Diferencia de Precio</dc:title>
  <dc:subject>Mercaderías</dc:subject>
  <dc:creator>IT Team</dc:creator>
  <cp:lastModifiedBy>Fernandez Etchegoyen, Rodrigo</cp:lastModifiedBy>
  <cp:revision>2</cp:revision>
  <cp:lastPrinted>2000-03-22T12:18:00Z</cp:lastPrinted>
  <dcterms:created xsi:type="dcterms:W3CDTF">2013-11-04T14:32:00Z</dcterms:created>
  <dcterms:modified xsi:type="dcterms:W3CDTF">2013-11-04T14:32:00Z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Fecha Version">
    <vt:lpwstr>08/11/2011</vt:lpwstr>
  </property>
</Properties>
</file>