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22538" w14:textId="77777777" w:rsidR="00620B9E" w:rsidRPr="008440CF" w:rsidRDefault="00620B9E" w:rsidP="00620B9E">
      <w:pPr>
        <w:spacing w:before="1440" w:after="200"/>
        <w:jc w:val="center"/>
        <w:rPr>
          <w:rFonts w:ascii="Amasis MT Pro" w:hAnsi="Amasis MT Pro"/>
        </w:rPr>
      </w:pPr>
      <w:r w:rsidRPr="008440CF">
        <w:rPr>
          <w:rFonts w:ascii="Amasis MT Pro" w:eastAsia="Arial" w:hAnsi="Amasis MT Pro" w:cs="Arial"/>
          <w:b/>
          <w:bCs/>
          <w:color w:val="000000"/>
        </w:rPr>
        <w:t>TWINLYTICS</w:t>
      </w:r>
    </w:p>
    <w:p w14:paraId="267AB22F" w14:textId="77777777" w:rsidR="00620B9E" w:rsidRPr="008440CF" w:rsidRDefault="00620B9E" w:rsidP="00620B9E">
      <w:pPr>
        <w:jc w:val="center"/>
        <w:rPr>
          <w:rFonts w:ascii="Amasis MT Pro" w:hAnsi="Amasis MT Pro"/>
        </w:rPr>
      </w:pPr>
      <w:r w:rsidRPr="008440CF">
        <w:rPr>
          <w:rFonts w:ascii="Amasis MT Pro" w:eastAsia="Arial" w:hAnsi="Amasis MT Pro" w:cs="Arial"/>
          <w:color w:val="4A4A4A"/>
        </w:rPr>
        <w:t>The Human-Owned Behavioural Data Economy</w:t>
      </w:r>
    </w:p>
    <w:p w14:paraId="4C126A93" w14:textId="77777777" w:rsidR="00620B9E" w:rsidRPr="008440CF" w:rsidRDefault="00620B9E" w:rsidP="00620B9E">
      <w:pPr>
        <w:spacing w:after="80"/>
        <w:jc w:val="center"/>
        <w:rPr>
          <w:rFonts w:ascii="Amasis MT Pro" w:hAnsi="Amasis MT Pro"/>
        </w:rPr>
      </w:pPr>
      <w:r w:rsidRPr="008440CF">
        <w:rPr>
          <w:rFonts w:ascii="Amasis MT Pro" w:eastAsia="Arial" w:hAnsi="Amasis MT Pro" w:cs="Arial"/>
          <w:color w:val="4A4A4A"/>
        </w:rPr>
        <w:t>A Strategic White Paper</w:t>
      </w:r>
    </w:p>
    <w:p w14:paraId="798F5766" w14:textId="06EAB733" w:rsidR="00620B9E" w:rsidRPr="008440CF" w:rsidRDefault="00620B9E" w:rsidP="00620B9E">
      <w:pPr>
        <w:spacing w:after="400"/>
        <w:jc w:val="center"/>
        <w:rPr>
          <w:rFonts w:ascii="Amasis MT Pro" w:hAnsi="Amasis MT Pro"/>
        </w:rPr>
      </w:pPr>
      <w:r w:rsidRPr="008440CF">
        <w:rPr>
          <w:rFonts w:ascii="Amasis MT Pro" w:eastAsia="Arial" w:hAnsi="Amasis MT Pro" w:cs="Arial"/>
          <w:color w:val="4A4A4A"/>
        </w:rPr>
        <w:t xml:space="preserve">Version </w:t>
      </w:r>
      <w:r w:rsidRPr="008440CF">
        <w:rPr>
          <w:rFonts w:ascii="Amasis MT Pro" w:hAnsi="Amasis MT Pro"/>
          <w:color w:val="4A4A4A"/>
        </w:rPr>
        <w:t>0</w:t>
      </w:r>
      <w:r w:rsidRPr="008440CF">
        <w:rPr>
          <w:rFonts w:ascii="Amasis MT Pro" w:eastAsia="Arial" w:hAnsi="Amasis MT Pro" w:cs="Arial"/>
          <w:color w:val="4A4A4A"/>
        </w:rPr>
        <w:t xml:space="preserve">.1 </w:t>
      </w:r>
      <w:r w:rsidR="00E84667" w:rsidRPr="008440CF">
        <w:rPr>
          <w:rFonts w:ascii="Amasis MT Pro" w:eastAsia="Arial" w:hAnsi="Amasis MT Pro" w:cs="Arial"/>
          <w:color w:val="4A4A4A"/>
        </w:rPr>
        <w:t>| May</w:t>
      </w:r>
      <w:r w:rsidRPr="008440CF">
        <w:rPr>
          <w:rFonts w:ascii="Amasis MT Pro" w:eastAsia="Arial" w:hAnsi="Amasis MT Pro" w:cs="Arial"/>
          <w:color w:val="4A4A4A"/>
        </w:rPr>
        <w:t xml:space="preserve"> 2026</w:t>
      </w:r>
    </w:p>
    <w:p w14:paraId="557AE3D4" w14:textId="77777777" w:rsidR="00620B9E" w:rsidRPr="008440CF" w:rsidRDefault="00620B9E" w:rsidP="00620B9E">
      <w:pPr>
        <w:spacing w:after="80"/>
        <w:jc w:val="center"/>
        <w:rPr>
          <w:rFonts w:ascii="Amasis MT Pro" w:hAnsi="Amasis MT Pro"/>
        </w:rPr>
      </w:pPr>
      <w:r w:rsidRPr="008440CF">
        <w:rPr>
          <w:rFonts w:ascii="Amasis MT Pro" w:eastAsia="Arial" w:hAnsi="Amasis MT Pro" w:cs="Arial"/>
          <w:color w:val="4A4A4A"/>
        </w:rPr>
        <w:t>Fraunhofer IAO, Stuttgart, Germany</w:t>
      </w:r>
    </w:p>
    <w:p w14:paraId="4ECD5A03" w14:textId="77777777" w:rsidR="00620B9E" w:rsidRPr="008440CF" w:rsidRDefault="00620B9E" w:rsidP="00620B9E">
      <w:pPr>
        <w:rPr>
          <w:rFonts w:ascii="Amasis MT Pro" w:hAnsi="Amasis MT Pro"/>
        </w:rPr>
      </w:pPr>
      <w:r w:rsidRPr="008440CF">
        <w:rPr>
          <w:rFonts w:ascii="Amasis MT Pro" w:hAnsi="Amasis MT Pro"/>
        </w:rPr>
        <w:br w:type="page"/>
      </w:r>
    </w:p>
    <w:p w14:paraId="37031230" w14:textId="77777777" w:rsidR="00620B9E" w:rsidRPr="008440CF" w:rsidRDefault="00620B9E" w:rsidP="00A4621E">
      <w:pPr>
        <w:pStyle w:val="Heading1"/>
        <w:jc w:val="both"/>
        <w:rPr>
          <w:rFonts w:ascii="Amasis MT Pro" w:hAnsi="Amasis MT Pro"/>
          <w:sz w:val="20"/>
          <w:szCs w:val="20"/>
        </w:rPr>
      </w:pPr>
      <w:r w:rsidRPr="008440CF">
        <w:rPr>
          <w:rFonts w:ascii="Amasis MT Pro" w:eastAsia="Arial" w:hAnsi="Amasis MT Pro" w:cs="Arial"/>
          <w:b/>
          <w:bCs/>
          <w:color w:val="000000"/>
          <w:sz w:val="20"/>
          <w:szCs w:val="20"/>
        </w:rPr>
        <w:lastRenderedPageBreak/>
        <w:t>Executive Summary</w:t>
      </w:r>
    </w:p>
    <w:p w14:paraId="4BA6B9A4" w14:textId="03CB18AD"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 xml:space="preserve">Every day, billions of people generate highly valuable behavioural data. They click, scroll, </w:t>
      </w:r>
      <w:r w:rsidR="00FC1F99" w:rsidRPr="008440CF">
        <w:rPr>
          <w:rFonts w:ascii="Amasis MT Pro" w:eastAsia="Arial" w:hAnsi="Amasis MT Pro" w:cs="Arial"/>
          <w:color w:val="1C1C1E"/>
        </w:rPr>
        <w:t>buy</w:t>
      </w:r>
      <w:r w:rsidRPr="008440CF">
        <w:rPr>
          <w:rFonts w:ascii="Amasis MT Pro" w:eastAsia="Arial" w:hAnsi="Amasis MT Pro" w:cs="Arial"/>
          <w:color w:val="1C1C1E"/>
        </w:rPr>
        <w:t>, pause, and reflect. Platforms harvest these signals, sell them to advertisers and researchers, and collect billions in profit. The people who created that value receive nothing in return.</w:t>
      </w:r>
    </w:p>
    <w:p w14:paraId="0A9066D7" w14:textId="6AA80860"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Twinlytics is built to change this. We are a marketplace platform where individual users build AI-powered digital twins from their own diary-style reflections and behavioural inputs. A digital twin, as NNGroup defines it, is a generative AI model trained on a person's data to serve as their proxy [R1]. These twins can simulate each user's opinions, preferences, and decisions. Businesses and researchers can then query thousands of these twins to run instant market research, product tests, and policy simulations, without the cost and delay of traditional focus groups.</w:t>
      </w:r>
    </w:p>
    <w:p w14:paraId="23BA352F" w14:textId="0770F56E"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 xml:space="preserve">This is not a data extraction business. Twinlytics is a data ownership economy. Users </w:t>
      </w:r>
      <w:r w:rsidR="00FC1F99" w:rsidRPr="008440CF">
        <w:rPr>
          <w:rFonts w:ascii="Amasis MT Pro" w:eastAsia="Arial" w:hAnsi="Amasis MT Pro" w:cs="Arial"/>
          <w:color w:val="1C1C1E"/>
        </w:rPr>
        <w:t>keep</w:t>
      </w:r>
      <w:r w:rsidRPr="008440CF">
        <w:rPr>
          <w:rFonts w:ascii="Amasis MT Pro" w:eastAsia="Arial" w:hAnsi="Amasis MT Pro" w:cs="Arial"/>
          <w:color w:val="1C1C1E"/>
        </w:rPr>
        <w:t xml:space="preserve"> full control, set their own privacy terms, and earn income every time their twin is queried. We call this </w:t>
      </w:r>
      <w:r w:rsidR="00640944" w:rsidRPr="008440CF">
        <w:rPr>
          <w:rFonts w:ascii="Amasis MT Pro" w:eastAsia="Arial" w:hAnsi="Amasis MT Pro" w:cs="Arial"/>
          <w:color w:val="1C1C1E"/>
        </w:rPr>
        <w:t>Fair-Trade</w:t>
      </w:r>
      <w:r w:rsidRPr="008440CF">
        <w:rPr>
          <w:rFonts w:ascii="Amasis MT Pro" w:eastAsia="Arial" w:hAnsi="Amasis MT Pro" w:cs="Arial"/>
          <w:color w:val="1C1C1E"/>
        </w:rPr>
        <w:t xml:space="preserve"> Data.</w:t>
      </w:r>
    </w:p>
    <w:p w14:paraId="76069A25" w14:textId="378F8D3D"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The timing is well-suited. The AI-based research services market was valued at EUR 7.38 billion in 2025 and is projected to reach EUR 32.8 billion by 2035, growing at 16.1% annually. Simile AI, the closest comparable startup, raised EUR 93 million from Index Ventures in February 2026. The category is growing rapidly. Twinlytics holds a distinct position within it: consent-first, user-compensated, and designed for European regulatory compliance from the ground up.</w:t>
      </w:r>
    </w:p>
    <w:p w14:paraId="76546510" w14:textId="77777777" w:rsidR="00620B9E" w:rsidRPr="008440CF" w:rsidRDefault="00620B9E" w:rsidP="00A4621E">
      <w:pPr>
        <w:pStyle w:val="Heading1"/>
        <w:jc w:val="both"/>
        <w:rPr>
          <w:rFonts w:ascii="Amasis MT Pro" w:hAnsi="Amasis MT Pro"/>
          <w:sz w:val="20"/>
          <w:szCs w:val="20"/>
        </w:rPr>
      </w:pPr>
      <w:r w:rsidRPr="008440CF">
        <w:rPr>
          <w:rFonts w:ascii="Amasis MT Pro" w:eastAsia="Arial" w:hAnsi="Amasis MT Pro" w:cs="Arial"/>
          <w:b/>
          <w:bCs/>
          <w:color w:val="000000"/>
          <w:sz w:val="20"/>
          <w:szCs w:val="20"/>
        </w:rPr>
        <w:t>1. The Problem We Are Solving</w:t>
      </w:r>
    </w:p>
    <w:p w14:paraId="4BD4383B" w14:textId="61988E89"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Three problems exist simultaneously and make each other worse. This document explains each one and shows why Twinlytics is positioned to address all three together.</w:t>
      </w:r>
    </w:p>
    <w:p w14:paraId="277E1F14" w14:textId="77777777" w:rsidR="00620B9E" w:rsidRPr="008440CF" w:rsidRDefault="00620B9E" w:rsidP="00A4621E">
      <w:pPr>
        <w:pStyle w:val="Heading2"/>
        <w:jc w:val="both"/>
        <w:rPr>
          <w:rFonts w:ascii="Amasis MT Pro" w:hAnsi="Amasis MT Pro"/>
          <w:sz w:val="20"/>
          <w:szCs w:val="20"/>
        </w:rPr>
      </w:pPr>
      <w:r w:rsidRPr="008440CF">
        <w:rPr>
          <w:rFonts w:ascii="Amasis MT Pro" w:eastAsia="Arial" w:hAnsi="Amasis MT Pro" w:cs="Arial"/>
          <w:b/>
          <w:bCs/>
          <w:color w:val="1C1C1E"/>
          <w:sz w:val="20"/>
          <w:szCs w:val="20"/>
        </w:rPr>
        <w:t>1.1 People Generate Value They Do Not Share In</w:t>
      </w:r>
    </w:p>
    <w:p w14:paraId="07E6E106" w14:textId="1A0D46E7"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The modern internet runs on a straightforward but largely invisible arrangement. Users access a platform at no cost, and the platform extracts their behavioural data, builds a profile, and sells that profile to advertisers. Most users have never meaningfully consented to this arrangement.</w:t>
      </w:r>
    </w:p>
    <w:p w14:paraId="7889DB39" w14:textId="788A6B16"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The scale of this problem is well documented. Between 74% and 82% of consumers report that they feel they have lost control of their personal data [R1-PPT]. A Deloitte study found that 81% of US consumers feel unable to manage how their data is collected [R2]. Since GDPR came into force in 2018, European regulators have imposed cumulative fines exceeding EUR 6.11 billion on companies for data misuse, with EUR 1.2 billion issued in 2024 alone [R3, R4]. The regulatory pressure is increasing, but the underlying model has not changed.</w:t>
      </w:r>
    </w:p>
    <w:p w14:paraId="709F3D1A" w14:textId="22056658"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 xml:space="preserve">A useful way to describe what is happening: AI systems </w:t>
      </w:r>
      <w:r w:rsidR="00840D42" w:rsidRPr="008440CF">
        <w:rPr>
          <w:rFonts w:ascii="Amasis MT Pro" w:eastAsia="Arial" w:hAnsi="Amasis MT Pro" w:cs="Arial"/>
          <w:color w:val="1C1C1E"/>
        </w:rPr>
        <w:t>function as</w:t>
      </w:r>
      <w:r w:rsidRPr="008440CF">
        <w:rPr>
          <w:rFonts w:ascii="Amasis MT Pro" w:eastAsia="Arial" w:hAnsi="Amasis MT Pro" w:cs="Arial"/>
          <w:color w:val="1C1C1E"/>
        </w:rPr>
        <w:t xml:space="preserve"> a large funnel, collecting the value produced by billions of internet users and </w:t>
      </w:r>
      <w:r w:rsidR="00640944" w:rsidRPr="008440CF">
        <w:rPr>
          <w:rFonts w:ascii="Amasis MT Pro" w:eastAsia="Arial" w:hAnsi="Amasis MT Pro" w:cs="Arial"/>
          <w:color w:val="1C1C1E"/>
        </w:rPr>
        <w:t>concentrating on</w:t>
      </w:r>
      <w:r w:rsidRPr="008440CF">
        <w:rPr>
          <w:rFonts w:ascii="Amasis MT Pro" w:eastAsia="Arial" w:hAnsi="Amasis MT Pro" w:cs="Arial"/>
          <w:color w:val="1C1C1E"/>
        </w:rPr>
        <w:t xml:space="preserve"> the resulting economic rewards in the hands of a small number of companies building foundation models [R5]. Individual users, who are the original source of this value, are structurally excluded from any share of the upside. People generate valuable behavioural data but have virtually no power or financial benefit from it [R10].</w:t>
      </w:r>
    </w:p>
    <w:p w14:paraId="27F7FAA5" w14:textId="77777777" w:rsidR="00620B9E" w:rsidRPr="008440CF" w:rsidRDefault="00620B9E" w:rsidP="00A4621E">
      <w:pPr>
        <w:pStyle w:val="Heading2"/>
        <w:jc w:val="both"/>
        <w:rPr>
          <w:rFonts w:ascii="Amasis MT Pro" w:hAnsi="Amasis MT Pro"/>
          <w:sz w:val="20"/>
          <w:szCs w:val="20"/>
        </w:rPr>
      </w:pPr>
      <w:r w:rsidRPr="008440CF">
        <w:rPr>
          <w:rFonts w:ascii="Amasis MT Pro" w:eastAsia="Arial" w:hAnsi="Amasis MT Pro" w:cs="Arial"/>
          <w:b/>
          <w:bCs/>
          <w:color w:val="1C1C1E"/>
          <w:sz w:val="20"/>
          <w:szCs w:val="20"/>
        </w:rPr>
        <w:t>1.2 Market Research Has Not Kept Up</w:t>
      </w:r>
    </w:p>
    <w:p w14:paraId="02D22A68" w14:textId="46E1E9EB"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 xml:space="preserve">The global market research industry was worth approximately EUR 142 billion in 2024 [R6]. Yet the core methods most organisations use, including focus groups with 10 to 50 participants, survey panels with well-known response biases, and point-in-time data collection, have </w:t>
      </w:r>
      <w:r w:rsidR="00840D42" w:rsidRPr="008440CF">
        <w:rPr>
          <w:rFonts w:ascii="Amasis MT Pro" w:eastAsia="Arial" w:hAnsi="Amasis MT Pro" w:cs="Arial"/>
          <w:color w:val="1C1C1E"/>
        </w:rPr>
        <w:t>still been</w:t>
      </w:r>
      <w:r w:rsidRPr="008440CF">
        <w:rPr>
          <w:rFonts w:ascii="Amasis MT Pro" w:eastAsia="Arial" w:hAnsi="Amasis MT Pro" w:cs="Arial"/>
          <w:color w:val="1C1C1E"/>
        </w:rPr>
        <w:t xml:space="preserve"> largely unchanged for decades.</w:t>
      </w:r>
    </w:p>
    <w:p w14:paraId="5DC22E71" w14:textId="5331741D"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 xml:space="preserve">The limitations are concrete. Traditional approaches are slow and expensive. A single focus group typically costs EUR 5,000 to EUR 20,000 and takes several weeks to complete. Testing vital go-to-market messages has historically been slow, expensive, and often compromised by small, biased panels [R7]. Survey data becomes outdated as soon as it is collected and cannot capture how people respond in context [R8]. At the same time, the demand for better tools is clearly present. A Greenbook survey found that 67% of marketing and insights leaders are actively interested in using digital twins for research, and 41% reported a need to </w:t>
      </w:r>
      <w:r w:rsidR="00FC1F99" w:rsidRPr="008440CF">
        <w:rPr>
          <w:rFonts w:ascii="Amasis MT Pro" w:eastAsia="Arial" w:hAnsi="Amasis MT Pro" w:cs="Arial"/>
          <w:color w:val="1C1C1E"/>
        </w:rPr>
        <w:t>carry out</w:t>
      </w:r>
      <w:r w:rsidRPr="008440CF">
        <w:rPr>
          <w:rFonts w:ascii="Amasis MT Pro" w:eastAsia="Arial" w:hAnsi="Amasis MT Pro" w:cs="Arial"/>
          <w:color w:val="1C1C1E"/>
        </w:rPr>
        <w:t xml:space="preserve"> more with fewer resources [R8]. The industry is ready to change. The question is which platform will provide the right solution.</w:t>
      </w:r>
    </w:p>
    <w:p w14:paraId="7D7C8F72" w14:textId="77777777" w:rsidR="00620B9E" w:rsidRPr="008440CF" w:rsidRDefault="00620B9E" w:rsidP="00A4621E">
      <w:pPr>
        <w:pStyle w:val="Heading2"/>
        <w:jc w:val="both"/>
        <w:rPr>
          <w:rFonts w:ascii="Amasis MT Pro" w:hAnsi="Amasis MT Pro"/>
          <w:sz w:val="20"/>
          <w:szCs w:val="20"/>
        </w:rPr>
      </w:pPr>
      <w:r w:rsidRPr="008440CF">
        <w:rPr>
          <w:rFonts w:ascii="Amasis MT Pro" w:eastAsia="Arial" w:hAnsi="Amasis MT Pro" w:cs="Arial"/>
          <w:b/>
          <w:bCs/>
          <w:color w:val="1C1C1E"/>
          <w:sz w:val="20"/>
          <w:szCs w:val="20"/>
        </w:rPr>
        <w:lastRenderedPageBreak/>
        <w:t>1.3 There Is No Fair Data Exchange</w:t>
      </w:r>
    </w:p>
    <w:p w14:paraId="1927EBCE" w14:textId="21CCC469"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 xml:space="preserve">The deepest problem is a structural one. There is currently no mechanism through which users receive payment for their data, understand how it is being used, or </w:t>
      </w:r>
      <w:r w:rsidR="00FC1F99" w:rsidRPr="008440CF">
        <w:rPr>
          <w:rFonts w:ascii="Amasis MT Pro" w:eastAsia="Arial" w:hAnsi="Amasis MT Pro" w:cs="Arial"/>
          <w:color w:val="1C1C1E"/>
        </w:rPr>
        <w:t>keep</w:t>
      </w:r>
      <w:r w:rsidRPr="008440CF">
        <w:rPr>
          <w:rFonts w:ascii="Amasis MT Pro" w:eastAsia="Arial" w:hAnsi="Amasis MT Pro" w:cs="Arial"/>
          <w:color w:val="1C1C1E"/>
        </w:rPr>
        <w:t xml:space="preserve"> meaningful influence over what happens to it. Wired has noted that people have virtually no power or compensation for their personal data while companies collect large profits from it [R10]. Deloitte found that 79% of people would willingly share personal data if there were a clear benefit to them, such as rewards, discounts, or access to insights [R2]. This is not a minority preference. A large share of the population is ready to </w:t>
      </w:r>
      <w:r w:rsidR="00FC1F99" w:rsidRPr="008440CF">
        <w:rPr>
          <w:rFonts w:ascii="Amasis MT Pro" w:eastAsia="Arial" w:hAnsi="Amasis MT Pro" w:cs="Arial"/>
          <w:color w:val="1C1C1E"/>
        </w:rPr>
        <w:t>take part</w:t>
      </w:r>
      <w:r w:rsidRPr="008440CF">
        <w:rPr>
          <w:rFonts w:ascii="Amasis MT Pro" w:eastAsia="Arial" w:hAnsi="Amasis MT Pro" w:cs="Arial"/>
          <w:color w:val="1C1C1E"/>
        </w:rPr>
        <w:t xml:space="preserve"> in </w:t>
      </w:r>
      <w:r w:rsidR="00AA0D0B" w:rsidRPr="008440CF">
        <w:rPr>
          <w:rFonts w:ascii="Amasis MT Pro" w:eastAsia="Arial" w:hAnsi="Amasis MT Pro" w:cs="Arial"/>
          <w:color w:val="1C1C1E"/>
        </w:rPr>
        <w:t>fair</w:t>
      </w:r>
      <w:r w:rsidRPr="008440CF">
        <w:rPr>
          <w:rFonts w:ascii="Amasis MT Pro" w:eastAsia="Arial" w:hAnsi="Amasis MT Pro" w:cs="Arial"/>
          <w:color w:val="1C1C1E"/>
        </w:rPr>
        <w:t xml:space="preserve"> exchange. No platform currently offers one.</w:t>
      </w:r>
    </w:p>
    <w:p w14:paraId="7FA5F946" w14:textId="260ABB3A"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Twinlytics makes that offer.</w:t>
      </w:r>
    </w:p>
    <w:p w14:paraId="1D58F09D" w14:textId="77777777" w:rsidR="00620B9E" w:rsidRPr="008440CF" w:rsidRDefault="00620B9E" w:rsidP="00A4621E">
      <w:pPr>
        <w:pStyle w:val="Heading1"/>
        <w:jc w:val="both"/>
        <w:rPr>
          <w:rFonts w:ascii="Amasis MT Pro" w:hAnsi="Amasis MT Pro"/>
          <w:sz w:val="20"/>
          <w:szCs w:val="20"/>
        </w:rPr>
      </w:pPr>
      <w:r w:rsidRPr="008440CF">
        <w:rPr>
          <w:rFonts w:ascii="Amasis MT Pro" w:eastAsia="Arial" w:hAnsi="Amasis MT Pro" w:cs="Arial"/>
          <w:b/>
          <w:bCs/>
          <w:color w:val="000000"/>
          <w:sz w:val="20"/>
          <w:szCs w:val="20"/>
        </w:rPr>
        <w:t>2. The Solution: Twinlytics Platform</w:t>
      </w:r>
    </w:p>
    <w:p w14:paraId="1B3D7D06" w14:textId="2B3F9EDA"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Twinlytics is a two-sided marketplace. On one side are individual users who build and own digital twins of themselves. On the other side are businesses, researchers, and government agencies who pay to query those twins for insights. The platform sits between the two, managing matching, simulation, privacy enforcement, and fair compensation.</w:t>
      </w:r>
    </w:p>
    <w:p w14:paraId="20F21371" w14:textId="77777777" w:rsidR="00620B9E" w:rsidRPr="008440CF" w:rsidRDefault="00620B9E" w:rsidP="00A4621E">
      <w:pPr>
        <w:pStyle w:val="Heading2"/>
        <w:jc w:val="both"/>
        <w:rPr>
          <w:rFonts w:ascii="Amasis MT Pro" w:hAnsi="Amasis MT Pro"/>
          <w:sz w:val="20"/>
          <w:szCs w:val="20"/>
        </w:rPr>
      </w:pPr>
      <w:r w:rsidRPr="008440CF">
        <w:rPr>
          <w:rFonts w:ascii="Amasis MT Pro" w:eastAsia="Arial" w:hAnsi="Amasis MT Pro" w:cs="Arial"/>
          <w:b/>
          <w:bCs/>
          <w:color w:val="1C1C1E"/>
          <w:sz w:val="20"/>
          <w:szCs w:val="20"/>
        </w:rPr>
        <w:t>2.1 How the Platform Works</w:t>
      </w:r>
    </w:p>
    <w:p w14:paraId="01E09BBD" w14:textId="77777777" w:rsidR="00620B9E" w:rsidRPr="008440CF" w:rsidRDefault="00620B9E" w:rsidP="00A4621E">
      <w:pPr>
        <w:pStyle w:val="Heading3"/>
        <w:jc w:val="both"/>
        <w:rPr>
          <w:rFonts w:ascii="Amasis MT Pro" w:hAnsi="Amasis MT Pro"/>
          <w:sz w:val="20"/>
          <w:szCs w:val="20"/>
        </w:rPr>
      </w:pPr>
      <w:r w:rsidRPr="008440CF">
        <w:rPr>
          <w:rFonts w:ascii="Amasis MT Pro" w:eastAsia="Arial" w:hAnsi="Amasis MT Pro" w:cs="Arial"/>
          <w:b/>
          <w:bCs/>
          <w:color w:val="4A4A4A"/>
          <w:sz w:val="20"/>
          <w:szCs w:val="20"/>
        </w:rPr>
        <w:t>For Users: Building Your Twin</w:t>
      </w:r>
    </w:p>
    <w:p w14:paraId="0038B64F" w14:textId="37DC4EB0"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 xml:space="preserve">Users join Twinlytics by completing an onboarding flow that captures their personality, values, preferences, and beliefs. After that, they contribute through a structured diary system that includes daily text entries, voice notes, photo tags, quick opinion prompts, and structured challenges such as rating a product concept or reacting to a policy scenario. Every input is voluntary, </w:t>
      </w:r>
      <w:r w:rsidR="00903199" w:rsidRPr="008440CF">
        <w:rPr>
          <w:rFonts w:ascii="Amasis MT Pro" w:hAnsi="Amasis MT Pro"/>
        </w:rPr>
        <w:t>time-stamped</w:t>
      </w:r>
      <w:r w:rsidRPr="008440CF">
        <w:rPr>
          <w:rFonts w:ascii="Amasis MT Pro" w:eastAsia="Arial" w:hAnsi="Amasis MT Pro" w:cs="Arial"/>
          <w:color w:val="1C1C1E"/>
        </w:rPr>
        <w:t>, and tagged for context.</w:t>
      </w:r>
    </w:p>
    <w:p w14:paraId="77671D51" w14:textId="5548A51C" w:rsidR="00EB1439" w:rsidRPr="008440CF" w:rsidRDefault="00EB1439" w:rsidP="00A4621E">
      <w:pPr>
        <w:spacing w:after="140"/>
        <w:jc w:val="both"/>
        <w:rPr>
          <w:rFonts w:ascii="Amasis MT Pro" w:eastAsia="Arial" w:hAnsi="Amasis MT Pro" w:cs="Arial"/>
          <w:color w:val="1C1C1E"/>
        </w:rPr>
      </w:pPr>
      <w:r w:rsidRPr="008440CF">
        <w:rPr>
          <w:rFonts w:ascii="Amasis MT Pro" w:eastAsia="Arial" w:hAnsi="Amasis MT Pro" w:cs="Arial"/>
          <w:color w:val="1C1C1E"/>
        </w:rPr>
        <w:t xml:space="preserve">Over weeks and months, these entries are processed by a large language </w:t>
      </w:r>
      <w:r w:rsidR="00964F4A" w:rsidRPr="008440CF">
        <w:rPr>
          <w:rFonts w:ascii="Amasis MT Pro" w:eastAsia="Arial" w:hAnsi="Amasis MT Pro" w:cs="Arial"/>
          <w:color w:val="1C1C1E"/>
        </w:rPr>
        <w:t>model</w:t>
      </w:r>
      <w:r w:rsidRPr="008440CF">
        <w:rPr>
          <w:rFonts w:ascii="Amasis MT Pro" w:eastAsia="Arial" w:hAnsi="Amasis MT Pro" w:cs="Arial"/>
          <w:color w:val="1C1C1E"/>
        </w:rPr>
        <w:t xml:space="preserve"> combined with a Retrieval Augmented Generation (RAG) system [R11]. The system does not only retrieve relevant diary entries for each incoming query. It also processes longitudinal behavioural data to infer behavioural patterns, preference structures, and recurring decision-making styles. These inferred patterns are combined with the user's persistent profile to produce a contextually </w:t>
      </w:r>
      <w:r w:rsidR="00FC1F99" w:rsidRPr="008440CF">
        <w:rPr>
          <w:rFonts w:ascii="Amasis MT Pro" w:eastAsia="Arial" w:hAnsi="Amasis MT Pro" w:cs="Arial"/>
          <w:color w:val="1C1C1E"/>
        </w:rPr>
        <w:t>correct</w:t>
      </w:r>
      <w:r w:rsidRPr="008440CF">
        <w:rPr>
          <w:rFonts w:ascii="Amasis MT Pro" w:eastAsia="Arial" w:hAnsi="Amasis MT Pro" w:cs="Arial"/>
          <w:color w:val="1C1C1E"/>
        </w:rPr>
        <w:t xml:space="preserve"> simulation of that person's likely response. To support more realistic decision simulation in complex scenarios, the architecture can use multi-agent orchestration and structured stepwise reasoning workflows that approximate how humans compare options, weigh trade-offs, and arrive at decisions. Research and industry guidance on agentic AI </w:t>
      </w:r>
      <w:r w:rsidR="00640944" w:rsidRPr="008440CF">
        <w:rPr>
          <w:rFonts w:ascii="Amasis MT Pro" w:eastAsia="Arial" w:hAnsi="Amasis MT Pro" w:cs="Arial"/>
          <w:color w:val="1C1C1E"/>
        </w:rPr>
        <w:t>emphasize</w:t>
      </w:r>
      <w:r w:rsidRPr="008440CF">
        <w:rPr>
          <w:rFonts w:ascii="Amasis MT Pro" w:eastAsia="Arial" w:hAnsi="Amasis MT Pro" w:cs="Arial"/>
          <w:color w:val="1C1C1E"/>
        </w:rPr>
        <w:t xml:space="preserve"> narrow specialist agents, orchestration, and human oversight for reliable multi-step reasoning systems, while recent work on chain-of-thought also shows the importance of using such reasoning carefully and not treating internal traces as literal explanations of cognition. This framing keeps the twin grounded in behavioural evidence while improving its ability to mimic the user's likely thinking and choices over time.</w:t>
      </w:r>
    </w:p>
    <w:p w14:paraId="1CFFA162" w14:textId="2CF4F5D6"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 xml:space="preserve">Users can view a real-time Privacy Heat Map showing which parts of their profile are active, who has queried their twin, and for what </w:t>
      </w:r>
      <w:r w:rsidR="00FC1F99" w:rsidRPr="008440CF">
        <w:rPr>
          <w:rFonts w:ascii="Amasis MT Pro" w:eastAsia="Arial" w:hAnsi="Amasis MT Pro" w:cs="Arial"/>
          <w:color w:val="1C1C1E"/>
        </w:rPr>
        <w:t>said</w:t>
      </w:r>
      <w:r w:rsidRPr="008440CF">
        <w:rPr>
          <w:rFonts w:ascii="Amasis MT Pro" w:eastAsia="Arial" w:hAnsi="Amasis MT Pro" w:cs="Arial"/>
          <w:color w:val="1C1C1E"/>
        </w:rPr>
        <w:t xml:space="preserve"> purpose. A Master Kill Switch allows immediate and permanent deletion of all data at any time. At any point, a user can expand or restrict what their twin is used for.</w:t>
      </w:r>
    </w:p>
    <w:p w14:paraId="15DEF416" w14:textId="77777777" w:rsidR="00620B9E" w:rsidRPr="008440CF" w:rsidRDefault="00620B9E" w:rsidP="00A4621E">
      <w:pPr>
        <w:pStyle w:val="Heading3"/>
        <w:jc w:val="both"/>
        <w:rPr>
          <w:rFonts w:ascii="Amasis MT Pro" w:hAnsi="Amasis MT Pro"/>
          <w:sz w:val="20"/>
          <w:szCs w:val="20"/>
        </w:rPr>
      </w:pPr>
      <w:r w:rsidRPr="008440CF">
        <w:rPr>
          <w:rFonts w:ascii="Amasis MT Pro" w:eastAsia="Arial" w:hAnsi="Amasis MT Pro" w:cs="Arial"/>
          <w:b/>
          <w:bCs/>
          <w:color w:val="4A4A4A"/>
          <w:sz w:val="20"/>
          <w:szCs w:val="20"/>
        </w:rPr>
        <w:t>For Businesses: Running Simulations</w:t>
      </w:r>
    </w:p>
    <w:p w14:paraId="239DB163" w14:textId="2C62E336"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 xml:space="preserve">A startup wants to </w:t>
      </w:r>
      <w:r w:rsidR="00FC1F99" w:rsidRPr="008440CF">
        <w:rPr>
          <w:rFonts w:ascii="Amasis MT Pro" w:eastAsia="Arial" w:hAnsi="Amasis MT Pro" w:cs="Arial"/>
          <w:color w:val="1C1C1E"/>
        </w:rPr>
        <w:t>confirm</w:t>
      </w:r>
      <w:r w:rsidRPr="008440CF">
        <w:rPr>
          <w:rFonts w:ascii="Amasis MT Pro" w:eastAsia="Arial" w:hAnsi="Amasis MT Pro" w:cs="Arial"/>
          <w:color w:val="1C1C1E"/>
        </w:rPr>
        <w:t xml:space="preserve"> a product idea with urban professionals aged 25 to 40 in Germany. Instead of spending three weeks and EUR 15,000 on a focus group, they open the Twinlytics dashboard, select a segment of 500 qualifying twins, </w:t>
      </w:r>
      <w:r w:rsidR="00856A17" w:rsidRPr="008440CF">
        <w:rPr>
          <w:rFonts w:ascii="Amasis MT Pro" w:eastAsia="Arial" w:hAnsi="Amasis MT Pro" w:cs="Arial"/>
          <w:color w:val="1C1C1E"/>
        </w:rPr>
        <w:t>author</w:t>
      </w:r>
      <w:r w:rsidRPr="008440CF">
        <w:rPr>
          <w:rFonts w:ascii="Amasis MT Pro" w:eastAsia="Arial" w:hAnsi="Amasis MT Pro" w:cs="Arial"/>
          <w:color w:val="1C1C1E"/>
        </w:rPr>
        <w:t xml:space="preserve"> their research scenario, and receive aggregated results within hours. The simulation shows not only what those people would likely say, but also why, based on their logged preferences and behavioural history.</w:t>
      </w:r>
    </w:p>
    <w:p w14:paraId="7DB1EA8B" w14:textId="37159671" w:rsidR="00620B9E" w:rsidRPr="008440CF" w:rsidRDefault="00620B9E" w:rsidP="00A4621E">
      <w:pPr>
        <w:spacing w:after="140"/>
        <w:jc w:val="both"/>
        <w:rPr>
          <w:rFonts w:ascii="Amasis MT Pro" w:eastAsia="Arial" w:hAnsi="Amasis MT Pro" w:cs="Arial"/>
          <w:color w:val="1C1C1E"/>
        </w:rPr>
      </w:pPr>
      <w:r w:rsidRPr="008440CF">
        <w:rPr>
          <w:rFonts w:ascii="Amasis MT Pro" w:eastAsia="Arial" w:hAnsi="Amasis MT Pro" w:cs="Arial"/>
          <w:color w:val="1C1C1E"/>
        </w:rPr>
        <w:t xml:space="preserve">Enterprise clients can access the platform via a subscription or API, integrating Twinlytics simulations into existing product development and marketing workflows. The platform also offers enterprise APIs for integration with WhatsApp, Instagram, and Telegram. As NNGroup notes, digital twins can be used for predicting population-level trends by aggregating individual </w:t>
      </w:r>
      <w:r w:rsidR="00640944" w:rsidRPr="008440CF">
        <w:rPr>
          <w:rFonts w:ascii="Amasis MT Pro" w:eastAsia="Arial" w:hAnsi="Amasis MT Pro" w:cs="Arial"/>
          <w:color w:val="1C1C1E"/>
        </w:rPr>
        <w:t>behaviors</w:t>
      </w:r>
      <w:r w:rsidRPr="008440CF">
        <w:rPr>
          <w:rFonts w:ascii="Amasis MT Pro" w:eastAsia="Arial" w:hAnsi="Amasis MT Pro" w:cs="Arial"/>
          <w:color w:val="1C1C1E"/>
        </w:rPr>
        <w:t xml:space="preserve"> [R11]. All outputs carry validation certificates showing the accuracy and confidence level of the simulation against the underlying behavioural data.</w:t>
      </w:r>
    </w:p>
    <w:p w14:paraId="0E8323F3" w14:textId="77777777" w:rsidR="00AC1547" w:rsidRPr="008440CF" w:rsidRDefault="00AC1547" w:rsidP="00A4621E">
      <w:pPr>
        <w:spacing w:after="140"/>
        <w:jc w:val="both"/>
        <w:rPr>
          <w:rFonts w:ascii="Amasis MT Pro" w:hAnsi="Amasis MT Pro"/>
        </w:rPr>
      </w:pPr>
    </w:p>
    <w:p w14:paraId="2D7FDFB1" w14:textId="77777777" w:rsidR="00620B9E" w:rsidRPr="008440CF" w:rsidRDefault="00620B9E" w:rsidP="00A4621E">
      <w:pPr>
        <w:pStyle w:val="Heading2"/>
        <w:jc w:val="both"/>
        <w:rPr>
          <w:rFonts w:ascii="Amasis MT Pro" w:hAnsi="Amasis MT Pro"/>
          <w:sz w:val="20"/>
          <w:szCs w:val="20"/>
        </w:rPr>
      </w:pPr>
      <w:r w:rsidRPr="008440CF">
        <w:rPr>
          <w:rFonts w:ascii="Amasis MT Pro" w:eastAsia="Arial" w:hAnsi="Amasis MT Pro" w:cs="Arial"/>
          <w:b/>
          <w:bCs/>
          <w:color w:val="1C1C1E"/>
          <w:sz w:val="20"/>
          <w:szCs w:val="20"/>
        </w:rPr>
        <w:lastRenderedPageBreak/>
        <w:t>2.2 Two Real-World Scenarios</w:t>
      </w:r>
    </w:p>
    <w:p w14:paraId="1DB55342" w14:textId="77777777" w:rsidR="00620B9E" w:rsidRPr="008440CF" w:rsidRDefault="00620B9E" w:rsidP="00A4621E">
      <w:pPr>
        <w:pStyle w:val="Heading3"/>
        <w:jc w:val="both"/>
        <w:rPr>
          <w:rFonts w:ascii="Amasis MT Pro" w:hAnsi="Amasis MT Pro"/>
          <w:sz w:val="20"/>
          <w:szCs w:val="20"/>
        </w:rPr>
      </w:pPr>
      <w:r w:rsidRPr="008440CF">
        <w:rPr>
          <w:rFonts w:ascii="Amasis MT Pro" w:eastAsia="Arial" w:hAnsi="Amasis MT Pro" w:cs="Arial"/>
          <w:b/>
          <w:bCs/>
          <w:color w:val="4A4A4A"/>
          <w:sz w:val="20"/>
          <w:szCs w:val="20"/>
        </w:rPr>
        <w:t>Scenario A: Alice and the Daily Diary</w:t>
      </w:r>
    </w:p>
    <w:p w14:paraId="6CFD4751" w14:textId="44649068"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Alice installs the Twinlytics app and completes the onboarding by answering personality questions. Each morning, she records voice notes or short text entries in response to the Digital Reflection Challenges, for example, "Describe your commute mood" or "Rate this product concept." She uses the Personalized Focus Tools, a calming audio track and guided prompts, to help her concentrate and produce thoughtful entries. Each entry is automatically tagged and added to her profile.</w:t>
      </w:r>
    </w:p>
    <w:p w14:paraId="359B60DD" w14:textId="38331009"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 xml:space="preserve">Over a few weeks, the AI Personality Builder refines Alice's digital twin to better reflect her style, preferences, and beliefs. Alice earns points on her </w:t>
      </w:r>
      <w:r w:rsidR="008252DD" w:rsidRPr="008440CF">
        <w:rPr>
          <w:rFonts w:ascii="Amasis MT Pro" w:eastAsia="Arial" w:hAnsi="Amasis MT Pro" w:cs="Arial"/>
          <w:color w:val="1C1C1E"/>
        </w:rPr>
        <w:t>Twin Rewards</w:t>
      </w:r>
      <w:r w:rsidRPr="008440CF">
        <w:rPr>
          <w:rFonts w:ascii="Amasis MT Pro" w:eastAsia="Arial" w:hAnsi="Amasis MT Pro" w:cs="Arial"/>
          <w:color w:val="1C1C1E"/>
        </w:rPr>
        <w:t xml:space="preserve"> Card for every entry and challenge she completes. She checks the Local Pulse Map to see how sentiment in her city compares to her own, and she connects with a </w:t>
      </w:r>
      <w:r w:rsidR="008252DD" w:rsidRPr="008440CF">
        <w:rPr>
          <w:rFonts w:ascii="Amasis MT Pro" w:eastAsia="Arial" w:hAnsi="Amasis MT Pro" w:cs="Arial"/>
          <w:color w:val="1C1C1E"/>
        </w:rPr>
        <w:t>Twin Match</w:t>
      </w:r>
      <w:r w:rsidRPr="008440CF">
        <w:rPr>
          <w:rFonts w:ascii="Amasis MT Pro" w:eastAsia="Arial" w:hAnsi="Amasis MT Pro" w:cs="Arial"/>
          <w:color w:val="1C1C1E"/>
        </w:rPr>
        <w:t xml:space="preserve"> peer who </w:t>
      </w:r>
      <w:r w:rsidR="00E84667" w:rsidRPr="008440CF">
        <w:rPr>
          <w:rFonts w:ascii="Amasis MT Pro" w:eastAsia="Arial" w:hAnsi="Amasis MT Pro" w:cs="Arial"/>
          <w:color w:val="1C1C1E"/>
        </w:rPr>
        <w:t>shares</w:t>
      </w:r>
      <w:r w:rsidRPr="008440CF">
        <w:rPr>
          <w:rFonts w:ascii="Amasis MT Pro" w:eastAsia="Arial" w:hAnsi="Amasis MT Pro" w:cs="Arial"/>
          <w:color w:val="1C1C1E"/>
        </w:rPr>
        <w:t xml:space="preserve"> similar responses. Each entry updates Alice's twin in real time to reflect her current views and experiences [R28].</w:t>
      </w:r>
    </w:p>
    <w:p w14:paraId="24DFC52B" w14:textId="77777777" w:rsidR="00620B9E" w:rsidRPr="008440CF" w:rsidRDefault="00620B9E" w:rsidP="00A4621E">
      <w:pPr>
        <w:pStyle w:val="Heading3"/>
        <w:jc w:val="both"/>
        <w:rPr>
          <w:rFonts w:ascii="Amasis MT Pro" w:hAnsi="Amasis MT Pro"/>
          <w:sz w:val="20"/>
          <w:szCs w:val="20"/>
        </w:rPr>
      </w:pPr>
      <w:r w:rsidRPr="008440CF">
        <w:rPr>
          <w:rFonts w:ascii="Amasis MT Pro" w:eastAsia="Arial" w:hAnsi="Amasis MT Pro" w:cs="Arial"/>
          <w:b/>
          <w:bCs/>
          <w:color w:val="4A4A4A"/>
          <w:sz w:val="20"/>
          <w:szCs w:val="20"/>
        </w:rPr>
        <w:t>Scenario B: Brand Simulation for a Startup</w:t>
      </w:r>
    </w:p>
    <w:p w14:paraId="706E37A9" w14:textId="546C3BAF"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A consumer startup wants to test two advertising concepts with urban millennials before investing in a campaign. Instead of recruiting a focus group, they run a simulation across 200 twins in the 20-to-30 age segment. Each twin, including one modelled on a user named Bob, is asked to evaluate the two ad versions. The AI model predicts Bob's responses based on his diary history and preference profile. Responses are aggregated across all 200 twins, and the startup learns within hours which concept resonates and why. The process can be repeated with different scenarios in the same afternoon. As NewtonX notes, AI-driven simulations break the research bottleneck and turn testing into a continuous, agile cycle [R7]. The company pays only for the simulations it runs; users earn rewards based on how often their twin is queried.</w:t>
      </w:r>
    </w:p>
    <w:p w14:paraId="4F5A30ED" w14:textId="77777777" w:rsidR="00620B9E" w:rsidRPr="008440CF" w:rsidRDefault="00620B9E" w:rsidP="00A4621E">
      <w:pPr>
        <w:pStyle w:val="Heading2"/>
        <w:jc w:val="both"/>
        <w:rPr>
          <w:rFonts w:ascii="Amasis MT Pro" w:hAnsi="Amasis MT Pro"/>
          <w:sz w:val="20"/>
          <w:szCs w:val="20"/>
        </w:rPr>
      </w:pPr>
      <w:r w:rsidRPr="008440CF">
        <w:rPr>
          <w:rFonts w:ascii="Amasis MT Pro" w:eastAsia="Arial" w:hAnsi="Amasis MT Pro" w:cs="Arial"/>
          <w:b/>
          <w:bCs/>
          <w:color w:val="1C1C1E"/>
          <w:sz w:val="20"/>
          <w:szCs w:val="20"/>
        </w:rPr>
        <w:t>2.3 Fair Trade Data</w:t>
      </w:r>
    </w:p>
    <w:p w14:paraId="5C014B2B" w14:textId="4200CD1D"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 xml:space="preserve">Users receive approximately </w:t>
      </w:r>
      <w:r w:rsidR="00E051E1" w:rsidRPr="008440CF">
        <w:rPr>
          <w:rFonts w:ascii="Amasis MT Pro" w:eastAsia="Arial" w:hAnsi="Amasis MT Pro" w:cs="Arial"/>
          <w:color w:val="1C1C1E"/>
        </w:rPr>
        <w:t xml:space="preserve">~ </w:t>
      </w:r>
      <w:commentRangeStart w:id="0"/>
      <w:r w:rsidR="00E051E1" w:rsidRPr="008440CF">
        <w:rPr>
          <w:rFonts w:ascii="Amasis MT Pro" w:eastAsia="Arial" w:hAnsi="Amasis MT Pro" w:cs="Arial"/>
          <w:color w:val="1C1C1E"/>
        </w:rPr>
        <w:t>xx</w:t>
      </w:r>
      <w:commentRangeEnd w:id="0"/>
      <w:r w:rsidR="00A4621E" w:rsidRPr="008440CF">
        <w:rPr>
          <w:rStyle w:val="CommentReference"/>
          <w:rFonts w:ascii="Amasis MT Pro" w:eastAsia="Arial" w:hAnsi="Amasis MT Pro" w:cs="Arial"/>
          <w:color w:val="1C1C1E"/>
          <w:sz w:val="20"/>
          <w:szCs w:val="20"/>
        </w:rPr>
        <w:commentReference w:id="0"/>
      </w:r>
      <w:r w:rsidR="00E051E1" w:rsidRPr="008440CF">
        <w:rPr>
          <w:rFonts w:ascii="Amasis MT Pro" w:eastAsia="Arial" w:hAnsi="Amasis MT Pro" w:cs="Arial"/>
          <w:color w:val="1C1C1E"/>
        </w:rPr>
        <w:t xml:space="preserve"> </w:t>
      </w:r>
      <w:r w:rsidRPr="008440CF">
        <w:rPr>
          <w:rFonts w:ascii="Amasis MT Pro" w:eastAsia="Arial" w:hAnsi="Amasis MT Pro" w:cs="Arial"/>
          <w:color w:val="1C1C1E"/>
        </w:rPr>
        <w:t xml:space="preserve">% of every transaction involving their twin. If a twin is queried </w:t>
      </w:r>
      <w:r w:rsidR="00FC1F99" w:rsidRPr="008440CF">
        <w:rPr>
          <w:rFonts w:ascii="Amasis MT Pro" w:eastAsia="Arial" w:hAnsi="Amasis MT Pro" w:cs="Arial"/>
          <w:color w:val="1C1C1E"/>
        </w:rPr>
        <w:t>often</w:t>
      </w:r>
      <w:r w:rsidRPr="008440CF">
        <w:rPr>
          <w:rFonts w:ascii="Amasis MT Pro" w:eastAsia="Arial" w:hAnsi="Amasis MT Pro" w:cs="Arial"/>
          <w:color w:val="1C1C1E"/>
        </w:rPr>
        <w:t xml:space="preserve"> because that user </w:t>
      </w:r>
      <w:r w:rsidR="00856A17" w:rsidRPr="008440CF">
        <w:rPr>
          <w:rFonts w:ascii="Amasis MT Pro" w:eastAsia="Arial" w:hAnsi="Amasis MT Pro" w:cs="Arial"/>
          <w:color w:val="1C1C1E"/>
        </w:rPr>
        <w:t>stands for</w:t>
      </w:r>
      <w:r w:rsidRPr="008440CF">
        <w:rPr>
          <w:rFonts w:ascii="Amasis MT Pro" w:eastAsia="Arial" w:hAnsi="Amasis MT Pro" w:cs="Arial"/>
          <w:color w:val="1C1C1E"/>
        </w:rPr>
        <w:t xml:space="preserve"> a sought-after demographic, such as an early technology adopter or a healthcare decision-maker, they earn more. Compensation is proportional to demand and fully transparent.</w:t>
      </w:r>
    </w:p>
    <w:p w14:paraId="78CD32AF" w14:textId="4E7DD954"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 xml:space="preserve">Rewards are paid through the </w:t>
      </w:r>
      <w:r w:rsidR="008252DD" w:rsidRPr="008440CF">
        <w:rPr>
          <w:rFonts w:ascii="Amasis MT Pro" w:eastAsia="Arial" w:hAnsi="Amasis MT Pro" w:cs="Arial"/>
          <w:color w:val="1C1C1E"/>
        </w:rPr>
        <w:t>Twin Rewards</w:t>
      </w:r>
      <w:r w:rsidRPr="008440CF">
        <w:rPr>
          <w:rFonts w:ascii="Amasis MT Pro" w:eastAsia="Arial" w:hAnsi="Amasis MT Pro" w:cs="Arial"/>
          <w:color w:val="1C1C1E"/>
        </w:rPr>
        <w:t xml:space="preserve"> Card</w:t>
      </w:r>
      <w:r w:rsidR="00842A4D" w:rsidRPr="008440CF">
        <w:rPr>
          <w:rFonts w:ascii="Amasis MT Pro" w:eastAsia="Arial" w:hAnsi="Amasis MT Pro" w:cs="Arial"/>
          <w:color w:val="1C1C1E"/>
        </w:rPr>
        <w:t xml:space="preserve"> and/or credit score</w:t>
      </w:r>
      <w:r w:rsidRPr="008440CF">
        <w:rPr>
          <w:rFonts w:ascii="Amasis MT Pro" w:eastAsia="Arial" w:hAnsi="Amasis MT Pro" w:cs="Arial"/>
          <w:color w:val="1C1C1E"/>
        </w:rPr>
        <w:t>, a digital reward account that users can convert to cash, spend as discounts, or donate to a cause. This creates a direct and visible link between data contribution and economic benefit. No existing platform offers this combination.</w:t>
      </w:r>
    </w:p>
    <w:p w14:paraId="731E6D11" w14:textId="77777777" w:rsidR="00620B9E" w:rsidRPr="008440CF" w:rsidRDefault="00620B9E" w:rsidP="00A4621E">
      <w:pPr>
        <w:pStyle w:val="Heading2"/>
        <w:jc w:val="both"/>
        <w:rPr>
          <w:rFonts w:ascii="Amasis MT Pro" w:hAnsi="Amasis MT Pro"/>
          <w:sz w:val="20"/>
          <w:szCs w:val="20"/>
        </w:rPr>
      </w:pPr>
      <w:r w:rsidRPr="008440CF">
        <w:rPr>
          <w:rFonts w:ascii="Amasis MT Pro" w:eastAsia="Arial" w:hAnsi="Amasis MT Pro" w:cs="Arial"/>
          <w:b/>
          <w:bCs/>
          <w:color w:val="1C1C1E"/>
          <w:sz w:val="20"/>
          <w:szCs w:val="20"/>
        </w:rPr>
        <w:t>2.4 Key Platform Features</w:t>
      </w:r>
    </w:p>
    <w:p w14:paraId="714B0B00" w14:textId="4C8DE70D" w:rsidR="00620B9E" w:rsidRPr="008440CF" w:rsidRDefault="00620B9E" w:rsidP="00A4621E">
      <w:pPr>
        <w:pStyle w:val="ListParagraph"/>
        <w:numPr>
          <w:ilvl w:val="0"/>
          <w:numId w:val="2"/>
        </w:numPr>
        <w:spacing w:after="100"/>
        <w:jc w:val="both"/>
        <w:rPr>
          <w:rFonts w:ascii="Amasis MT Pro" w:hAnsi="Amasis MT Pro"/>
        </w:rPr>
      </w:pPr>
      <w:r w:rsidRPr="008440CF">
        <w:rPr>
          <w:rFonts w:ascii="Amasis MT Pro" w:eastAsia="Arial" w:hAnsi="Amasis MT Pro" w:cs="Arial"/>
          <w:color w:val="1C1C1E"/>
        </w:rPr>
        <w:t xml:space="preserve">Digital Reflection Challenges: structured daily prompts that encourage regular, contextually rich journal </w:t>
      </w:r>
      <w:r w:rsidR="008252DD" w:rsidRPr="008440CF">
        <w:rPr>
          <w:rFonts w:ascii="Amasis MT Pro" w:eastAsia="Arial" w:hAnsi="Amasis MT Pro" w:cs="Arial"/>
          <w:color w:val="1C1C1E"/>
        </w:rPr>
        <w:t>entries.</w:t>
      </w:r>
    </w:p>
    <w:p w14:paraId="66F1F981" w14:textId="7D0A275A" w:rsidR="00620B9E" w:rsidRPr="008440CF" w:rsidRDefault="00620B9E" w:rsidP="00A4621E">
      <w:pPr>
        <w:pStyle w:val="ListParagraph"/>
        <w:numPr>
          <w:ilvl w:val="0"/>
          <w:numId w:val="2"/>
        </w:numPr>
        <w:spacing w:after="100"/>
        <w:jc w:val="both"/>
        <w:rPr>
          <w:rFonts w:ascii="Amasis MT Pro" w:hAnsi="Amasis MT Pro"/>
        </w:rPr>
      </w:pPr>
      <w:r w:rsidRPr="008440CF">
        <w:rPr>
          <w:rFonts w:ascii="Amasis MT Pro" w:eastAsia="Arial" w:hAnsi="Amasis MT Pro" w:cs="Arial"/>
          <w:color w:val="1C1C1E"/>
        </w:rPr>
        <w:t xml:space="preserve">Twin Personality Builder: a guided tool helping users articulate their values, decision-making styles, and personal context for more </w:t>
      </w:r>
      <w:r w:rsidR="00350524" w:rsidRPr="008440CF">
        <w:rPr>
          <w:rFonts w:ascii="Amasis MT Pro" w:eastAsia="Arial" w:hAnsi="Amasis MT Pro" w:cs="Arial"/>
          <w:color w:val="1C1C1E"/>
        </w:rPr>
        <w:t>right</w:t>
      </w:r>
      <w:r w:rsidRPr="008440CF">
        <w:rPr>
          <w:rFonts w:ascii="Amasis MT Pro" w:eastAsia="Arial" w:hAnsi="Amasis MT Pro" w:cs="Arial"/>
          <w:color w:val="1C1C1E"/>
        </w:rPr>
        <w:t xml:space="preserve"> twin </w:t>
      </w:r>
      <w:r w:rsidR="008252DD" w:rsidRPr="008440CF">
        <w:rPr>
          <w:rFonts w:ascii="Amasis MT Pro" w:eastAsia="Arial" w:hAnsi="Amasis MT Pro" w:cs="Arial"/>
          <w:color w:val="1C1C1E"/>
        </w:rPr>
        <w:t>profiles.</w:t>
      </w:r>
    </w:p>
    <w:p w14:paraId="6BFDC977" w14:textId="1ADE33BD" w:rsidR="00620B9E" w:rsidRPr="008440CF" w:rsidRDefault="00620B9E" w:rsidP="00A4621E">
      <w:pPr>
        <w:pStyle w:val="ListParagraph"/>
        <w:numPr>
          <w:ilvl w:val="0"/>
          <w:numId w:val="2"/>
        </w:numPr>
        <w:spacing w:after="100"/>
        <w:jc w:val="both"/>
        <w:rPr>
          <w:rFonts w:ascii="Amasis MT Pro" w:hAnsi="Amasis MT Pro"/>
        </w:rPr>
      </w:pPr>
      <w:r w:rsidRPr="008440CF">
        <w:rPr>
          <w:rFonts w:ascii="Amasis MT Pro" w:eastAsia="Arial" w:hAnsi="Amasis MT Pro" w:cs="Arial"/>
          <w:color w:val="1C1C1E"/>
        </w:rPr>
        <w:t xml:space="preserve">Personalized Audio and Focus Tools: ambient audio and guided prompts that help users concentrate and improve the quality of their </w:t>
      </w:r>
      <w:r w:rsidR="008252DD" w:rsidRPr="008440CF">
        <w:rPr>
          <w:rFonts w:ascii="Amasis MT Pro" w:eastAsia="Arial" w:hAnsi="Amasis MT Pro" w:cs="Arial"/>
          <w:color w:val="1C1C1E"/>
        </w:rPr>
        <w:t>entries.</w:t>
      </w:r>
    </w:p>
    <w:p w14:paraId="0226C0E3" w14:textId="4E8E88BF" w:rsidR="00620B9E" w:rsidRPr="008440CF" w:rsidRDefault="00620B9E" w:rsidP="00A4621E">
      <w:pPr>
        <w:pStyle w:val="ListParagraph"/>
        <w:numPr>
          <w:ilvl w:val="0"/>
          <w:numId w:val="2"/>
        </w:numPr>
        <w:spacing w:after="100"/>
        <w:jc w:val="both"/>
        <w:rPr>
          <w:rFonts w:ascii="Amasis MT Pro" w:hAnsi="Amasis MT Pro"/>
        </w:rPr>
      </w:pPr>
      <w:r w:rsidRPr="008440CF">
        <w:rPr>
          <w:rFonts w:ascii="Amasis MT Pro" w:eastAsia="Arial" w:hAnsi="Amasis MT Pro" w:cs="Arial"/>
          <w:color w:val="1C1C1E"/>
        </w:rPr>
        <w:t xml:space="preserve">Local Pulse Maps: geographically aggregated sentiment </w:t>
      </w:r>
      <w:r w:rsidR="008252DD" w:rsidRPr="008440CF">
        <w:rPr>
          <w:rFonts w:ascii="Amasis MT Pro" w:eastAsia="Arial" w:hAnsi="Amasis MT Pro" w:cs="Arial"/>
          <w:color w:val="1C1C1E"/>
        </w:rPr>
        <w:t>visualizations</w:t>
      </w:r>
      <w:r w:rsidRPr="008440CF">
        <w:rPr>
          <w:rFonts w:ascii="Amasis MT Pro" w:eastAsia="Arial" w:hAnsi="Amasis MT Pro" w:cs="Arial"/>
          <w:color w:val="1C1C1E"/>
        </w:rPr>
        <w:t xml:space="preserve"> that connect users to broader community </w:t>
      </w:r>
      <w:r w:rsidR="00350524" w:rsidRPr="008440CF">
        <w:rPr>
          <w:rFonts w:ascii="Amasis MT Pro" w:eastAsia="Arial" w:hAnsi="Amasis MT Pro" w:cs="Arial"/>
          <w:color w:val="1C1C1E"/>
        </w:rPr>
        <w:t>trends.</w:t>
      </w:r>
    </w:p>
    <w:p w14:paraId="23C27240" w14:textId="244AAE79" w:rsidR="00620B9E" w:rsidRPr="008440CF" w:rsidRDefault="00620B9E" w:rsidP="00A4621E">
      <w:pPr>
        <w:pStyle w:val="ListParagraph"/>
        <w:numPr>
          <w:ilvl w:val="0"/>
          <w:numId w:val="2"/>
        </w:numPr>
        <w:spacing w:after="100"/>
        <w:jc w:val="both"/>
        <w:rPr>
          <w:rFonts w:ascii="Amasis MT Pro" w:hAnsi="Amasis MT Pro"/>
        </w:rPr>
      </w:pPr>
      <w:r w:rsidRPr="008440CF">
        <w:rPr>
          <w:rFonts w:ascii="Amasis MT Pro" w:eastAsia="Arial" w:hAnsi="Amasis MT Pro" w:cs="Arial"/>
          <w:color w:val="1C1C1E"/>
        </w:rPr>
        <w:t xml:space="preserve">TwinMatch: a community feature connecting users with others who share similar interests, through message boards or local </w:t>
      </w:r>
      <w:r w:rsidR="00350524" w:rsidRPr="008440CF">
        <w:rPr>
          <w:rFonts w:ascii="Amasis MT Pro" w:eastAsia="Arial" w:hAnsi="Amasis MT Pro" w:cs="Arial"/>
          <w:color w:val="1C1C1E"/>
        </w:rPr>
        <w:t>meetups.</w:t>
      </w:r>
    </w:p>
    <w:p w14:paraId="70F94D68" w14:textId="50C47AE4" w:rsidR="00620B9E" w:rsidRPr="008440CF" w:rsidRDefault="00620B9E" w:rsidP="00A4621E">
      <w:pPr>
        <w:pStyle w:val="ListParagraph"/>
        <w:numPr>
          <w:ilvl w:val="0"/>
          <w:numId w:val="2"/>
        </w:numPr>
        <w:spacing w:after="100"/>
        <w:jc w:val="both"/>
        <w:rPr>
          <w:rFonts w:ascii="Amasis MT Pro" w:hAnsi="Amasis MT Pro"/>
        </w:rPr>
      </w:pPr>
      <w:r w:rsidRPr="008440CF">
        <w:rPr>
          <w:rFonts w:ascii="Amasis MT Pro" w:eastAsia="Arial" w:hAnsi="Amasis MT Pro" w:cs="Arial"/>
          <w:color w:val="1C1C1E"/>
        </w:rPr>
        <w:t>Enterprise API: integrations for WhatsApp, Instagram, Telegram, Slack, and proprietary research platforms</w:t>
      </w:r>
    </w:p>
    <w:p w14:paraId="271B8432" w14:textId="77777777" w:rsidR="00620B9E" w:rsidRPr="008440CF" w:rsidRDefault="00620B9E" w:rsidP="00A4621E">
      <w:pPr>
        <w:pStyle w:val="Heading1"/>
        <w:jc w:val="both"/>
        <w:rPr>
          <w:rFonts w:ascii="Amasis MT Pro" w:hAnsi="Amasis MT Pro"/>
          <w:sz w:val="20"/>
          <w:szCs w:val="20"/>
        </w:rPr>
      </w:pPr>
      <w:r w:rsidRPr="008440CF">
        <w:rPr>
          <w:rFonts w:ascii="Amasis MT Pro" w:eastAsia="Arial" w:hAnsi="Amasis MT Pro" w:cs="Arial"/>
          <w:b/>
          <w:bCs/>
          <w:color w:val="000000"/>
          <w:sz w:val="20"/>
          <w:szCs w:val="20"/>
        </w:rPr>
        <w:t>3. Who We Are Solving This For</w:t>
      </w:r>
    </w:p>
    <w:p w14:paraId="75732C58" w14:textId="0D199A78"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Twinlytics serves three distinct groups. Each has a clearly defined problem, and the platform addresses each one in a specific way.</w:t>
      </w:r>
    </w:p>
    <w:p w14:paraId="5E793336" w14:textId="77777777" w:rsidR="00620B9E" w:rsidRPr="008440CF" w:rsidRDefault="00620B9E" w:rsidP="00A4621E">
      <w:pPr>
        <w:pStyle w:val="Heading2"/>
        <w:jc w:val="both"/>
        <w:rPr>
          <w:rFonts w:ascii="Amasis MT Pro" w:hAnsi="Amasis MT Pro"/>
          <w:sz w:val="20"/>
          <w:szCs w:val="20"/>
        </w:rPr>
      </w:pPr>
      <w:r w:rsidRPr="008440CF">
        <w:rPr>
          <w:rFonts w:ascii="Amasis MT Pro" w:eastAsia="Arial" w:hAnsi="Amasis MT Pro" w:cs="Arial"/>
          <w:b/>
          <w:bCs/>
          <w:color w:val="1C1C1E"/>
          <w:sz w:val="20"/>
          <w:szCs w:val="20"/>
        </w:rPr>
        <w:t>3.1 Individual Users</w:t>
      </w:r>
    </w:p>
    <w:p w14:paraId="47467903" w14:textId="1234D061"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 xml:space="preserve">These are everyday people who want to express opinions on products, media, or public policy, improve their own self-awareness, and earn rewards. This includes students, freelancers, people between jobs, and anyone who values privacy and wants more from their digital activity. The Reflection Challenges, Focus </w:t>
      </w:r>
      <w:r w:rsidRPr="008440CF">
        <w:rPr>
          <w:rFonts w:ascii="Amasis MT Pro" w:eastAsia="Arial" w:hAnsi="Amasis MT Pro" w:cs="Arial"/>
          <w:color w:val="1C1C1E"/>
        </w:rPr>
        <w:lastRenderedPageBreak/>
        <w:t>Tools, and TwinMatch features serve people who are looking for personal growth and community connection alongside financial benefit.</w:t>
      </w:r>
    </w:p>
    <w:p w14:paraId="2FE27782" w14:textId="25156263"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The economic rationale is clear. By treating behavioural data as an asset that belongs to the person who created it, the platform gives individuals a way to earn from insights they already produce. This is particularly relevant for people whose employment situation does not provide stable income, and who want an alternative to conventional gig work [R10].</w:t>
      </w:r>
    </w:p>
    <w:p w14:paraId="1E0F9277" w14:textId="77777777" w:rsidR="00620B9E" w:rsidRPr="008440CF" w:rsidRDefault="00620B9E" w:rsidP="00A4621E">
      <w:pPr>
        <w:pStyle w:val="Heading2"/>
        <w:jc w:val="both"/>
        <w:rPr>
          <w:rFonts w:ascii="Amasis MT Pro" w:hAnsi="Amasis MT Pro"/>
          <w:sz w:val="20"/>
          <w:szCs w:val="20"/>
        </w:rPr>
      </w:pPr>
      <w:r w:rsidRPr="008440CF">
        <w:rPr>
          <w:rFonts w:ascii="Amasis MT Pro" w:eastAsia="Arial" w:hAnsi="Amasis MT Pro" w:cs="Arial"/>
          <w:b/>
          <w:bCs/>
          <w:color w:val="1C1C1E"/>
          <w:sz w:val="20"/>
          <w:szCs w:val="20"/>
        </w:rPr>
        <w:t>3.2 Companies and Organisations</w:t>
      </w:r>
    </w:p>
    <w:p w14:paraId="07E573BA" w14:textId="725C5AB5"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 xml:space="preserve">Startups, brands, research firms, NGOs, and government agencies that need fast, reliable consumer insight are the paying side of the marketplace. Rather than running traditional studies, they access simulations of hundreds or thousands of digital twins. A Greenbook survey found that 67% of marketing and insights leaders are eager to apply digital twins, and their outputs are grounded in first-party data rather than extrapolated assumptions [R8]. These clients </w:t>
      </w:r>
      <w:r w:rsidR="00856A17" w:rsidRPr="008440CF">
        <w:rPr>
          <w:rFonts w:ascii="Amasis MT Pro" w:eastAsia="Arial" w:hAnsi="Amasis MT Pro" w:cs="Arial"/>
          <w:color w:val="1C1C1E"/>
        </w:rPr>
        <w:t>receive help</w:t>
      </w:r>
      <w:r w:rsidRPr="008440CF">
        <w:rPr>
          <w:rFonts w:ascii="Amasis MT Pro" w:eastAsia="Arial" w:hAnsi="Amasis MT Pro" w:cs="Arial"/>
          <w:color w:val="1C1C1E"/>
        </w:rPr>
        <w:t xml:space="preserve"> from reduced research costs, faster iteration, and data that was consciously contributed by real people.</w:t>
      </w:r>
    </w:p>
    <w:p w14:paraId="08955A6D" w14:textId="77777777" w:rsidR="00620B9E" w:rsidRPr="008440CF" w:rsidRDefault="00620B9E" w:rsidP="00A4621E">
      <w:pPr>
        <w:pStyle w:val="Heading2"/>
        <w:jc w:val="both"/>
        <w:rPr>
          <w:rFonts w:ascii="Amasis MT Pro" w:hAnsi="Amasis MT Pro"/>
          <w:sz w:val="20"/>
          <w:szCs w:val="20"/>
        </w:rPr>
      </w:pPr>
      <w:r w:rsidRPr="008440CF">
        <w:rPr>
          <w:rFonts w:ascii="Amasis MT Pro" w:eastAsia="Arial" w:hAnsi="Amasis MT Pro" w:cs="Arial"/>
          <w:b/>
          <w:bCs/>
          <w:color w:val="1C1C1E"/>
          <w:sz w:val="20"/>
          <w:szCs w:val="20"/>
        </w:rPr>
        <w:t>3.3 Communities and Local Governments</w:t>
      </w:r>
    </w:p>
    <w:p w14:paraId="68E72DBF" w14:textId="28995A2D"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 xml:space="preserve">The Local Pulse Maps feature makes the platform useful for community surveys and urban planning. A municipal agency can use it to simulate how residents might respond to a proposed policy, drawing on geographically tagged diary entries. </w:t>
      </w:r>
      <w:r w:rsidR="00A4621E" w:rsidRPr="008440CF">
        <w:rPr>
          <w:rFonts w:ascii="Amasis MT Pro" w:eastAsia="Arial" w:hAnsi="Amasis MT Pro" w:cs="Arial"/>
          <w:color w:val="1C1C1E"/>
        </w:rPr>
        <w:t>This</w:t>
      </w:r>
      <w:r w:rsidRPr="008440CF">
        <w:rPr>
          <w:rFonts w:ascii="Amasis MT Pro" w:eastAsia="Arial" w:hAnsi="Amasis MT Pro" w:cs="Arial"/>
          <w:color w:val="1C1C1E"/>
        </w:rPr>
        <w:t xml:space="preserve"> case is not well served by any existing research panel or synthetic persona provider at the community level.</w:t>
      </w:r>
    </w:p>
    <w:p w14:paraId="07D2EEDA" w14:textId="77777777" w:rsidR="00620B9E" w:rsidRPr="008440CF" w:rsidRDefault="00620B9E" w:rsidP="00A4621E">
      <w:pPr>
        <w:pStyle w:val="Heading1"/>
        <w:jc w:val="both"/>
        <w:rPr>
          <w:rFonts w:ascii="Amasis MT Pro" w:hAnsi="Amasis MT Pro"/>
          <w:sz w:val="20"/>
          <w:szCs w:val="20"/>
        </w:rPr>
      </w:pPr>
      <w:r w:rsidRPr="008440CF">
        <w:rPr>
          <w:rFonts w:ascii="Amasis MT Pro" w:eastAsia="Arial" w:hAnsi="Amasis MT Pro" w:cs="Arial"/>
          <w:b/>
          <w:bCs/>
          <w:color w:val="000000"/>
          <w:sz w:val="20"/>
          <w:szCs w:val="20"/>
        </w:rPr>
        <w:t>4. Market Opportunity</w:t>
      </w:r>
    </w:p>
    <w:p w14:paraId="27E870A6" w14:textId="1CA5FED9"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Twinlytics sits at the intersection of three growing markets: market research, digital twin technology, and synthetic data. Individually, each market is large. Together, they define the full scope of what this platform can address.</w:t>
      </w:r>
    </w:p>
    <w:p w14:paraId="1B365431" w14:textId="77777777" w:rsidR="00620B9E" w:rsidRPr="008440CF" w:rsidRDefault="00620B9E" w:rsidP="00A4621E">
      <w:pPr>
        <w:pStyle w:val="Heading2"/>
        <w:jc w:val="both"/>
        <w:rPr>
          <w:rFonts w:ascii="Amasis MT Pro" w:hAnsi="Amasis MT Pro"/>
          <w:sz w:val="20"/>
          <w:szCs w:val="20"/>
        </w:rPr>
      </w:pPr>
      <w:r w:rsidRPr="008440CF">
        <w:rPr>
          <w:rFonts w:ascii="Amasis MT Pro" w:eastAsia="Arial" w:hAnsi="Amasis MT Pro" w:cs="Arial"/>
          <w:b/>
          <w:bCs/>
          <w:color w:val="1C1C1E"/>
          <w:sz w:val="20"/>
          <w:szCs w:val="20"/>
        </w:rPr>
        <w:t>4.1 Total Addressable Market (TAM)</w:t>
      </w:r>
    </w:p>
    <w:p w14:paraId="0E48A502" w14:textId="77777777"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The TAM covers three macro segments, each of which contributes to the overall opportunity.</w:t>
      </w:r>
    </w:p>
    <w:p w14:paraId="13EF02F7" w14:textId="77777777" w:rsidR="00620B9E" w:rsidRPr="008440CF" w:rsidRDefault="00620B9E" w:rsidP="00A4621E">
      <w:pPr>
        <w:spacing w:after="80"/>
        <w:jc w:val="both"/>
        <w:rPr>
          <w:rFonts w:ascii="Amasis MT Pro" w:hAnsi="Amasis MT Pr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1701"/>
        <w:gridCol w:w="1843"/>
        <w:gridCol w:w="992"/>
        <w:gridCol w:w="2648"/>
      </w:tblGrid>
      <w:tr w:rsidR="00620B9E" w:rsidRPr="008440CF" w14:paraId="62A324D2" w14:textId="77777777" w:rsidTr="008440CF">
        <w:tc>
          <w:tcPr>
            <w:tcW w:w="1842" w:type="dxa"/>
            <w:tcBorders>
              <w:top w:val="single" w:sz="1" w:space="0" w:color="CCCCCC"/>
              <w:left w:val="single" w:sz="1" w:space="0" w:color="CCCCCC"/>
              <w:bottom w:val="single" w:sz="1" w:space="0" w:color="CCCCCC"/>
              <w:right w:val="single" w:sz="1" w:space="0" w:color="CCCCCC"/>
            </w:tcBorders>
            <w:shd w:val="clear" w:color="auto" w:fill="1C1C1E"/>
            <w:tcMar>
              <w:top w:w="100" w:type="dxa"/>
              <w:left w:w="120" w:type="dxa"/>
              <w:bottom w:w="100" w:type="dxa"/>
              <w:right w:w="120" w:type="dxa"/>
            </w:tcMar>
            <w:vAlign w:val="center"/>
          </w:tcPr>
          <w:p w14:paraId="53516AE9" w14:textId="77777777" w:rsidR="00620B9E" w:rsidRPr="008440CF" w:rsidRDefault="00620B9E" w:rsidP="00A4621E">
            <w:pPr>
              <w:jc w:val="both"/>
              <w:rPr>
                <w:rFonts w:ascii="Amasis MT Pro" w:hAnsi="Amasis MT Pro"/>
                <w:sz w:val="16"/>
                <w:szCs w:val="16"/>
              </w:rPr>
            </w:pPr>
            <w:r w:rsidRPr="008440CF">
              <w:rPr>
                <w:rFonts w:ascii="Amasis MT Pro" w:eastAsia="Arial" w:hAnsi="Amasis MT Pro" w:cs="Arial"/>
                <w:b/>
                <w:bCs/>
                <w:color w:val="FFFFFF"/>
                <w:sz w:val="16"/>
                <w:szCs w:val="16"/>
              </w:rPr>
              <w:t>Market Segment</w:t>
            </w:r>
          </w:p>
        </w:tc>
        <w:tc>
          <w:tcPr>
            <w:tcW w:w="1701" w:type="dxa"/>
            <w:tcBorders>
              <w:top w:val="single" w:sz="1" w:space="0" w:color="CCCCCC"/>
              <w:left w:val="single" w:sz="1" w:space="0" w:color="CCCCCC"/>
              <w:bottom w:val="single" w:sz="1" w:space="0" w:color="CCCCCC"/>
              <w:right w:val="single" w:sz="1" w:space="0" w:color="CCCCCC"/>
            </w:tcBorders>
            <w:shd w:val="clear" w:color="auto" w:fill="1C1C1E"/>
            <w:tcMar>
              <w:top w:w="100" w:type="dxa"/>
              <w:left w:w="120" w:type="dxa"/>
              <w:bottom w:w="100" w:type="dxa"/>
              <w:right w:w="120" w:type="dxa"/>
            </w:tcMar>
            <w:vAlign w:val="center"/>
          </w:tcPr>
          <w:p w14:paraId="757F5AC9" w14:textId="77777777" w:rsidR="00620B9E" w:rsidRPr="008440CF" w:rsidRDefault="00620B9E" w:rsidP="00A4621E">
            <w:pPr>
              <w:jc w:val="both"/>
              <w:rPr>
                <w:rFonts w:ascii="Amasis MT Pro" w:hAnsi="Amasis MT Pro"/>
                <w:sz w:val="16"/>
                <w:szCs w:val="16"/>
              </w:rPr>
            </w:pPr>
            <w:r w:rsidRPr="008440CF">
              <w:rPr>
                <w:rFonts w:ascii="Amasis MT Pro" w:eastAsia="Arial" w:hAnsi="Amasis MT Pro" w:cs="Arial"/>
                <w:b/>
                <w:bCs/>
                <w:color w:val="FFFFFF"/>
                <w:sz w:val="16"/>
                <w:szCs w:val="16"/>
              </w:rPr>
              <w:t>Current Value</w:t>
            </w:r>
          </w:p>
        </w:tc>
        <w:tc>
          <w:tcPr>
            <w:tcW w:w="1843" w:type="dxa"/>
            <w:tcBorders>
              <w:top w:val="single" w:sz="1" w:space="0" w:color="CCCCCC"/>
              <w:left w:val="single" w:sz="1" w:space="0" w:color="CCCCCC"/>
              <w:bottom w:val="single" w:sz="1" w:space="0" w:color="CCCCCC"/>
              <w:right w:val="single" w:sz="1" w:space="0" w:color="CCCCCC"/>
            </w:tcBorders>
            <w:shd w:val="clear" w:color="auto" w:fill="1C1C1E"/>
            <w:tcMar>
              <w:top w:w="100" w:type="dxa"/>
              <w:left w:w="120" w:type="dxa"/>
              <w:bottom w:w="100" w:type="dxa"/>
              <w:right w:w="120" w:type="dxa"/>
            </w:tcMar>
            <w:vAlign w:val="center"/>
          </w:tcPr>
          <w:p w14:paraId="31CAD1AC" w14:textId="77777777" w:rsidR="00620B9E" w:rsidRPr="008440CF" w:rsidRDefault="00620B9E" w:rsidP="00A4621E">
            <w:pPr>
              <w:jc w:val="both"/>
              <w:rPr>
                <w:rFonts w:ascii="Amasis MT Pro" w:hAnsi="Amasis MT Pro"/>
                <w:sz w:val="16"/>
                <w:szCs w:val="16"/>
              </w:rPr>
            </w:pPr>
            <w:r w:rsidRPr="008440CF">
              <w:rPr>
                <w:rFonts w:ascii="Amasis MT Pro" w:eastAsia="Arial" w:hAnsi="Amasis MT Pro" w:cs="Arial"/>
                <w:b/>
                <w:bCs/>
                <w:color w:val="FFFFFF"/>
                <w:sz w:val="16"/>
                <w:szCs w:val="16"/>
              </w:rPr>
              <w:t>Projected Value</w:t>
            </w:r>
          </w:p>
        </w:tc>
        <w:tc>
          <w:tcPr>
            <w:tcW w:w="992" w:type="dxa"/>
            <w:tcBorders>
              <w:top w:val="single" w:sz="1" w:space="0" w:color="CCCCCC"/>
              <w:left w:val="single" w:sz="1" w:space="0" w:color="CCCCCC"/>
              <w:bottom w:val="single" w:sz="1" w:space="0" w:color="CCCCCC"/>
              <w:right w:val="single" w:sz="1" w:space="0" w:color="CCCCCC"/>
            </w:tcBorders>
            <w:shd w:val="clear" w:color="auto" w:fill="1C1C1E"/>
            <w:tcMar>
              <w:top w:w="100" w:type="dxa"/>
              <w:left w:w="120" w:type="dxa"/>
              <w:bottom w:w="100" w:type="dxa"/>
              <w:right w:w="120" w:type="dxa"/>
            </w:tcMar>
            <w:vAlign w:val="center"/>
          </w:tcPr>
          <w:p w14:paraId="4CDA88AD" w14:textId="77777777" w:rsidR="00620B9E" w:rsidRPr="008440CF" w:rsidRDefault="00620B9E" w:rsidP="00A4621E">
            <w:pPr>
              <w:jc w:val="both"/>
              <w:rPr>
                <w:rFonts w:ascii="Amasis MT Pro" w:hAnsi="Amasis MT Pro"/>
                <w:sz w:val="16"/>
                <w:szCs w:val="16"/>
              </w:rPr>
            </w:pPr>
            <w:r w:rsidRPr="008440CF">
              <w:rPr>
                <w:rFonts w:ascii="Amasis MT Pro" w:eastAsia="Arial" w:hAnsi="Amasis MT Pro" w:cs="Arial"/>
                <w:b/>
                <w:bCs/>
                <w:color w:val="FFFFFF"/>
                <w:sz w:val="16"/>
                <w:szCs w:val="16"/>
              </w:rPr>
              <w:t>CAGR</w:t>
            </w:r>
          </w:p>
        </w:tc>
        <w:tc>
          <w:tcPr>
            <w:tcW w:w="2648" w:type="dxa"/>
            <w:tcBorders>
              <w:top w:val="single" w:sz="1" w:space="0" w:color="CCCCCC"/>
              <w:left w:val="single" w:sz="1" w:space="0" w:color="CCCCCC"/>
              <w:bottom w:val="single" w:sz="1" w:space="0" w:color="CCCCCC"/>
              <w:right w:val="single" w:sz="1" w:space="0" w:color="CCCCCC"/>
            </w:tcBorders>
            <w:shd w:val="clear" w:color="auto" w:fill="1C1C1E"/>
            <w:tcMar>
              <w:top w:w="100" w:type="dxa"/>
              <w:left w:w="120" w:type="dxa"/>
              <w:bottom w:w="100" w:type="dxa"/>
              <w:right w:w="120" w:type="dxa"/>
            </w:tcMar>
            <w:vAlign w:val="center"/>
          </w:tcPr>
          <w:p w14:paraId="76BA42D7" w14:textId="77777777" w:rsidR="00620B9E" w:rsidRPr="008440CF" w:rsidRDefault="00620B9E" w:rsidP="00A4621E">
            <w:pPr>
              <w:jc w:val="both"/>
              <w:rPr>
                <w:rFonts w:ascii="Amasis MT Pro" w:hAnsi="Amasis MT Pro"/>
                <w:sz w:val="16"/>
                <w:szCs w:val="16"/>
              </w:rPr>
            </w:pPr>
            <w:r w:rsidRPr="008440CF">
              <w:rPr>
                <w:rFonts w:ascii="Amasis MT Pro" w:eastAsia="Arial" w:hAnsi="Amasis MT Pro" w:cs="Arial"/>
                <w:b/>
                <w:bCs/>
                <w:color w:val="FFFFFF"/>
                <w:sz w:val="16"/>
                <w:szCs w:val="16"/>
              </w:rPr>
              <w:t>Notes</w:t>
            </w:r>
          </w:p>
        </w:tc>
      </w:tr>
      <w:tr w:rsidR="00620B9E" w:rsidRPr="008440CF" w14:paraId="3B7D4911" w14:textId="77777777" w:rsidTr="008440CF">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C869BA" w14:textId="77777777" w:rsidR="00620B9E" w:rsidRPr="008440CF" w:rsidRDefault="00620B9E" w:rsidP="00A4621E">
            <w:pPr>
              <w:jc w:val="both"/>
              <w:rPr>
                <w:rFonts w:ascii="Amasis MT Pro" w:hAnsi="Amasis MT Pro"/>
                <w:sz w:val="16"/>
                <w:szCs w:val="16"/>
              </w:rPr>
            </w:pPr>
            <w:r w:rsidRPr="008440CF">
              <w:rPr>
                <w:rFonts w:ascii="Amasis MT Pro" w:eastAsia="Arial" w:hAnsi="Amasis MT Pro" w:cs="Arial"/>
                <w:color w:val="1C1C1E"/>
                <w:sz w:val="16"/>
                <w:szCs w:val="16"/>
              </w:rPr>
              <w:t>Global Market Research Services</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8CCB74" w14:textId="77777777" w:rsidR="00620B9E" w:rsidRPr="008440CF" w:rsidRDefault="00620B9E" w:rsidP="00A4621E">
            <w:pPr>
              <w:jc w:val="both"/>
              <w:rPr>
                <w:rFonts w:ascii="Amasis MT Pro" w:hAnsi="Amasis MT Pro"/>
                <w:sz w:val="16"/>
                <w:szCs w:val="16"/>
              </w:rPr>
            </w:pPr>
            <w:r w:rsidRPr="008440CF">
              <w:rPr>
                <w:rFonts w:ascii="Amasis MT Pro" w:eastAsia="Arial" w:hAnsi="Amasis MT Pro" w:cs="Arial"/>
                <w:color w:val="1C1C1E"/>
                <w:sz w:val="16"/>
                <w:szCs w:val="16"/>
              </w:rPr>
              <w:t>EUR 89.6B (2026)</w:t>
            </w:r>
          </w:p>
        </w:tc>
        <w:tc>
          <w:tcPr>
            <w:tcW w:w="18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65F48A" w14:textId="77777777" w:rsidR="00620B9E" w:rsidRPr="008440CF" w:rsidRDefault="00620B9E" w:rsidP="00A4621E">
            <w:pPr>
              <w:jc w:val="both"/>
              <w:rPr>
                <w:rFonts w:ascii="Amasis MT Pro" w:hAnsi="Amasis MT Pro"/>
                <w:sz w:val="16"/>
                <w:szCs w:val="16"/>
              </w:rPr>
            </w:pPr>
            <w:r w:rsidRPr="008440CF">
              <w:rPr>
                <w:rFonts w:ascii="Amasis MT Pro" w:eastAsia="Arial" w:hAnsi="Amasis MT Pro" w:cs="Arial"/>
                <w:color w:val="1C1C1E"/>
                <w:sz w:val="16"/>
                <w:szCs w:val="16"/>
              </w:rPr>
              <w:t>EUR 107.4B (2035)</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630BFB" w14:textId="77777777" w:rsidR="00620B9E" w:rsidRPr="008440CF" w:rsidRDefault="00620B9E" w:rsidP="00A4621E">
            <w:pPr>
              <w:jc w:val="both"/>
              <w:rPr>
                <w:rFonts w:ascii="Amasis MT Pro" w:hAnsi="Amasis MT Pro"/>
                <w:sz w:val="16"/>
                <w:szCs w:val="16"/>
              </w:rPr>
            </w:pPr>
            <w:r w:rsidRPr="008440CF">
              <w:rPr>
                <w:rFonts w:ascii="Amasis MT Pro" w:eastAsia="Arial" w:hAnsi="Amasis MT Pro" w:cs="Arial"/>
                <w:color w:val="1C1C1E"/>
                <w:sz w:val="16"/>
                <w:szCs w:val="16"/>
              </w:rPr>
              <w:t>3.6%</w:t>
            </w:r>
          </w:p>
        </w:tc>
        <w:tc>
          <w:tcPr>
            <w:tcW w:w="26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CF5859" w14:textId="77777777" w:rsidR="00620B9E" w:rsidRPr="008440CF" w:rsidRDefault="00620B9E" w:rsidP="00A4621E">
            <w:pPr>
              <w:jc w:val="both"/>
              <w:rPr>
                <w:rFonts w:ascii="Amasis MT Pro" w:hAnsi="Amasis MT Pro"/>
                <w:sz w:val="16"/>
                <w:szCs w:val="16"/>
              </w:rPr>
            </w:pPr>
            <w:r w:rsidRPr="008440CF">
              <w:rPr>
                <w:rFonts w:ascii="Amasis MT Pro" w:eastAsia="Arial" w:hAnsi="Amasis MT Pro" w:cs="Arial"/>
                <w:color w:val="1C1C1E"/>
                <w:sz w:val="16"/>
                <w:szCs w:val="16"/>
              </w:rPr>
              <w:t>The total legacy budget pool that AI research tools can displace</w:t>
            </w:r>
          </w:p>
        </w:tc>
      </w:tr>
      <w:tr w:rsidR="00620B9E" w:rsidRPr="008440CF" w14:paraId="2B21385A" w14:textId="77777777" w:rsidTr="008440CF">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68D8E2" w14:textId="77777777" w:rsidR="00620B9E" w:rsidRPr="008440CF" w:rsidRDefault="00620B9E" w:rsidP="00A4621E">
            <w:pPr>
              <w:jc w:val="both"/>
              <w:rPr>
                <w:rFonts w:ascii="Amasis MT Pro" w:hAnsi="Amasis MT Pro"/>
                <w:sz w:val="16"/>
                <w:szCs w:val="16"/>
              </w:rPr>
            </w:pPr>
            <w:r w:rsidRPr="008440CF">
              <w:rPr>
                <w:rFonts w:ascii="Amasis MT Pro" w:eastAsia="Arial" w:hAnsi="Amasis MT Pro" w:cs="Arial"/>
                <w:color w:val="1C1C1E"/>
                <w:sz w:val="16"/>
                <w:szCs w:val="16"/>
              </w:rPr>
              <w:t>Global Digital Twin Market (All Types)</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55296C" w14:textId="77777777" w:rsidR="00620B9E" w:rsidRPr="008440CF" w:rsidRDefault="00620B9E" w:rsidP="00A4621E">
            <w:pPr>
              <w:jc w:val="both"/>
              <w:rPr>
                <w:rFonts w:ascii="Amasis MT Pro" w:hAnsi="Amasis MT Pro"/>
                <w:sz w:val="16"/>
                <w:szCs w:val="16"/>
              </w:rPr>
            </w:pPr>
            <w:r w:rsidRPr="008440CF">
              <w:rPr>
                <w:rFonts w:ascii="Amasis MT Pro" w:eastAsia="Arial" w:hAnsi="Amasis MT Pro" w:cs="Arial"/>
                <w:color w:val="1C1C1E"/>
                <w:sz w:val="16"/>
                <w:szCs w:val="16"/>
              </w:rPr>
              <w:t>EUR 31.5B (2026)</w:t>
            </w:r>
          </w:p>
        </w:tc>
        <w:tc>
          <w:tcPr>
            <w:tcW w:w="18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22ED7A" w14:textId="77777777" w:rsidR="00620B9E" w:rsidRPr="008440CF" w:rsidRDefault="00620B9E" w:rsidP="00A4621E">
            <w:pPr>
              <w:jc w:val="both"/>
              <w:rPr>
                <w:rFonts w:ascii="Amasis MT Pro" w:hAnsi="Amasis MT Pro"/>
                <w:sz w:val="16"/>
                <w:szCs w:val="16"/>
              </w:rPr>
            </w:pPr>
            <w:r w:rsidRPr="008440CF">
              <w:rPr>
                <w:rFonts w:ascii="Amasis MT Pro" w:eastAsia="Arial" w:hAnsi="Amasis MT Pro" w:cs="Arial"/>
                <w:color w:val="1C1C1E"/>
                <w:sz w:val="16"/>
                <w:szCs w:val="16"/>
              </w:rPr>
              <w:t>EUR 356.3B (2034)</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FD219C" w14:textId="77777777" w:rsidR="00620B9E" w:rsidRPr="008440CF" w:rsidRDefault="00620B9E" w:rsidP="00A4621E">
            <w:pPr>
              <w:jc w:val="both"/>
              <w:rPr>
                <w:rFonts w:ascii="Amasis MT Pro" w:hAnsi="Amasis MT Pro"/>
                <w:sz w:val="16"/>
                <w:szCs w:val="16"/>
              </w:rPr>
            </w:pPr>
            <w:r w:rsidRPr="008440CF">
              <w:rPr>
                <w:rFonts w:ascii="Amasis MT Pro" w:eastAsia="Arial" w:hAnsi="Amasis MT Pro" w:cs="Arial"/>
                <w:color w:val="1C1C1E"/>
                <w:sz w:val="16"/>
                <w:szCs w:val="16"/>
              </w:rPr>
              <w:t>35.4%</w:t>
            </w:r>
          </w:p>
        </w:tc>
        <w:tc>
          <w:tcPr>
            <w:tcW w:w="26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FF31AA" w14:textId="77777777" w:rsidR="00620B9E" w:rsidRPr="008440CF" w:rsidRDefault="00620B9E" w:rsidP="00A4621E">
            <w:pPr>
              <w:jc w:val="both"/>
              <w:rPr>
                <w:rFonts w:ascii="Amasis MT Pro" w:hAnsi="Amasis MT Pro"/>
                <w:sz w:val="16"/>
                <w:szCs w:val="16"/>
              </w:rPr>
            </w:pPr>
            <w:r w:rsidRPr="008440CF">
              <w:rPr>
                <w:rFonts w:ascii="Amasis MT Pro" w:eastAsia="Arial" w:hAnsi="Amasis MT Pro" w:cs="Arial"/>
                <w:color w:val="1C1C1E"/>
                <w:sz w:val="16"/>
                <w:szCs w:val="16"/>
              </w:rPr>
              <w:t>Industrial, healthcare, and aerospace adoption driving broad enterprise acceptance</w:t>
            </w:r>
          </w:p>
        </w:tc>
      </w:tr>
      <w:tr w:rsidR="00620B9E" w:rsidRPr="008440CF" w14:paraId="10BA7827" w14:textId="77777777" w:rsidTr="008440CF">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7B9642" w14:textId="77777777" w:rsidR="00620B9E" w:rsidRPr="008440CF" w:rsidRDefault="00620B9E" w:rsidP="00A4621E">
            <w:pPr>
              <w:jc w:val="both"/>
              <w:rPr>
                <w:rFonts w:ascii="Amasis MT Pro" w:hAnsi="Amasis MT Pro"/>
                <w:sz w:val="16"/>
                <w:szCs w:val="16"/>
              </w:rPr>
            </w:pPr>
            <w:r w:rsidRPr="008440CF">
              <w:rPr>
                <w:rFonts w:ascii="Amasis MT Pro" w:eastAsia="Arial" w:hAnsi="Amasis MT Pro" w:cs="Arial"/>
                <w:color w:val="1C1C1E"/>
                <w:sz w:val="16"/>
                <w:szCs w:val="16"/>
              </w:rPr>
              <w:t>AI-Based Research Services (Core TAM)</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403959" w14:textId="77777777" w:rsidR="00620B9E" w:rsidRPr="008440CF" w:rsidRDefault="00620B9E" w:rsidP="00A4621E">
            <w:pPr>
              <w:jc w:val="both"/>
              <w:rPr>
                <w:rFonts w:ascii="Amasis MT Pro" w:hAnsi="Amasis MT Pro"/>
                <w:sz w:val="16"/>
                <w:szCs w:val="16"/>
              </w:rPr>
            </w:pPr>
            <w:r w:rsidRPr="008440CF">
              <w:rPr>
                <w:rFonts w:ascii="Amasis MT Pro" w:eastAsia="Arial" w:hAnsi="Amasis MT Pro" w:cs="Arial"/>
                <w:color w:val="1C1C1E"/>
                <w:sz w:val="16"/>
                <w:szCs w:val="16"/>
              </w:rPr>
              <w:t>EUR 7.38B (2025)</w:t>
            </w:r>
          </w:p>
        </w:tc>
        <w:tc>
          <w:tcPr>
            <w:tcW w:w="18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E4B6DE" w14:textId="77777777" w:rsidR="00620B9E" w:rsidRPr="008440CF" w:rsidRDefault="00620B9E" w:rsidP="00A4621E">
            <w:pPr>
              <w:jc w:val="both"/>
              <w:rPr>
                <w:rFonts w:ascii="Amasis MT Pro" w:hAnsi="Amasis MT Pro"/>
                <w:sz w:val="16"/>
                <w:szCs w:val="16"/>
              </w:rPr>
            </w:pPr>
            <w:r w:rsidRPr="008440CF">
              <w:rPr>
                <w:rFonts w:ascii="Amasis MT Pro" w:eastAsia="Arial" w:hAnsi="Amasis MT Pro" w:cs="Arial"/>
                <w:color w:val="1C1C1E"/>
                <w:sz w:val="16"/>
                <w:szCs w:val="16"/>
              </w:rPr>
              <w:t>EUR 32.8B (2035)</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482A95" w14:textId="77777777" w:rsidR="00620B9E" w:rsidRPr="008440CF" w:rsidRDefault="00620B9E" w:rsidP="00A4621E">
            <w:pPr>
              <w:jc w:val="both"/>
              <w:rPr>
                <w:rFonts w:ascii="Amasis MT Pro" w:hAnsi="Amasis MT Pro"/>
                <w:sz w:val="16"/>
                <w:szCs w:val="16"/>
              </w:rPr>
            </w:pPr>
            <w:r w:rsidRPr="008440CF">
              <w:rPr>
                <w:rFonts w:ascii="Amasis MT Pro" w:eastAsia="Arial" w:hAnsi="Amasis MT Pro" w:cs="Arial"/>
                <w:color w:val="1C1C1E"/>
                <w:sz w:val="16"/>
                <w:szCs w:val="16"/>
              </w:rPr>
              <w:t>16.1%</w:t>
            </w:r>
          </w:p>
        </w:tc>
        <w:tc>
          <w:tcPr>
            <w:tcW w:w="26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9657FE" w14:textId="77777777" w:rsidR="00620B9E" w:rsidRPr="008440CF" w:rsidRDefault="00620B9E" w:rsidP="00A4621E">
            <w:pPr>
              <w:jc w:val="both"/>
              <w:rPr>
                <w:rFonts w:ascii="Amasis MT Pro" w:hAnsi="Amasis MT Pro"/>
                <w:sz w:val="16"/>
                <w:szCs w:val="16"/>
              </w:rPr>
            </w:pPr>
            <w:r w:rsidRPr="008440CF">
              <w:rPr>
                <w:rFonts w:ascii="Amasis MT Pro" w:eastAsia="Arial" w:hAnsi="Amasis MT Pro" w:cs="Arial"/>
                <w:color w:val="1C1C1E"/>
                <w:sz w:val="16"/>
                <w:szCs w:val="16"/>
              </w:rPr>
              <w:t>Synthetic panels and predictive consumer modelling</w:t>
            </w:r>
          </w:p>
        </w:tc>
      </w:tr>
    </w:tbl>
    <w:p w14:paraId="5CA03194" w14:textId="77777777" w:rsidR="00620B9E" w:rsidRPr="008440CF" w:rsidRDefault="00620B9E" w:rsidP="00A4621E">
      <w:pPr>
        <w:spacing w:after="80"/>
        <w:jc w:val="both"/>
        <w:rPr>
          <w:rFonts w:ascii="Amasis MT Pro" w:hAnsi="Amasis MT Pro"/>
        </w:rPr>
      </w:pPr>
    </w:p>
    <w:p w14:paraId="089AEA90" w14:textId="5358B971" w:rsidR="00620B9E" w:rsidRPr="008440CF" w:rsidRDefault="00620B9E" w:rsidP="00A4621E">
      <w:pPr>
        <w:spacing w:after="180"/>
        <w:jc w:val="both"/>
        <w:rPr>
          <w:rFonts w:ascii="Amasis MT Pro" w:hAnsi="Amasis MT Pro"/>
        </w:rPr>
      </w:pPr>
      <w:r w:rsidRPr="008440CF">
        <w:rPr>
          <w:rFonts w:ascii="Amasis MT Pro" w:eastAsia="Arial" w:hAnsi="Amasis MT Pro" w:cs="Arial"/>
          <w:color w:val="4A4A4A"/>
        </w:rPr>
        <w:t xml:space="preserve">Sources: AI-Based Research Services Market Outlook, </w:t>
      </w:r>
      <w:r w:rsidR="008252DD" w:rsidRPr="008440CF">
        <w:rPr>
          <w:rFonts w:ascii="Amasis MT Pro" w:eastAsia="Arial" w:hAnsi="Amasis MT Pro" w:cs="Arial"/>
          <w:color w:val="4A4A4A"/>
        </w:rPr>
        <w:t>Precedence Research</w:t>
      </w:r>
      <w:r w:rsidRPr="008440CF">
        <w:rPr>
          <w:rFonts w:ascii="Amasis MT Pro" w:eastAsia="Arial" w:hAnsi="Amasis MT Pro" w:cs="Arial"/>
          <w:color w:val="4A4A4A"/>
        </w:rPr>
        <w:t xml:space="preserve"> (2025) [R12]; Digital Twin Market Size, Share and Growth Report, Fortune Business Insights (2025) [R13].</w:t>
      </w:r>
    </w:p>
    <w:p w14:paraId="3A254A17" w14:textId="77777777" w:rsidR="00620B9E" w:rsidRPr="008440CF" w:rsidRDefault="00620B9E" w:rsidP="00A4621E">
      <w:pPr>
        <w:pStyle w:val="Heading2"/>
        <w:jc w:val="both"/>
        <w:rPr>
          <w:rFonts w:ascii="Amasis MT Pro" w:hAnsi="Amasis MT Pro"/>
          <w:sz w:val="20"/>
          <w:szCs w:val="20"/>
        </w:rPr>
      </w:pPr>
      <w:r w:rsidRPr="008440CF">
        <w:rPr>
          <w:rFonts w:ascii="Amasis MT Pro" w:eastAsia="Arial" w:hAnsi="Amasis MT Pro" w:cs="Arial"/>
          <w:b/>
          <w:bCs/>
          <w:color w:val="1C1C1E"/>
          <w:sz w:val="20"/>
          <w:szCs w:val="20"/>
        </w:rPr>
        <w:t>4.2 Serviceable Available Market (SAM)</w:t>
      </w:r>
    </w:p>
    <w:p w14:paraId="3D65460A" w14:textId="2C30CD01"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Within the TAM, Twinlytics directly addresses four segments where human behavioural simulation adds clear and measurable value.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60"/>
        <w:gridCol w:w="850"/>
        <w:gridCol w:w="4916"/>
      </w:tblGrid>
      <w:tr w:rsidR="00620B9E" w:rsidRPr="008440CF" w14:paraId="7A49AE8E" w14:textId="77777777" w:rsidTr="008440CF">
        <w:tc>
          <w:tcPr>
            <w:tcW w:w="1700" w:type="dxa"/>
            <w:tcBorders>
              <w:top w:val="single" w:sz="1" w:space="0" w:color="CCCCCC"/>
              <w:left w:val="single" w:sz="1" w:space="0" w:color="CCCCCC"/>
              <w:bottom w:val="single" w:sz="1" w:space="0" w:color="CCCCCC"/>
              <w:right w:val="single" w:sz="1" w:space="0" w:color="CCCCCC"/>
            </w:tcBorders>
            <w:shd w:val="clear" w:color="auto" w:fill="1C1C1E"/>
            <w:tcMar>
              <w:top w:w="100" w:type="dxa"/>
              <w:left w:w="120" w:type="dxa"/>
              <w:bottom w:w="100" w:type="dxa"/>
              <w:right w:w="120" w:type="dxa"/>
            </w:tcMar>
            <w:vAlign w:val="center"/>
          </w:tcPr>
          <w:p w14:paraId="713CBD5B"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b/>
                <w:bCs/>
                <w:color w:val="FFFFFF"/>
                <w:sz w:val="18"/>
                <w:szCs w:val="18"/>
              </w:rPr>
              <w:t>SAM Component</w:t>
            </w:r>
          </w:p>
        </w:tc>
        <w:tc>
          <w:tcPr>
            <w:tcW w:w="1560" w:type="dxa"/>
            <w:tcBorders>
              <w:top w:val="single" w:sz="1" w:space="0" w:color="CCCCCC"/>
              <w:left w:val="single" w:sz="1" w:space="0" w:color="CCCCCC"/>
              <w:bottom w:val="single" w:sz="1" w:space="0" w:color="CCCCCC"/>
              <w:right w:val="single" w:sz="1" w:space="0" w:color="CCCCCC"/>
            </w:tcBorders>
            <w:shd w:val="clear" w:color="auto" w:fill="1C1C1E"/>
            <w:tcMar>
              <w:top w:w="100" w:type="dxa"/>
              <w:left w:w="120" w:type="dxa"/>
              <w:bottom w:w="100" w:type="dxa"/>
              <w:right w:w="120" w:type="dxa"/>
            </w:tcMar>
            <w:vAlign w:val="center"/>
          </w:tcPr>
          <w:p w14:paraId="42393017"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b/>
                <w:bCs/>
                <w:color w:val="FFFFFF"/>
                <w:sz w:val="18"/>
                <w:szCs w:val="18"/>
              </w:rPr>
              <w:t>Market Value</w:t>
            </w:r>
          </w:p>
        </w:tc>
        <w:tc>
          <w:tcPr>
            <w:tcW w:w="850" w:type="dxa"/>
            <w:tcBorders>
              <w:top w:val="single" w:sz="1" w:space="0" w:color="CCCCCC"/>
              <w:left w:val="single" w:sz="1" w:space="0" w:color="CCCCCC"/>
              <w:bottom w:val="single" w:sz="1" w:space="0" w:color="CCCCCC"/>
              <w:right w:val="single" w:sz="1" w:space="0" w:color="CCCCCC"/>
            </w:tcBorders>
            <w:shd w:val="clear" w:color="auto" w:fill="1C1C1E"/>
            <w:tcMar>
              <w:top w:w="100" w:type="dxa"/>
              <w:left w:w="120" w:type="dxa"/>
              <w:bottom w:w="100" w:type="dxa"/>
              <w:right w:w="120" w:type="dxa"/>
            </w:tcMar>
            <w:vAlign w:val="center"/>
          </w:tcPr>
          <w:p w14:paraId="26F6A8B7"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b/>
                <w:bCs/>
                <w:color w:val="FFFFFF"/>
                <w:sz w:val="18"/>
                <w:szCs w:val="18"/>
              </w:rPr>
              <w:t>CAGR</w:t>
            </w:r>
          </w:p>
        </w:tc>
        <w:tc>
          <w:tcPr>
            <w:tcW w:w="4916" w:type="dxa"/>
            <w:tcBorders>
              <w:top w:val="single" w:sz="1" w:space="0" w:color="CCCCCC"/>
              <w:left w:val="single" w:sz="1" w:space="0" w:color="CCCCCC"/>
              <w:bottom w:val="single" w:sz="1" w:space="0" w:color="CCCCCC"/>
              <w:right w:val="single" w:sz="1" w:space="0" w:color="CCCCCC"/>
            </w:tcBorders>
            <w:shd w:val="clear" w:color="auto" w:fill="1C1C1E"/>
            <w:tcMar>
              <w:top w:w="100" w:type="dxa"/>
              <w:left w:w="120" w:type="dxa"/>
              <w:bottom w:w="100" w:type="dxa"/>
              <w:right w:w="120" w:type="dxa"/>
            </w:tcMar>
            <w:vAlign w:val="center"/>
          </w:tcPr>
          <w:p w14:paraId="5FB33D76"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b/>
                <w:bCs/>
                <w:color w:val="FFFFFF"/>
                <w:sz w:val="18"/>
                <w:szCs w:val="18"/>
              </w:rPr>
              <w:t>Relevance to Twinlytics</w:t>
            </w:r>
          </w:p>
        </w:tc>
      </w:tr>
      <w:tr w:rsidR="00620B9E" w:rsidRPr="008440CF" w14:paraId="7D9BD563" w14:textId="77777777" w:rsidTr="008440CF">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BA83DB"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color w:val="1C1C1E"/>
                <w:sz w:val="18"/>
                <w:szCs w:val="18"/>
              </w:rPr>
              <w:lastRenderedPageBreak/>
              <w:t>Synthetic Data Generation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615594"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color w:val="1C1C1E"/>
                <w:sz w:val="18"/>
                <w:szCs w:val="18"/>
              </w:rPr>
              <w:t>EUR 657M (2026) to EUR 3.4B (2031)</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1CF3B2"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color w:val="1C1C1E"/>
                <w:sz w:val="18"/>
                <w:szCs w:val="18"/>
              </w:rPr>
              <w:t>38.96%</w:t>
            </w:r>
          </w:p>
        </w:tc>
        <w:tc>
          <w:tcPr>
            <w:tcW w:w="49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DC0D8" w14:textId="28D15F18" w:rsidR="00620B9E" w:rsidRPr="008440CF" w:rsidRDefault="00620B9E" w:rsidP="00A4621E">
            <w:pPr>
              <w:jc w:val="both"/>
              <w:rPr>
                <w:rFonts w:ascii="Amasis MT Pro" w:hAnsi="Amasis MT Pro"/>
                <w:sz w:val="18"/>
                <w:szCs w:val="18"/>
              </w:rPr>
            </w:pPr>
            <w:r w:rsidRPr="008440CF">
              <w:rPr>
                <w:rFonts w:ascii="Amasis MT Pro" w:eastAsia="Arial" w:hAnsi="Amasis MT Pro" w:cs="Arial"/>
                <w:color w:val="1C1C1E"/>
                <w:sz w:val="18"/>
                <w:szCs w:val="18"/>
              </w:rPr>
              <w:t xml:space="preserve">Privacy-compliant data infrastructure that generates </w:t>
            </w:r>
            <w:r w:rsidR="00350524" w:rsidRPr="008440CF">
              <w:rPr>
                <w:rFonts w:ascii="Amasis MT Pro" w:eastAsia="Arial" w:hAnsi="Amasis MT Pro" w:cs="Arial"/>
                <w:color w:val="1C1C1E"/>
                <w:sz w:val="18"/>
                <w:szCs w:val="18"/>
              </w:rPr>
              <w:t>correct</w:t>
            </w:r>
            <w:r w:rsidRPr="008440CF">
              <w:rPr>
                <w:rFonts w:ascii="Amasis MT Pro" w:eastAsia="Arial" w:hAnsi="Amasis MT Pro" w:cs="Arial"/>
                <w:color w:val="1C1C1E"/>
                <w:sz w:val="18"/>
                <w:szCs w:val="18"/>
              </w:rPr>
              <w:t xml:space="preserve"> synthetic personas</w:t>
            </w:r>
          </w:p>
        </w:tc>
      </w:tr>
      <w:tr w:rsidR="00620B9E" w:rsidRPr="008440CF" w14:paraId="3BA70FBE" w14:textId="77777777" w:rsidTr="008440CF">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563CA3"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color w:val="1C1C1E"/>
                <w:sz w:val="18"/>
                <w:szCs w:val="18"/>
              </w:rPr>
              <w:t>AI-Accelerated Survey Analytics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6114DB"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color w:val="1C1C1E"/>
                <w:sz w:val="18"/>
                <w:szCs w:val="18"/>
              </w:rPr>
              <w:t>~EUR 2.82B (2025)</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69CEA8"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color w:val="1C1C1E"/>
                <w:sz w:val="18"/>
                <w:szCs w:val="18"/>
              </w:rPr>
              <w:t>16.1%</w:t>
            </w:r>
          </w:p>
        </w:tc>
        <w:tc>
          <w:tcPr>
            <w:tcW w:w="49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29C63D" w14:textId="5A4D95B9" w:rsidR="00620B9E" w:rsidRPr="008440CF" w:rsidRDefault="00620B9E" w:rsidP="00A4621E">
            <w:pPr>
              <w:jc w:val="both"/>
              <w:rPr>
                <w:rFonts w:ascii="Amasis MT Pro" w:hAnsi="Amasis MT Pro"/>
                <w:sz w:val="18"/>
                <w:szCs w:val="18"/>
              </w:rPr>
            </w:pPr>
            <w:r w:rsidRPr="008440CF">
              <w:rPr>
                <w:rFonts w:ascii="Amasis MT Pro" w:eastAsia="Arial" w:hAnsi="Amasis MT Pro" w:cs="Arial"/>
                <w:color w:val="1C1C1E"/>
                <w:sz w:val="18"/>
                <w:szCs w:val="18"/>
              </w:rPr>
              <w:t xml:space="preserve">Software layer where synthetic respondents are queried and </w:t>
            </w:r>
            <w:r w:rsidR="008252DD" w:rsidRPr="008440CF">
              <w:rPr>
                <w:rFonts w:ascii="Amasis MT Pro" w:eastAsia="Arial" w:hAnsi="Amasis MT Pro" w:cs="Arial"/>
                <w:color w:val="1C1C1E"/>
                <w:sz w:val="18"/>
                <w:szCs w:val="18"/>
              </w:rPr>
              <w:t>analyzed</w:t>
            </w:r>
            <w:r w:rsidRPr="008440CF">
              <w:rPr>
                <w:rFonts w:ascii="Amasis MT Pro" w:eastAsia="Arial" w:hAnsi="Amasis MT Pro" w:cs="Arial"/>
                <w:color w:val="1C1C1E"/>
                <w:sz w:val="18"/>
                <w:szCs w:val="18"/>
              </w:rPr>
              <w:t xml:space="preserve"> by enterprise research teams</w:t>
            </w:r>
          </w:p>
        </w:tc>
      </w:tr>
      <w:tr w:rsidR="00620B9E" w:rsidRPr="008440CF" w14:paraId="73638218" w14:textId="77777777" w:rsidTr="008440CF">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13BE5F"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color w:val="1C1C1E"/>
                <w:sz w:val="18"/>
                <w:szCs w:val="18"/>
              </w:rPr>
              <w:t>Agentic AI Market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7B0DE3"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color w:val="1C1C1E"/>
                <w:sz w:val="18"/>
                <w:szCs w:val="18"/>
              </w:rPr>
              <w:t>EUR 6.48B to EUR 39.8B (2030)</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D0B354"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color w:val="1C1C1E"/>
                <w:sz w:val="18"/>
                <w:szCs w:val="18"/>
              </w:rPr>
              <w:t>44.0%</w:t>
            </w:r>
          </w:p>
        </w:tc>
        <w:tc>
          <w:tcPr>
            <w:tcW w:w="49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7C6CB7" w14:textId="56DC89CA" w:rsidR="00620B9E" w:rsidRPr="008440CF" w:rsidRDefault="00620B9E" w:rsidP="00A4621E">
            <w:pPr>
              <w:jc w:val="both"/>
              <w:rPr>
                <w:rFonts w:ascii="Amasis MT Pro" w:hAnsi="Amasis MT Pro"/>
                <w:sz w:val="18"/>
                <w:szCs w:val="18"/>
              </w:rPr>
            </w:pPr>
            <w:r w:rsidRPr="008440CF">
              <w:rPr>
                <w:rFonts w:ascii="Amasis MT Pro" w:eastAsia="Arial" w:hAnsi="Amasis MT Pro" w:cs="Arial"/>
                <w:color w:val="1C1C1E"/>
                <w:sz w:val="18"/>
                <w:szCs w:val="18"/>
              </w:rPr>
              <w:t xml:space="preserve">Multi-agent orchestration frameworks that allow digital twins to reason and emulate complex </w:t>
            </w:r>
            <w:r w:rsidR="008252DD" w:rsidRPr="008440CF">
              <w:rPr>
                <w:rFonts w:ascii="Amasis MT Pro" w:eastAsia="Arial" w:hAnsi="Amasis MT Pro" w:cs="Arial"/>
                <w:color w:val="1C1C1E"/>
                <w:sz w:val="18"/>
                <w:szCs w:val="18"/>
              </w:rPr>
              <w:t>behavior</w:t>
            </w:r>
          </w:p>
        </w:tc>
      </w:tr>
      <w:tr w:rsidR="00620B9E" w:rsidRPr="008440CF" w14:paraId="540B1A25" w14:textId="77777777" w:rsidTr="008440CF">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82B5D9"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color w:val="1C1C1E"/>
                <w:sz w:val="18"/>
                <w:szCs w:val="18"/>
              </w:rPr>
              <w:t>European Retail Digital Twin of Customer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872BA8"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color w:val="1C1C1E"/>
                <w:sz w:val="18"/>
                <w:szCs w:val="18"/>
              </w:rPr>
              <w:t>EUR 7.0B (2025)</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A2C678"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color w:val="1C1C1E"/>
                <w:sz w:val="18"/>
                <w:szCs w:val="18"/>
              </w:rPr>
              <w:t>30-45%</w:t>
            </w:r>
          </w:p>
        </w:tc>
        <w:tc>
          <w:tcPr>
            <w:tcW w:w="49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A49593" w14:textId="0C17188C" w:rsidR="00620B9E" w:rsidRPr="008440CF" w:rsidRDefault="00620B9E" w:rsidP="00A4621E">
            <w:pPr>
              <w:jc w:val="both"/>
              <w:rPr>
                <w:rFonts w:ascii="Amasis MT Pro" w:hAnsi="Amasis MT Pro"/>
                <w:sz w:val="18"/>
                <w:szCs w:val="18"/>
              </w:rPr>
            </w:pPr>
            <w:r w:rsidRPr="008440CF">
              <w:rPr>
                <w:rFonts w:ascii="Amasis MT Pro" w:eastAsia="Arial" w:hAnsi="Amasis MT Pro" w:cs="Arial"/>
                <w:color w:val="1C1C1E"/>
                <w:sz w:val="18"/>
                <w:szCs w:val="18"/>
              </w:rPr>
              <w:t xml:space="preserve">Regional demand for simulating customer journeys and </w:t>
            </w:r>
            <w:r w:rsidR="00856A17" w:rsidRPr="008440CF">
              <w:rPr>
                <w:rFonts w:ascii="Amasis MT Pro" w:eastAsia="Arial" w:hAnsi="Amasis MT Pro" w:cs="Arial"/>
                <w:color w:val="1C1C1E"/>
                <w:sz w:val="18"/>
                <w:szCs w:val="18"/>
              </w:rPr>
              <w:t>improving</w:t>
            </w:r>
            <w:r w:rsidRPr="008440CF">
              <w:rPr>
                <w:rFonts w:ascii="Amasis MT Pro" w:eastAsia="Arial" w:hAnsi="Amasis MT Pro" w:cs="Arial"/>
                <w:color w:val="1C1C1E"/>
                <w:sz w:val="18"/>
                <w:szCs w:val="18"/>
              </w:rPr>
              <w:t xml:space="preserve"> physical and digital retail environments</w:t>
            </w:r>
          </w:p>
        </w:tc>
      </w:tr>
    </w:tbl>
    <w:p w14:paraId="48F6CCF1" w14:textId="77777777" w:rsidR="00620B9E" w:rsidRPr="008440CF" w:rsidRDefault="00620B9E" w:rsidP="00A4621E">
      <w:pPr>
        <w:spacing w:after="80"/>
        <w:jc w:val="both"/>
        <w:rPr>
          <w:rFonts w:ascii="Amasis MT Pro" w:hAnsi="Amasis MT Pro"/>
        </w:rPr>
      </w:pPr>
    </w:p>
    <w:p w14:paraId="3F2108AD" w14:textId="77777777" w:rsidR="00620B9E" w:rsidRPr="008440CF" w:rsidRDefault="00620B9E" w:rsidP="00A4621E">
      <w:pPr>
        <w:spacing w:after="180"/>
        <w:jc w:val="both"/>
        <w:rPr>
          <w:rFonts w:ascii="Amasis MT Pro" w:hAnsi="Amasis MT Pro"/>
        </w:rPr>
      </w:pPr>
      <w:r w:rsidRPr="008440CF">
        <w:rPr>
          <w:rFonts w:ascii="Amasis MT Pro" w:eastAsia="Arial" w:hAnsi="Amasis MT Pro" w:cs="Arial"/>
          <w:color w:val="4A4A4A"/>
        </w:rPr>
        <w:t>Sources: Synthetic Data Market Report, Mordor Intelligence (2026) [R14]; Agentic AI Market Research, MarketsandMarkets (2025) [R15].</w:t>
      </w:r>
    </w:p>
    <w:p w14:paraId="7156A77E" w14:textId="77777777" w:rsidR="00620B9E" w:rsidRPr="008440CF" w:rsidRDefault="00620B9E" w:rsidP="00A4621E">
      <w:pPr>
        <w:pStyle w:val="Heading2"/>
        <w:jc w:val="both"/>
        <w:rPr>
          <w:rFonts w:ascii="Amasis MT Pro" w:hAnsi="Amasis MT Pro"/>
          <w:sz w:val="20"/>
          <w:szCs w:val="20"/>
        </w:rPr>
      </w:pPr>
      <w:r w:rsidRPr="008440CF">
        <w:rPr>
          <w:rFonts w:ascii="Amasis MT Pro" w:eastAsia="Arial" w:hAnsi="Amasis MT Pro" w:cs="Arial"/>
          <w:b/>
          <w:bCs/>
          <w:color w:val="1C1C1E"/>
          <w:sz w:val="20"/>
          <w:szCs w:val="20"/>
        </w:rPr>
        <w:t>4.3 Serviceable Obtainable Market (SOM)</w:t>
      </w:r>
    </w:p>
    <w:p w14:paraId="3CC3EFB5" w14:textId="431F3320"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In the first three years, Twinlytics targets a SOM of EUR 18 to 25 million in annual revenue. This is based on three realistic acquisition channels.</w:t>
      </w:r>
    </w:p>
    <w:p w14:paraId="43CFD150" w14:textId="77777777" w:rsidR="00620B9E" w:rsidRPr="008440CF" w:rsidRDefault="00620B9E" w:rsidP="00A4621E">
      <w:pPr>
        <w:pStyle w:val="ListParagraph"/>
        <w:numPr>
          <w:ilvl w:val="0"/>
          <w:numId w:val="2"/>
        </w:numPr>
        <w:spacing w:after="100"/>
        <w:jc w:val="both"/>
        <w:rPr>
          <w:rFonts w:ascii="Amasis MT Pro" w:hAnsi="Amasis MT Pro"/>
        </w:rPr>
      </w:pPr>
      <w:r w:rsidRPr="008440CF">
        <w:rPr>
          <w:rFonts w:ascii="Amasis MT Pro" w:eastAsia="Arial" w:hAnsi="Amasis MT Pro" w:cs="Arial"/>
          <w:color w:val="1C1C1E"/>
        </w:rPr>
        <w:t>European mid-market enterprises with 100 to 5,000 employees that currently spend EUR 50,000 to EUR 500,000 annually on market research, starting with innovation teams in Germany, the Netherlands, and France</w:t>
      </w:r>
    </w:p>
    <w:p w14:paraId="169DCCBF" w14:textId="04553432" w:rsidR="00620B9E" w:rsidRPr="008440CF" w:rsidRDefault="00620B9E" w:rsidP="00A4621E">
      <w:pPr>
        <w:pStyle w:val="ListParagraph"/>
        <w:numPr>
          <w:ilvl w:val="0"/>
          <w:numId w:val="2"/>
        </w:numPr>
        <w:spacing w:after="100"/>
        <w:jc w:val="both"/>
        <w:rPr>
          <w:rFonts w:ascii="Amasis MT Pro" w:hAnsi="Amasis MT Pro"/>
        </w:rPr>
      </w:pPr>
      <w:r w:rsidRPr="008440CF">
        <w:rPr>
          <w:rFonts w:ascii="Amasis MT Pro" w:eastAsia="Arial" w:hAnsi="Amasis MT Pro" w:cs="Arial"/>
          <w:color w:val="1C1C1E"/>
        </w:rPr>
        <w:t xml:space="preserve">Academic and NGO research institutions seeking GDPR-compliant synthetic panels as a lower-cost alternative to traditional panel </w:t>
      </w:r>
      <w:r w:rsidR="00350524" w:rsidRPr="008440CF">
        <w:rPr>
          <w:rFonts w:ascii="Amasis MT Pro" w:eastAsia="Arial" w:hAnsi="Amasis MT Pro" w:cs="Arial"/>
          <w:color w:val="1C1C1E"/>
        </w:rPr>
        <w:t>providers.</w:t>
      </w:r>
    </w:p>
    <w:p w14:paraId="3EC47754" w14:textId="7CD50A06" w:rsidR="00620B9E" w:rsidRPr="008440CF" w:rsidRDefault="00620B9E" w:rsidP="00A4621E">
      <w:pPr>
        <w:pStyle w:val="ListParagraph"/>
        <w:numPr>
          <w:ilvl w:val="0"/>
          <w:numId w:val="2"/>
        </w:numPr>
        <w:spacing w:after="100"/>
        <w:jc w:val="both"/>
        <w:rPr>
          <w:rFonts w:ascii="Amasis MT Pro" w:hAnsi="Amasis MT Pro"/>
        </w:rPr>
      </w:pPr>
      <w:r w:rsidRPr="008440CF">
        <w:rPr>
          <w:rFonts w:ascii="Amasis MT Pro" w:eastAsia="Arial" w:hAnsi="Amasis MT Pro" w:cs="Arial"/>
          <w:color w:val="1C1C1E"/>
        </w:rPr>
        <w:t xml:space="preserve">Startups and product studios using the pay-per-simulation tier to </w:t>
      </w:r>
      <w:r w:rsidR="00350524" w:rsidRPr="008440CF">
        <w:rPr>
          <w:rFonts w:ascii="Amasis MT Pro" w:eastAsia="Arial" w:hAnsi="Amasis MT Pro" w:cs="Arial"/>
          <w:color w:val="1C1C1E"/>
        </w:rPr>
        <w:t>confirm</w:t>
      </w:r>
      <w:r w:rsidRPr="008440CF">
        <w:rPr>
          <w:rFonts w:ascii="Amasis MT Pro" w:eastAsia="Arial" w:hAnsi="Amasis MT Pro" w:cs="Arial"/>
          <w:color w:val="1C1C1E"/>
        </w:rPr>
        <w:t xml:space="preserve"> concepts before committing to full product </w:t>
      </w:r>
      <w:r w:rsidR="00350524" w:rsidRPr="008440CF">
        <w:rPr>
          <w:rFonts w:ascii="Amasis MT Pro" w:eastAsia="Arial" w:hAnsi="Amasis MT Pro" w:cs="Arial"/>
          <w:color w:val="1C1C1E"/>
        </w:rPr>
        <w:t>development.</w:t>
      </w:r>
    </w:p>
    <w:p w14:paraId="1222B759" w14:textId="77777777" w:rsidR="00620B9E" w:rsidRPr="008440CF" w:rsidRDefault="00620B9E" w:rsidP="00A4621E">
      <w:pPr>
        <w:spacing w:after="80"/>
        <w:jc w:val="both"/>
        <w:rPr>
          <w:rFonts w:ascii="Amasis MT Pro" w:hAnsi="Amasis MT Pro"/>
        </w:rPr>
      </w:pPr>
    </w:p>
    <w:p w14:paraId="377674D4" w14:textId="004E6948"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Capturing 0.3% of the combined AI Research Services and Synthetic Data SAM by 2028 would generate approximately EUR 18 million in annual revenue. This is a conservative starting point.</w:t>
      </w:r>
    </w:p>
    <w:p w14:paraId="566CCCD2" w14:textId="77777777" w:rsidR="00620B9E" w:rsidRPr="008440CF" w:rsidRDefault="00620B9E" w:rsidP="00A4621E">
      <w:pPr>
        <w:pStyle w:val="Heading1"/>
        <w:jc w:val="both"/>
        <w:rPr>
          <w:rFonts w:ascii="Amasis MT Pro" w:hAnsi="Amasis MT Pro"/>
          <w:sz w:val="20"/>
          <w:szCs w:val="20"/>
        </w:rPr>
      </w:pPr>
      <w:r w:rsidRPr="008440CF">
        <w:rPr>
          <w:rFonts w:ascii="Amasis MT Pro" w:eastAsia="Arial" w:hAnsi="Amasis MT Pro" w:cs="Arial"/>
          <w:b/>
          <w:bCs/>
          <w:color w:val="000000"/>
          <w:sz w:val="20"/>
          <w:szCs w:val="20"/>
        </w:rPr>
        <w:t>5. Competitive Landscape</w:t>
      </w:r>
    </w:p>
    <w:p w14:paraId="26FA6C08" w14:textId="4BA4E802"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The synthetic consumer simulation market has grown considerably in 2025 and 2026. Several well-</w:t>
      </w:r>
      <w:r w:rsidR="008C2BC6" w:rsidRPr="008440CF">
        <w:rPr>
          <w:rFonts w:ascii="Amasis MT Pro" w:eastAsia="Arial" w:hAnsi="Amasis MT Pro" w:cs="Arial"/>
          <w:color w:val="1C1C1E"/>
        </w:rPr>
        <w:t>capitalized</w:t>
      </w:r>
      <w:r w:rsidRPr="008440CF">
        <w:rPr>
          <w:rFonts w:ascii="Amasis MT Pro" w:eastAsia="Arial" w:hAnsi="Amasis MT Pro" w:cs="Arial"/>
          <w:color w:val="1C1C1E"/>
        </w:rPr>
        <w:t xml:space="preserve"> players have entered with distinct approaches to the core problem. The table below maps the main competitors.</w:t>
      </w:r>
    </w:p>
    <w:p w14:paraId="700F3D47" w14:textId="77777777" w:rsidR="00620B9E" w:rsidRPr="008440CF" w:rsidRDefault="00620B9E" w:rsidP="00A4621E">
      <w:pPr>
        <w:spacing w:after="80"/>
        <w:jc w:val="both"/>
        <w:rPr>
          <w:rFonts w:ascii="Amasis MT Pro" w:hAnsi="Amasis MT Pr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8"/>
        <w:gridCol w:w="1403"/>
        <w:gridCol w:w="1134"/>
        <w:gridCol w:w="1276"/>
        <w:gridCol w:w="1174"/>
        <w:gridCol w:w="2891"/>
      </w:tblGrid>
      <w:tr w:rsidR="00620B9E" w:rsidRPr="008440CF" w14:paraId="252BFFBF" w14:textId="77777777" w:rsidTr="006A1D49">
        <w:tc>
          <w:tcPr>
            <w:tcW w:w="1148" w:type="dxa"/>
            <w:tcBorders>
              <w:top w:val="single" w:sz="1" w:space="0" w:color="CCCCCC"/>
              <w:left w:val="single" w:sz="1" w:space="0" w:color="CCCCCC"/>
              <w:bottom w:val="single" w:sz="1" w:space="0" w:color="CCCCCC"/>
              <w:right w:val="single" w:sz="1" w:space="0" w:color="CCCCCC"/>
            </w:tcBorders>
            <w:shd w:val="clear" w:color="auto" w:fill="1C1C1E"/>
            <w:tcMar>
              <w:top w:w="100" w:type="dxa"/>
              <w:left w:w="120" w:type="dxa"/>
              <w:bottom w:w="100" w:type="dxa"/>
              <w:right w:w="120" w:type="dxa"/>
            </w:tcMar>
            <w:vAlign w:val="center"/>
          </w:tcPr>
          <w:p w14:paraId="13AECCD9"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b/>
                <w:bCs/>
                <w:color w:val="FFFFFF"/>
                <w:sz w:val="18"/>
                <w:szCs w:val="18"/>
              </w:rPr>
              <w:t>Platform</w:t>
            </w:r>
          </w:p>
        </w:tc>
        <w:tc>
          <w:tcPr>
            <w:tcW w:w="1403" w:type="dxa"/>
            <w:tcBorders>
              <w:top w:val="single" w:sz="1" w:space="0" w:color="CCCCCC"/>
              <w:left w:val="single" w:sz="1" w:space="0" w:color="CCCCCC"/>
              <w:bottom w:val="single" w:sz="1" w:space="0" w:color="CCCCCC"/>
              <w:right w:val="single" w:sz="1" w:space="0" w:color="CCCCCC"/>
            </w:tcBorders>
            <w:shd w:val="clear" w:color="auto" w:fill="1C1C1E"/>
            <w:tcMar>
              <w:top w:w="100" w:type="dxa"/>
              <w:left w:w="120" w:type="dxa"/>
              <w:bottom w:w="100" w:type="dxa"/>
              <w:right w:w="120" w:type="dxa"/>
            </w:tcMar>
            <w:vAlign w:val="center"/>
          </w:tcPr>
          <w:p w14:paraId="33F564A5"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b/>
                <w:bCs/>
                <w:color w:val="FFFFFF"/>
                <w:sz w:val="18"/>
                <w:szCs w:val="18"/>
              </w:rPr>
              <w:t>Approach</w:t>
            </w:r>
          </w:p>
        </w:tc>
        <w:tc>
          <w:tcPr>
            <w:tcW w:w="1134" w:type="dxa"/>
            <w:tcBorders>
              <w:top w:val="single" w:sz="1" w:space="0" w:color="CCCCCC"/>
              <w:left w:val="single" w:sz="1" w:space="0" w:color="CCCCCC"/>
              <w:bottom w:val="single" w:sz="1" w:space="0" w:color="CCCCCC"/>
              <w:right w:val="single" w:sz="1" w:space="0" w:color="CCCCCC"/>
            </w:tcBorders>
            <w:shd w:val="clear" w:color="auto" w:fill="1C1C1E"/>
            <w:tcMar>
              <w:top w:w="100" w:type="dxa"/>
              <w:left w:w="120" w:type="dxa"/>
              <w:bottom w:w="100" w:type="dxa"/>
              <w:right w:w="120" w:type="dxa"/>
            </w:tcMar>
            <w:vAlign w:val="center"/>
          </w:tcPr>
          <w:p w14:paraId="6822D02D"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b/>
                <w:bCs/>
                <w:color w:val="FFFFFF"/>
                <w:sz w:val="18"/>
                <w:szCs w:val="18"/>
              </w:rPr>
              <w:t>Speed</w:t>
            </w:r>
          </w:p>
        </w:tc>
        <w:tc>
          <w:tcPr>
            <w:tcW w:w="1276" w:type="dxa"/>
            <w:tcBorders>
              <w:top w:val="single" w:sz="1" w:space="0" w:color="CCCCCC"/>
              <w:left w:val="single" w:sz="1" w:space="0" w:color="CCCCCC"/>
              <w:bottom w:val="single" w:sz="1" w:space="0" w:color="CCCCCC"/>
              <w:right w:val="single" w:sz="1" w:space="0" w:color="CCCCCC"/>
            </w:tcBorders>
            <w:shd w:val="clear" w:color="auto" w:fill="1C1C1E"/>
            <w:tcMar>
              <w:top w:w="100" w:type="dxa"/>
              <w:left w:w="120" w:type="dxa"/>
              <w:bottom w:w="100" w:type="dxa"/>
              <w:right w:w="120" w:type="dxa"/>
            </w:tcMar>
            <w:vAlign w:val="center"/>
          </w:tcPr>
          <w:p w14:paraId="1A993E11"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b/>
                <w:bCs/>
                <w:color w:val="FFFFFF"/>
                <w:sz w:val="18"/>
                <w:szCs w:val="18"/>
              </w:rPr>
              <w:t>Data Fidelity</w:t>
            </w:r>
          </w:p>
        </w:tc>
        <w:tc>
          <w:tcPr>
            <w:tcW w:w="1172" w:type="dxa"/>
            <w:tcBorders>
              <w:top w:val="single" w:sz="1" w:space="0" w:color="CCCCCC"/>
              <w:left w:val="single" w:sz="1" w:space="0" w:color="CCCCCC"/>
              <w:bottom w:val="single" w:sz="1" w:space="0" w:color="CCCCCC"/>
              <w:right w:val="single" w:sz="1" w:space="0" w:color="CCCCCC"/>
            </w:tcBorders>
            <w:shd w:val="clear" w:color="auto" w:fill="1C1C1E"/>
            <w:tcMar>
              <w:top w:w="100" w:type="dxa"/>
              <w:left w:w="120" w:type="dxa"/>
              <w:bottom w:w="100" w:type="dxa"/>
              <w:right w:w="120" w:type="dxa"/>
            </w:tcMar>
            <w:vAlign w:val="center"/>
          </w:tcPr>
          <w:p w14:paraId="03EEE55A"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b/>
                <w:bCs/>
                <w:color w:val="FFFFFF"/>
                <w:sz w:val="18"/>
                <w:szCs w:val="18"/>
              </w:rPr>
              <w:t>User Ownership</w:t>
            </w:r>
          </w:p>
        </w:tc>
        <w:tc>
          <w:tcPr>
            <w:tcW w:w="2893" w:type="dxa"/>
            <w:tcBorders>
              <w:top w:val="single" w:sz="1" w:space="0" w:color="CCCCCC"/>
              <w:left w:val="single" w:sz="1" w:space="0" w:color="CCCCCC"/>
              <w:bottom w:val="single" w:sz="1" w:space="0" w:color="CCCCCC"/>
              <w:right w:val="single" w:sz="1" w:space="0" w:color="CCCCCC"/>
            </w:tcBorders>
            <w:shd w:val="clear" w:color="auto" w:fill="1C1C1E"/>
            <w:tcMar>
              <w:top w:w="100" w:type="dxa"/>
              <w:left w:w="120" w:type="dxa"/>
              <w:bottom w:w="100" w:type="dxa"/>
              <w:right w:w="120" w:type="dxa"/>
            </w:tcMar>
            <w:vAlign w:val="center"/>
          </w:tcPr>
          <w:p w14:paraId="7EE152A2"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b/>
                <w:bCs/>
                <w:color w:val="FFFFFF"/>
                <w:sz w:val="18"/>
                <w:szCs w:val="18"/>
              </w:rPr>
              <w:t>Key Weakness</w:t>
            </w:r>
          </w:p>
        </w:tc>
      </w:tr>
      <w:tr w:rsidR="00620B9E" w:rsidRPr="008440CF" w14:paraId="09ABDC79" w14:textId="77777777" w:rsidTr="006A1D49">
        <w:tc>
          <w:tcPr>
            <w:tcW w:w="1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FF15A2"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color w:val="1C1C1E"/>
                <w:sz w:val="18"/>
                <w:szCs w:val="18"/>
              </w:rPr>
              <w:t>Traditional Research</w:t>
            </w:r>
          </w:p>
        </w:tc>
        <w:tc>
          <w:tcPr>
            <w:tcW w:w="14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EDBA20"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color w:val="1C1C1E"/>
                <w:sz w:val="18"/>
                <w:szCs w:val="18"/>
              </w:rPr>
              <w:t>Human panels, focus groups</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0A2209"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color w:val="1C1C1E"/>
                <w:sz w:val="18"/>
                <w:szCs w:val="18"/>
              </w:rPr>
              <w:t>Weeks to months</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C886E4"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color w:val="1C1C1E"/>
                <w:sz w:val="18"/>
                <w:szCs w:val="18"/>
              </w:rPr>
              <w:t>Generic personas</w:t>
            </w:r>
          </w:p>
        </w:tc>
        <w:tc>
          <w:tcPr>
            <w:tcW w:w="11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EBA793"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color w:val="1C1C1E"/>
                <w:sz w:val="18"/>
                <w:szCs w:val="18"/>
              </w:rPr>
              <w:t>None</w:t>
            </w:r>
          </w:p>
        </w:tc>
        <w:tc>
          <w:tcPr>
            <w:tcW w:w="28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88AEF0"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color w:val="1C1C1E"/>
                <w:sz w:val="18"/>
                <w:szCs w:val="18"/>
              </w:rPr>
              <w:t>Slow, expensive, biased samples</w:t>
            </w:r>
          </w:p>
        </w:tc>
      </w:tr>
      <w:tr w:rsidR="00620B9E" w:rsidRPr="008440CF" w14:paraId="52F03DA8" w14:textId="77777777" w:rsidTr="006A1D49">
        <w:tc>
          <w:tcPr>
            <w:tcW w:w="1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35B2AD"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color w:val="1C1C1E"/>
                <w:sz w:val="18"/>
                <w:szCs w:val="18"/>
              </w:rPr>
              <w:t>Meta / Google</w:t>
            </w:r>
          </w:p>
        </w:tc>
        <w:tc>
          <w:tcPr>
            <w:tcW w:w="14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144A7A"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color w:val="1C1C1E"/>
                <w:sz w:val="18"/>
                <w:szCs w:val="18"/>
              </w:rPr>
              <w:t>Passive behavioural tracking</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79E391"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color w:val="1C1C1E"/>
                <w:sz w:val="18"/>
                <w:szCs w:val="18"/>
              </w:rPr>
              <w:t>Near real-time, opaque</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1C02D3"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color w:val="1C1C1E"/>
                <w:sz w:val="18"/>
                <w:szCs w:val="18"/>
              </w:rPr>
              <w:t>Hidden signals, no context</w:t>
            </w:r>
          </w:p>
        </w:tc>
        <w:tc>
          <w:tcPr>
            <w:tcW w:w="11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A527A1"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color w:val="1C1C1E"/>
                <w:sz w:val="18"/>
                <w:szCs w:val="18"/>
              </w:rPr>
              <w:t>None</w:t>
            </w:r>
          </w:p>
        </w:tc>
        <w:tc>
          <w:tcPr>
            <w:tcW w:w="28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EE1034"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color w:val="1C1C1E"/>
                <w:sz w:val="18"/>
                <w:szCs w:val="18"/>
              </w:rPr>
              <w:t>Non-consensual; increasing GDPR fines</w:t>
            </w:r>
          </w:p>
        </w:tc>
      </w:tr>
      <w:tr w:rsidR="00620B9E" w:rsidRPr="008440CF" w14:paraId="2A2DFB44" w14:textId="77777777" w:rsidTr="006A1D49">
        <w:tc>
          <w:tcPr>
            <w:tcW w:w="1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7A3AA8"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color w:val="1C1C1E"/>
                <w:sz w:val="18"/>
                <w:szCs w:val="18"/>
              </w:rPr>
              <w:t>Simile AI (EUR 93M, 2026)</w:t>
            </w:r>
          </w:p>
        </w:tc>
        <w:tc>
          <w:tcPr>
            <w:tcW w:w="14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293D10"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color w:val="1C1C1E"/>
                <w:sz w:val="18"/>
                <w:szCs w:val="18"/>
              </w:rPr>
              <w:t>Interview-grounded digital twins</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185638"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color w:val="1C1C1E"/>
                <w:sz w:val="18"/>
                <w:szCs w:val="18"/>
              </w:rPr>
              <w:t>Fast</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B08028"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color w:val="1C1C1E"/>
                <w:sz w:val="18"/>
                <w:szCs w:val="18"/>
              </w:rPr>
              <w:t>High, interview-based</w:t>
            </w:r>
          </w:p>
        </w:tc>
        <w:tc>
          <w:tcPr>
            <w:tcW w:w="11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3141E5"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color w:val="1C1C1E"/>
                <w:sz w:val="18"/>
                <w:szCs w:val="18"/>
              </w:rPr>
              <w:t>None</w:t>
            </w:r>
          </w:p>
        </w:tc>
        <w:tc>
          <w:tcPr>
            <w:tcW w:w="28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B9ACFB"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color w:val="1C1C1E"/>
                <w:sz w:val="18"/>
                <w:szCs w:val="18"/>
              </w:rPr>
              <w:t>No user compensation; US-first; not GDPR-native</w:t>
            </w:r>
          </w:p>
        </w:tc>
      </w:tr>
      <w:tr w:rsidR="00620B9E" w:rsidRPr="008440CF" w14:paraId="0F11D887" w14:textId="77777777" w:rsidTr="006A1D49">
        <w:tc>
          <w:tcPr>
            <w:tcW w:w="1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0D30B3"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color w:val="1C1C1E"/>
                <w:sz w:val="18"/>
                <w:szCs w:val="18"/>
              </w:rPr>
              <w:lastRenderedPageBreak/>
              <w:t>Aaru (USD 1B+ valuation)</w:t>
            </w:r>
          </w:p>
        </w:tc>
        <w:tc>
          <w:tcPr>
            <w:tcW w:w="14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122A6E"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color w:val="1C1C1E"/>
                <w:sz w:val="18"/>
                <w:szCs w:val="18"/>
              </w:rPr>
              <w:t>Fully synthetic agents</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F28AE9"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color w:val="1C1C1E"/>
                <w:sz w:val="18"/>
                <w:szCs w:val="18"/>
              </w:rPr>
              <w:t>Fast</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C7FB63"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color w:val="1C1C1E"/>
                <w:sz w:val="18"/>
                <w:szCs w:val="18"/>
              </w:rPr>
              <w:t>Variable</w:t>
            </w:r>
          </w:p>
        </w:tc>
        <w:tc>
          <w:tcPr>
            <w:tcW w:w="11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03F0C8"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color w:val="1C1C1E"/>
                <w:sz w:val="18"/>
                <w:szCs w:val="18"/>
              </w:rPr>
              <w:t>None</w:t>
            </w:r>
          </w:p>
        </w:tc>
        <w:tc>
          <w:tcPr>
            <w:tcW w:w="28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393778"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color w:val="1C1C1E"/>
                <w:sz w:val="18"/>
                <w:szCs w:val="18"/>
              </w:rPr>
              <w:t>No real human anchoring; risk of behavioural drift</w:t>
            </w:r>
          </w:p>
        </w:tc>
      </w:tr>
      <w:tr w:rsidR="00620B9E" w:rsidRPr="008440CF" w14:paraId="2D1BE519" w14:textId="77777777" w:rsidTr="006A1D49">
        <w:tc>
          <w:tcPr>
            <w:tcW w:w="1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AC7608"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color w:val="1C1C1E"/>
                <w:sz w:val="18"/>
                <w:szCs w:val="18"/>
              </w:rPr>
              <w:t>Qualtrics / YouGov (Yabble)</w:t>
            </w:r>
          </w:p>
        </w:tc>
        <w:tc>
          <w:tcPr>
            <w:tcW w:w="14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38D339"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color w:val="1C1C1E"/>
                <w:sz w:val="18"/>
                <w:szCs w:val="18"/>
              </w:rPr>
              <w:t>Enterprise survey integration</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0BDBAA"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color w:val="1C1C1E"/>
                <w:sz w:val="18"/>
                <w:szCs w:val="18"/>
              </w:rPr>
              <w:t>Moderate</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F6FE2C"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color w:val="1C1C1E"/>
                <w:sz w:val="18"/>
                <w:szCs w:val="18"/>
              </w:rPr>
              <w:t>Survey-level accuracy</w:t>
            </w:r>
          </w:p>
        </w:tc>
        <w:tc>
          <w:tcPr>
            <w:tcW w:w="11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81A9BD"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color w:val="1C1C1E"/>
                <w:sz w:val="18"/>
                <w:szCs w:val="18"/>
              </w:rPr>
              <w:t>None</w:t>
            </w:r>
          </w:p>
        </w:tc>
        <w:tc>
          <w:tcPr>
            <w:tcW w:w="28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5983A3"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color w:val="1C1C1E"/>
                <w:sz w:val="18"/>
                <w:szCs w:val="18"/>
              </w:rPr>
              <w:t>Legacy infrastructure; not designed for twin simulation</w:t>
            </w:r>
          </w:p>
        </w:tc>
      </w:tr>
      <w:tr w:rsidR="00620B9E" w:rsidRPr="008440CF" w14:paraId="7B813553" w14:textId="77777777" w:rsidTr="006A1D49">
        <w:tc>
          <w:tcPr>
            <w:tcW w:w="114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30C49A"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b/>
                <w:bCs/>
                <w:color w:val="1C1C1E"/>
                <w:sz w:val="18"/>
                <w:szCs w:val="18"/>
              </w:rPr>
              <w:t>Twinlytics</w:t>
            </w:r>
          </w:p>
        </w:tc>
        <w:tc>
          <w:tcPr>
            <w:tcW w:w="140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F31D97"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color w:val="1C1C1E"/>
                <w:sz w:val="18"/>
                <w:szCs w:val="18"/>
              </w:rPr>
              <w:t>Diary-grounded, consent-first twins</w:t>
            </w:r>
          </w:p>
        </w:tc>
        <w:tc>
          <w:tcPr>
            <w:tcW w:w="11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C2F4EF"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color w:val="1C1C1E"/>
                <w:sz w:val="18"/>
                <w:szCs w:val="18"/>
              </w:rPr>
              <w:t>Instant, thousands of twins</w:t>
            </w:r>
          </w:p>
        </w:tc>
        <w:tc>
          <w:tcPr>
            <w:tcW w:w="127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3B4ED0"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color w:val="1C1C1E"/>
                <w:sz w:val="18"/>
                <w:szCs w:val="18"/>
              </w:rPr>
              <w:t>Longitudinal, contextual, consent-based</w:t>
            </w:r>
          </w:p>
        </w:tc>
        <w:tc>
          <w:tcPr>
            <w:tcW w:w="11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84B612C"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color w:val="1C1C1E"/>
                <w:sz w:val="18"/>
                <w:szCs w:val="18"/>
              </w:rPr>
              <w:t>Full ownership and income</w:t>
            </w:r>
          </w:p>
        </w:tc>
        <w:tc>
          <w:tcPr>
            <w:tcW w:w="28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DBA621" w14:textId="77777777" w:rsidR="00620B9E" w:rsidRPr="008440CF" w:rsidRDefault="00620B9E" w:rsidP="00A4621E">
            <w:pPr>
              <w:jc w:val="both"/>
              <w:rPr>
                <w:rFonts w:ascii="Amasis MT Pro" w:hAnsi="Amasis MT Pro"/>
                <w:sz w:val="18"/>
                <w:szCs w:val="18"/>
              </w:rPr>
            </w:pPr>
            <w:r w:rsidRPr="008440CF">
              <w:rPr>
                <w:rFonts w:ascii="Amasis MT Pro" w:eastAsia="Arial" w:hAnsi="Amasis MT Pro" w:cs="Arial"/>
                <w:color w:val="1C1C1E"/>
                <w:sz w:val="18"/>
                <w:szCs w:val="18"/>
              </w:rPr>
              <w:t>Early stage; cold start addressed in Section 7</w:t>
            </w:r>
          </w:p>
        </w:tc>
      </w:tr>
    </w:tbl>
    <w:p w14:paraId="26E79C60" w14:textId="77777777" w:rsidR="00620B9E" w:rsidRPr="008440CF" w:rsidRDefault="00620B9E" w:rsidP="00A4621E">
      <w:pPr>
        <w:spacing w:after="80"/>
        <w:jc w:val="both"/>
        <w:rPr>
          <w:rFonts w:ascii="Amasis MT Pro" w:hAnsi="Amasis MT Pro"/>
        </w:rPr>
      </w:pPr>
    </w:p>
    <w:p w14:paraId="6C930ACE" w14:textId="40E769DE"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 xml:space="preserve">Twinlytics differs from existing platforms in three concrete ways. First, it uses active, first-party diary data rather than passive tracking or scraped profiles. Digital twins on Twinlytics are </w:t>
      </w:r>
      <w:r w:rsidR="00350524" w:rsidRPr="008440CF">
        <w:rPr>
          <w:rFonts w:ascii="Amasis MT Pro" w:eastAsia="Arial" w:hAnsi="Amasis MT Pro" w:cs="Arial"/>
          <w:color w:val="1C1C1E"/>
        </w:rPr>
        <w:t>correct</w:t>
      </w:r>
      <w:r w:rsidRPr="008440CF">
        <w:rPr>
          <w:rFonts w:ascii="Amasis MT Pro" w:eastAsia="Arial" w:hAnsi="Amasis MT Pro" w:cs="Arial"/>
          <w:color w:val="1C1C1E"/>
        </w:rPr>
        <w:t xml:space="preserve"> models of specific individuals, based on what those individuals have consciously written and recorded, unlike generic synthetic personas drawn from population statistics [R11]. Every entry is made in context, with time, location, and personal framing attached. Digital diary research has been shown to reduce the recall bias that affects surveys taken after the fact [R27].</w:t>
      </w:r>
    </w:p>
    <w:p w14:paraId="401877F3" w14:textId="66C1FCE8"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 xml:space="preserve">Second, Twinlytics twins evolve continuously as users contribute over weeks and months. This enables clients to run ongoing simulation tests rather than relying on a single data collection event. As Greenbook research describes, </w:t>
      </w:r>
      <w:r w:rsidR="00856A17" w:rsidRPr="008440CF">
        <w:rPr>
          <w:rFonts w:ascii="Amasis MT Pro" w:eastAsia="Arial" w:hAnsi="Amasis MT Pro" w:cs="Arial"/>
          <w:color w:val="1C1C1E"/>
        </w:rPr>
        <w:t>confirmed</w:t>
      </w:r>
      <w:r w:rsidRPr="008440CF">
        <w:rPr>
          <w:rFonts w:ascii="Amasis MT Pro" w:eastAsia="Arial" w:hAnsi="Amasis MT Pro" w:cs="Arial"/>
          <w:color w:val="1C1C1E"/>
        </w:rPr>
        <w:t xml:space="preserve"> digital twins offer evolving feedback that grows alongside a client's strategy, replacing outdated point-in-time methods [R8]. Features like Local Pulse Maps and TwinMatch have no equivalent in existing research panels and add genuine community value beyond isolated data points.</w:t>
      </w:r>
    </w:p>
    <w:p w14:paraId="78CECBAE" w14:textId="79855264"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 xml:space="preserve">Third, and most importantly, Twinlytics compensates the people whose data powers the simulations. No competitor does this. Simile AI raised EUR 93 million in February 2026, led by Index Ventures with participation from Fei-Fei Li and Andrej Karpathy [R16]. CVS Health, Telstra, and Banco Itau are among its early clients, and the platform reportedly predicts analyst questions with 80 to 85% accuracy in simulated earnings calls [R17]. This </w:t>
      </w:r>
      <w:r w:rsidR="00856A17" w:rsidRPr="008440CF">
        <w:rPr>
          <w:rFonts w:ascii="Amasis MT Pro" w:eastAsia="Arial" w:hAnsi="Amasis MT Pro" w:cs="Arial"/>
          <w:color w:val="1C1C1E"/>
        </w:rPr>
        <w:t>confirms</w:t>
      </w:r>
      <w:r w:rsidRPr="008440CF">
        <w:rPr>
          <w:rFonts w:ascii="Amasis MT Pro" w:eastAsia="Arial" w:hAnsi="Amasis MT Pro" w:cs="Arial"/>
          <w:color w:val="1C1C1E"/>
        </w:rPr>
        <w:t xml:space="preserve"> the category. But Simile builds its twin models from interviews with real people who receive no ownership, no compensation, and no transparency into how their data is used. Twinlytics makes all three </w:t>
      </w:r>
      <w:r w:rsidR="00350524" w:rsidRPr="008440CF">
        <w:rPr>
          <w:rFonts w:ascii="Amasis MT Pro" w:eastAsia="Arial" w:hAnsi="Amasis MT Pro" w:cs="Arial"/>
          <w:color w:val="1C1C1E"/>
        </w:rPr>
        <w:t>centrals</w:t>
      </w:r>
      <w:r w:rsidRPr="008440CF">
        <w:rPr>
          <w:rFonts w:ascii="Amasis MT Pro" w:eastAsia="Arial" w:hAnsi="Amasis MT Pro" w:cs="Arial"/>
          <w:color w:val="1C1C1E"/>
        </w:rPr>
        <w:t xml:space="preserve"> to its design.</w:t>
      </w:r>
    </w:p>
    <w:p w14:paraId="3068BCC3" w14:textId="77777777" w:rsidR="00620B9E" w:rsidRPr="008440CF" w:rsidRDefault="00620B9E" w:rsidP="00A4621E">
      <w:pPr>
        <w:pStyle w:val="Heading1"/>
        <w:jc w:val="both"/>
        <w:rPr>
          <w:rFonts w:ascii="Amasis MT Pro" w:hAnsi="Amasis MT Pro"/>
          <w:sz w:val="20"/>
          <w:szCs w:val="20"/>
        </w:rPr>
      </w:pPr>
      <w:r w:rsidRPr="008440CF">
        <w:rPr>
          <w:rFonts w:ascii="Amasis MT Pro" w:eastAsia="Arial" w:hAnsi="Amasis MT Pro" w:cs="Arial"/>
          <w:b/>
          <w:bCs/>
          <w:color w:val="000000"/>
          <w:sz w:val="20"/>
          <w:szCs w:val="20"/>
        </w:rPr>
        <w:t>6. Business Model</w:t>
      </w:r>
    </w:p>
    <w:p w14:paraId="4D183971" w14:textId="29A72CAA"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Twinlytics generates revenue from the enterprise side of the marketplace while compensating users on the supply side. Pricing is structured to be accessible to early-stage clients and scalable for large organisations.</w:t>
      </w:r>
    </w:p>
    <w:p w14:paraId="356070DA" w14:textId="77777777" w:rsidR="00620B9E" w:rsidRPr="008440CF" w:rsidRDefault="00620B9E" w:rsidP="00A4621E">
      <w:pPr>
        <w:pStyle w:val="Heading2"/>
        <w:jc w:val="both"/>
        <w:rPr>
          <w:rFonts w:ascii="Amasis MT Pro" w:hAnsi="Amasis MT Pro"/>
          <w:sz w:val="20"/>
          <w:szCs w:val="20"/>
        </w:rPr>
      </w:pPr>
      <w:r w:rsidRPr="008440CF">
        <w:rPr>
          <w:rFonts w:ascii="Amasis MT Pro" w:eastAsia="Arial" w:hAnsi="Amasis MT Pro" w:cs="Arial"/>
          <w:b/>
          <w:bCs/>
          <w:color w:val="1C1C1E"/>
          <w:sz w:val="20"/>
          <w:szCs w:val="20"/>
        </w:rPr>
        <w:t>6.1 Revenue Tiers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700"/>
        <w:gridCol w:w="1400"/>
        <w:gridCol w:w="4026"/>
      </w:tblGrid>
      <w:tr w:rsidR="00620B9E" w:rsidRPr="006A1D49" w14:paraId="639A776F" w14:textId="77777777" w:rsidTr="00704D1C">
        <w:tc>
          <w:tcPr>
            <w:tcW w:w="1900" w:type="dxa"/>
            <w:tcBorders>
              <w:top w:val="single" w:sz="1" w:space="0" w:color="CCCCCC"/>
              <w:left w:val="single" w:sz="1" w:space="0" w:color="CCCCCC"/>
              <w:bottom w:val="single" w:sz="1" w:space="0" w:color="CCCCCC"/>
              <w:right w:val="single" w:sz="1" w:space="0" w:color="CCCCCC"/>
            </w:tcBorders>
            <w:shd w:val="clear" w:color="auto" w:fill="1C1C1E"/>
            <w:tcMar>
              <w:top w:w="100" w:type="dxa"/>
              <w:left w:w="120" w:type="dxa"/>
              <w:bottom w:w="100" w:type="dxa"/>
              <w:right w:w="120" w:type="dxa"/>
            </w:tcMar>
            <w:vAlign w:val="center"/>
          </w:tcPr>
          <w:p w14:paraId="4FD63C01" w14:textId="77777777" w:rsidR="00620B9E" w:rsidRPr="006A1D49" w:rsidRDefault="00620B9E" w:rsidP="00A4621E">
            <w:pPr>
              <w:jc w:val="both"/>
              <w:rPr>
                <w:rFonts w:ascii="Amasis MT Pro" w:hAnsi="Amasis MT Pro"/>
                <w:sz w:val="18"/>
                <w:szCs w:val="18"/>
              </w:rPr>
            </w:pPr>
            <w:r w:rsidRPr="006A1D49">
              <w:rPr>
                <w:rFonts w:ascii="Amasis MT Pro" w:eastAsia="Arial" w:hAnsi="Amasis MT Pro" w:cs="Arial"/>
                <w:b/>
                <w:bCs/>
                <w:color w:val="FFFFFF"/>
                <w:sz w:val="18"/>
                <w:szCs w:val="18"/>
              </w:rPr>
              <w:t>Tier</w:t>
            </w:r>
          </w:p>
        </w:tc>
        <w:tc>
          <w:tcPr>
            <w:tcW w:w="1700" w:type="dxa"/>
            <w:tcBorders>
              <w:top w:val="single" w:sz="1" w:space="0" w:color="CCCCCC"/>
              <w:left w:val="single" w:sz="1" w:space="0" w:color="CCCCCC"/>
              <w:bottom w:val="single" w:sz="1" w:space="0" w:color="CCCCCC"/>
              <w:right w:val="single" w:sz="1" w:space="0" w:color="CCCCCC"/>
            </w:tcBorders>
            <w:shd w:val="clear" w:color="auto" w:fill="1C1C1E"/>
            <w:tcMar>
              <w:top w:w="100" w:type="dxa"/>
              <w:left w:w="120" w:type="dxa"/>
              <w:bottom w:w="100" w:type="dxa"/>
              <w:right w:w="120" w:type="dxa"/>
            </w:tcMar>
            <w:vAlign w:val="center"/>
          </w:tcPr>
          <w:p w14:paraId="68C8BFE9" w14:textId="77777777" w:rsidR="00620B9E" w:rsidRPr="006A1D49" w:rsidRDefault="00620B9E" w:rsidP="00A4621E">
            <w:pPr>
              <w:jc w:val="both"/>
              <w:rPr>
                <w:rFonts w:ascii="Amasis MT Pro" w:hAnsi="Amasis MT Pro"/>
                <w:sz w:val="18"/>
                <w:szCs w:val="18"/>
              </w:rPr>
            </w:pPr>
            <w:r w:rsidRPr="006A1D49">
              <w:rPr>
                <w:rFonts w:ascii="Amasis MT Pro" w:eastAsia="Arial" w:hAnsi="Amasis MT Pro" w:cs="Arial"/>
                <w:b/>
                <w:bCs/>
                <w:color w:val="FFFFFF"/>
                <w:sz w:val="18"/>
                <w:szCs w:val="18"/>
              </w:rPr>
              <w:t>Price</w:t>
            </w:r>
          </w:p>
        </w:tc>
        <w:tc>
          <w:tcPr>
            <w:tcW w:w="1400" w:type="dxa"/>
            <w:tcBorders>
              <w:top w:val="single" w:sz="1" w:space="0" w:color="CCCCCC"/>
              <w:left w:val="single" w:sz="1" w:space="0" w:color="CCCCCC"/>
              <w:bottom w:val="single" w:sz="1" w:space="0" w:color="CCCCCC"/>
              <w:right w:val="single" w:sz="1" w:space="0" w:color="CCCCCC"/>
            </w:tcBorders>
            <w:shd w:val="clear" w:color="auto" w:fill="1C1C1E"/>
            <w:tcMar>
              <w:top w:w="100" w:type="dxa"/>
              <w:left w:w="120" w:type="dxa"/>
              <w:bottom w:w="100" w:type="dxa"/>
              <w:right w:w="120" w:type="dxa"/>
            </w:tcMar>
            <w:vAlign w:val="center"/>
          </w:tcPr>
          <w:p w14:paraId="78774DC5" w14:textId="77777777" w:rsidR="00620B9E" w:rsidRPr="006A1D49" w:rsidRDefault="00620B9E" w:rsidP="00A4621E">
            <w:pPr>
              <w:jc w:val="both"/>
              <w:rPr>
                <w:rFonts w:ascii="Amasis MT Pro" w:hAnsi="Amasis MT Pro"/>
                <w:sz w:val="18"/>
                <w:szCs w:val="18"/>
              </w:rPr>
            </w:pPr>
            <w:r w:rsidRPr="006A1D49">
              <w:rPr>
                <w:rFonts w:ascii="Amasis MT Pro" w:eastAsia="Arial" w:hAnsi="Amasis MT Pro" w:cs="Arial"/>
                <w:b/>
                <w:bCs/>
                <w:color w:val="FFFFFF"/>
                <w:sz w:val="18"/>
                <w:szCs w:val="18"/>
              </w:rPr>
              <w:t>Audience</w:t>
            </w:r>
          </w:p>
        </w:tc>
        <w:tc>
          <w:tcPr>
            <w:tcW w:w="4026" w:type="dxa"/>
            <w:tcBorders>
              <w:top w:val="single" w:sz="1" w:space="0" w:color="CCCCCC"/>
              <w:left w:val="single" w:sz="1" w:space="0" w:color="CCCCCC"/>
              <w:bottom w:val="single" w:sz="1" w:space="0" w:color="CCCCCC"/>
              <w:right w:val="single" w:sz="1" w:space="0" w:color="CCCCCC"/>
            </w:tcBorders>
            <w:shd w:val="clear" w:color="auto" w:fill="1C1C1E"/>
            <w:tcMar>
              <w:top w:w="100" w:type="dxa"/>
              <w:left w:w="120" w:type="dxa"/>
              <w:bottom w:w="100" w:type="dxa"/>
              <w:right w:w="120" w:type="dxa"/>
            </w:tcMar>
            <w:vAlign w:val="center"/>
          </w:tcPr>
          <w:p w14:paraId="13EF6FA3" w14:textId="77777777" w:rsidR="00620B9E" w:rsidRPr="006A1D49" w:rsidRDefault="00620B9E" w:rsidP="00A4621E">
            <w:pPr>
              <w:jc w:val="both"/>
              <w:rPr>
                <w:rFonts w:ascii="Amasis MT Pro" w:hAnsi="Amasis MT Pro"/>
                <w:sz w:val="18"/>
                <w:szCs w:val="18"/>
              </w:rPr>
            </w:pPr>
            <w:r w:rsidRPr="006A1D49">
              <w:rPr>
                <w:rFonts w:ascii="Amasis MT Pro" w:eastAsia="Arial" w:hAnsi="Amasis MT Pro" w:cs="Arial"/>
                <w:b/>
                <w:bCs/>
                <w:color w:val="FFFFFF"/>
                <w:sz w:val="18"/>
                <w:szCs w:val="18"/>
              </w:rPr>
              <w:t>What It Includes</w:t>
            </w:r>
          </w:p>
        </w:tc>
      </w:tr>
      <w:tr w:rsidR="00620B9E" w:rsidRPr="006A1D49" w14:paraId="37961D31" w14:textId="77777777" w:rsidTr="00704D1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E4D882" w14:textId="77777777" w:rsidR="00620B9E" w:rsidRPr="006A1D49" w:rsidRDefault="00620B9E" w:rsidP="00A4621E">
            <w:pPr>
              <w:jc w:val="both"/>
              <w:rPr>
                <w:rFonts w:ascii="Amasis MT Pro" w:hAnsi="Amasis MT Pro"/>
                <w:sz w:val="18"/>
                <w:szCs w:val="18"/>
              </w:rPr>
            </w:pPr>
            <w:r w:rsidRPr="006A1D49">
              <w:rPr>
                <w:rFonts w:ascii="Amasis MT Pro" w:eastAsia="Arial" w:hAnsi="Amasis MT Pro" w:cs="Arial"/>
                <w:color w:val="1C1C1E"/>
                <w:sz w:val="18"/>
                <w:szCs w:val="18"/>
              </w:rPr>
              <w:t>Pay-Per-Simulation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52BE61" w14:textId="77777777" w:rsidR="00620B9E" w:rsidRPr="006A1D49" w:rsidRDefault="00620B9E" w:rsidP="00A4621E">
            <w:pPr>
              <w:jc w:val="both"/>
              <w:rPr>
                <w:rFonts w:ascii="Amasis MT Pro" w:hAnsi="Amasis MT Pro"/>
                <w:sz w:val="18"/>
                <w:szCs w:val="18"/>
              </w:rPr>
            </w:pPr>
            <w:r w:rsidRPr="006A1D49">
              <w:rPr>
                <w:rFonts w:ascii="Amasis MT Pro" w:eastAsia="Arial" w:hAnsi="Amasis MT Pro" w:cs="Arial"/>
                <w:color w:val="1C1C1E"/>
                <w:sz w:val="18"/>
                <w:szCs w:val="18"/>
              </w:rPr>
              <w:t>EUR 1 to EUR 5 per twin per test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5E7032" w14:textId="77777777" w:rsidR="00620B9E" w:rsidRPr="006A1D49" w:rsidRDefault="00620B9E" w:rsidP="00A4621E">
            <w:pPr>
              <w:jc w:val="both"/>
              <w:rPr>
                <w:rFonts w:ascii="Amasis MT Pro" w:hAnsi="Amasis MT Pro"/>
                <w:sz w:val="18"/>
                <w:szCs w:val="18"/>
              </w:rPr>
            </w:pPr>
            <w:r w:rsidRPr="006A1D49">
              <w:rPr>
                <w:rFonts w:ascii="Amasis MT Pro" w:eastAsia="Arial" w:hAnsi="Amasis MT Pro" w:cs="Arial"/>
                <w:color w:val="1C1C1E"/>
                <w:sz w:val="18"/>
                <w:szCs w:val="18"/>
              </w:rPr>
              <w:t>Startups, independent researchers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0309A7" w14:textId="77777777" w:rsidR="00620B9E" w:rsidRPr="006A1D49" w:rsidRDefault="00620B9E" w:rsidP="00A4621E">
            <w:pPr>
              <w:jc w:val="both"/>
              <w:rPr>
                <w:rFonts w:ascii="Amasis MT Pro" w:hAnsi="Amasis MT Pro"/>
                <w:sz w:val="18"/>
                <w:szCs w:val="18"/>
              </w:rPr>
            </w:pPr>
            <w:r w:rsidRPr="006A1D49">
              <w:rPr>
                <w:rFonts w:ascii="Amasis MT Pro" w:eastAsia="Arial" w:hAnsi="Amasis MT Pro" w:cs="Arial"/>
                <w:color w:val="1C1C1E"/>
                <w:sz w:val="18"/>
                <w:szCs w:val="18"/>
              </w:rPr>
              <w:t>Transactional access with no subscription commitment. Suitable for concept validation.</w:t>
            </w:r>
          </w:p>
        </w:tc>
      </w:tr>
      <w:tr w:rsidR="00620B9E" w:rsidRPr="006A1D49" w14:paraId="32ED23BE" w14:textId="77777777" w:rsidTr="00704D1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EAAC42" w14:textId="77777777" w:rsidR="00620B9E" w:rsidRPr="006A1D49" w:rsidRDefault="00620B9E" w:rsidP="00A4621E">
            <w:pPr>
              <w:jc w:val="both"/>
              <w:rPr>
                <w:rFonts w:ascii="Amasis MT Pro" w:hAnsi="Amasis MT Pro"/>
                <w:sz w:val="18"/>
                <w:szCs w:val="18"/>
              </w:rPr>
            </w:pPr>
            <w:r w:rsidRPr="006A1D49">
              <w:rPr>
                <w:rFonts w:ascii="Amasis MT Pro" w:eastAsia="Arial" w:hAnsi="Amasis MT Pro" w:cs="Arial"/>
                <w:color w:val="1C1C1E"/>
                <w:sz w:val="18"/>
                <w:szCs w:val="18"/>
              </w:rPr>
              <w:t>Starter Subscription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DF1016" w14:textId="77777777" w:rsidR="00620B9E" w:rsidRPr="006A1D49" w:rsidRDefault="00620B9E" w:rsidP="00A4621E">
            <w:pPr>
              <w:jc w:val="both"/>
              <w:rPr>
                <w:rFonts w:ascii="Amasis MT Pro" w:hAnsi="Amasis MT Pro"/>
                <w:sz w:val="18"/>
                <w:szCs w:val="18"/>
              </w:rPr>
            </w:pPr>
            <w:r w:rsidRPr="006A1D49">
              <w:rPr>
                <w:rFonts w:ascii="Amasis MT Pro" w:eastAsia="Arial" w:hAnsi="Amasis MT Pro" w:cs="Arial"/>
                <w:color w:val="1C1C1E"/>
                <w:sz w:val="18"/>
                <w:szCs w:val="18"/>
              </w:rPr>
              <w:t>EUR 99 per month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78C0A2" w14:textId="77777777" w:rsidR="00620B9E" w:rsidRPr="006A1D49" w:rsidRDefault="00620B9E" w:rsidP="00A4621E">
            <w:pPr>
              <w:jc w:val="both"/>
              <w:rPr>
                <w:rFonts w:ascii="Amasis MT Pro" w:hAnsi="Amasis MT Pro"/>
                <w:sz w:val="18"/>
                <w:szCs w:val="18"/>
              </w:rPr>
            </w:pPr>
            <w:r w:rsidRPr="006A1D49">
              <w:rPr>
                <w:rFonts w:ascii="Amasis MT Pro" w:eastAsia="Arial" w:hAnsi="Amasis MT Pro" w:cs="Arial"/>
                <w:color w:val="1C1C1E"/>
                <w:sz w:val="18"/>
                <w:szCs w:val="18"/>
              </w:rPr>
              <w:t>Small teams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82D9E0" w14:textId="77777777" w:rsidR="00620B9E" w:rsidRPr="006A1D49" w:rsidRDefault="00620B9E" w:rsidP="00A4621E">
            <w:pPr>
              <w:jc w:val="both"/>
              <w:rPr>
                <w:rFonts w:ascii="Amasis MT Pro" w:hAnsi="Amasis MT Pro"/>
                <w:sz w:val="18"/>
                <w:szCs w:val="18"/>
              </w:rPr>
            </w:pPr>
            <w:r w:rsidRPr="006A1D49">
              <w:rPr>
                <w:rFonts w:ascii="Amasis MT Pro" w:eastAsia="Arial" w:hAnsi="Amasis MT Pro" w:cs="Arial"/>
                <w:color w:val="1C1C1E"/>
                <w:sz w:val="18"/>
                <w:szCs w:val="18"/>
              </w:rPr>
              <w:t>Up to 50 twin queries per month, basic analytics dashboard, standard segment filters</w:t>
            </w:r>
          </w:p>
        </w:tc>
      </w:tr>
      <w:tr w:rsidR="00620B9E" w:rsidRPr="006A1D49" w14:paraId="62BF7B79" w14:textId="77777777" w:rsidTr="00704D1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8100CC" w14:textId="77777777" w:rsidR="00620B9E" w:rsidRPr="006A1D49" w:rsidRDefault="00620B9E" w:rsidP="00A4621E">
            <w:pPr>
              <w:jc w:val="both"/>
              <w:rPr>
                <w:rFonts w:ascii="Amasis MT Pro" w:hAnsi="Amasis MT Pro"/>
                <w:sz w:val="18"/>
                <w:szCs w:val="18"/>
              </w:rPr>
            </w:pPr>
            <w:r w:rsidRPr="006A1D49">
              <w:rPr>
                <w:rFonts w:ascii="Amasis MT Pro" w:eastAsia="Arial" w:hAnsi="Amasis MT Pro" w:cs="Arial"/>
                <w:color w:val="1C1C1E"/>
                <w:sz w:val="18"/>
                <w:szCs w:val="18"/>
              </w:rPr>
              <w:t>Growth Subscription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08649B" w14:textId="77777777" w:rsidR="00620B9E" w:rsidRPr="006A1D49" w:rsidRDefault="00620B9E" w:rsidP="00A4621E">
            <w:pPr>
              <w:jc w:val="both"/>
              <w:rPr>
                <w:rFonts w:ascii="Amasis MT Pro" w:hAnsi="Amasis MT Pro"/>
                <w:sz w:val="18"/>
                <w:szCs w:val="18"/>
              </w:rPr>
            </w:pPr>
            <w:r w:rsidRPr="006A1D49">
              <w:rPr>
                <w:rFonts w:ascii="Amasis MT Pro" w:eastAsia="Arial" w:hAnsi="Amasis MT Pro" w:cs="Arial"/>
                <w:color w:val="1C1C1E"/>
                <w:sz w:val="18"/>
                <w:szCs w:val="18"/>
              </w:rPr>
              <w:t>EUR 499 per month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08679F" w14:textId="77777777" w:rsidR="00620B9E" w:rsidRPr="006A1D49" w:rsidRDefault="00620B9E" w:rsidP="00A4621E">
            <w:pPr>
              <w:jc w:val="both"/>
              <w:rPr>
                <w:rFonts w:ascii="Amasis MT Pro" w:hAnsi="Amasis MT Pro"/>
                <w:sz w:val="18"/>
                <w:szCs w:val="18"/>
              </w:rPr>
            </w:pPr>
            <w:r w:rsidRPr="006A1D49">
              <w:rPr>
                <w:rFonts w:ascii="Amasis MT Pro" w:eastAsia="Arial" w:hAnsi="Amasis MT Pro" w:cs="Arial"/>
                <w:color w:val="1C1C1E"/>
                <w:sz w:val="18"/>
                <w:szCs w:val="18"/>
              </w:rPr>
              <w:t>Mid-market brands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7C2C62" w14:textId="77777777" w:rsidR="00620B9E" w:rsidRPr="006A1D49" w:rsidRDefault="00620B9E" w:rsidP="00A4621E">
            <w:pPr>
              <w:jc w:val="both"/>
              <w:rPr>
                <w:rFonts w:ascii="Amasis MT Pro" w:hAnsi="Amasis MT Pro"/>
                <w:sz w:val="18"/>
                <w:szCs w:val="18"/>
              </w:rPr>
            </w:pPr>
            <w:r w:rsidRPr="006A1D49">
              <w:rPr>
                <w:rFonts w:ascii="Amasis MT Pro" w:eastAsia="Arial" w:hAnsi="Amasis MT Pro" w:cs="Arial"/>
                <w:color w:val="1C1C1E"/>
                <w:sz w:val="18"/>
                <w:szCs w:val="18"/>
              </w:rPr>
              <w:t>Up to 500 twin queries, advanced segment builder, longitudinal tracking, export API</w:t>
            </w:r>
          </w:p>
        </w:tc>
      </w:tr>
      <w:tr w:rsidR="00620B9E" w:rsidRPr="006A1D49" w14:paraId="3556B836" w14:textId="77777777" w:rsidTr="00704D1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F0C2EC" w14:textId="77777777" w:rsidR="00620B9E" w:rsidRPr="006A1D49" w:rsidRDefault="00620B9E" w:rsidP="00A4621E">
            <w:pPr>
              <w:jc w:val="both"/>
              <w:rPr>
                <w:rFonts w:ascii="Amasis MT Pro" w:hAnsi="Amasis MT Pro"/>
                <w:sz w:val="18"/>
                <w:szCs w:val="18"/>
              </w:rPr>
            </w:pPr>
            <w:r w:rsidRPr="006A1D49">
              <w:rPr>
                <w:rFonts w:ascii="Amasis MT Pro" w:eastAsia="Arial" w:hAnsi="Amasis MT Pro" w:cs="Arial"/>
                <w:color w:val="1C1C1E"/>
                <w:sz w:val="18"/>
                <w:szCs w:val="18"/>
              </w:rPr>
              <w:lastRenderedPageBreak/>
              <w:t>Enterprise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72BC24" w14:textId="77777777" w:rsidR="00620B9E" w:rsidRPr="006A1D49" w:rsidRDefault="00620B9E" w:rsidP="00A4621E">
            <w:pPr>
              <w:jc w:val="both"/>
              <w:rPr>
                <w:rFonts w:ascii="Amasis MT Pro" w:hAnsi="Amasis MT Pro"/>
                <w:sz w:val="18"/>
                <w:szCs w:val="18"/>
              </w:rPr>
            </w:pPr>
            <w:r w:rsidRPr="006A1D49">
              <w:rPr>
                <w:rFonts w:ascii="Amasis MT Pro" w:eastAsia="Arial" w:hAnsi="Amasis MT Pro" w:cs="Arial"/>
                <w:color w:val="1C1C1E"/>
                <w:sz w:val="18"/>
                <w:szCs w:val="18"/>
              </w:rPr>
              <w:t>EUR 5,000+ per month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A873D6" w14:textId="77777777" w:rsidR="00620B9E" w:rsidRPr="006A1D49" w:rsidRDefault="00620B9E" w:rsidP="00A4621E">
            <w:pPr>
              <w:jc w:val="both"/>
              <w:rPr>
                <w:rFonts w:ascii="Amasis MT Pro" w:hAnsi="Amasis MT Pro"/>
                <w:sz w:val="18"/>
                <w:szCs w:val="18"/>
              </w:rPr>
            </w:pPr>
            <w:r w:rsidRPr="006A1D49">
              <w:rPr>
                <w:rFonts w:ascii="Amasis MT Pro" w:eastAsia="Arial" w:hAnsi="Amasis MT Pro" w:cs="Arial"/>
                <w:color w:val="1C1C1E"/>
                <w:sz w:val="18"/>
                <w:szCs w:val="18"/>
              </w:rPr>
              <w:t>Financial services, large CPG, government</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70D2E0" w14:textId="4C16BED6" w:rsidR="00620B9E" w:rsidRPr="006A1D49" w:rsidRDefault="00620B9E" w:rsidP="00A4621E">
            <w:pPr>
              <w:jc w:val="both"/>
              <w:rPr>
                <w:rFonts w:ascii="Amasis MT Pro" w:hAnsi="Amasis MT Pro"/>
                <w:sz w:val="18"/>
                <w:szCs w:val="18"/>
              </w:rPr>
            </w:pPr>
            <w:r w:rsidRPr="006A1D49">
              <w:rPr>
                <w:rFonts w:ascii="Amasis MT Pro" w:eastAsia="Arial" w:hAnsi="Amasis MT Pro" w:cs="Arial"/>
                <w:color w:val="1C1C1E"/>
                <w:sz w:val="18"/>
                <w:szCs w:val="18"/>
              </w:rPr>
              <w:t xml:space="preserve">Unlimited queries, custom twin segments, account management, regulatory compliance package, white-label </w:t>
            </w:r>
            <w:r w:rsidR="00856A17" w:rsidRPr="006A1D49">
              <w:rPr>
                <w:rFonts w:ascii="Amasis MT Pro" w:eastAsia="Arial" w:hAnsi="Amasis MT Pro" w:cs="Arial"/>
                <w:color w:val="1C1C1E"/>
                <w:sz w:val="18"/>
                <w:szCs w:val="18"/>
              </w:rPr>
              <w:t>possibility</w:t>
            </w:r>
          </w:p>
        </w:tc>
      </w:tr>
    </w:tbl>
    <w:p w14:paraId="5AE5CB7A" w14:textId="77777777" w:rsidR="00620B9E" w:rsidRPr="008440CF" w:rsidRDefault="00620B9E" w:rsidP="00A4621E">
      <w:pPr>
        <w:spacing w:after="80"/>
        <w:jc w:val="both"/>
        <w:rPr>
          <w:rFonts w:ascii="Amasis MT Pro" w:hAnsi="Amasis MT Pro"/>
        </w:rPr>
      </w:pPr>
    </w:p>
    <w:p w14:paraId="12B345CA" w14:textId="4B0139E2"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 xml:space="preserve">Approximately 30% of every revenue transaction is distributed to the user whose twin was queried. This is built into </w:t>
      </w:r>
      <w:r w:rsidR="00E84667" w:rsidRPr="008440CF">
        <w:rPr>
          <w:rFonts w:ascii="Amasis MT Pro" w:eastAsia="Arial" w:hAnsi="Amasis MT Pro" w:cs="Arial"/>
          <w:color w:val="1C1C1E"/>
        </w:rPr>
        <w:t>platform</w:t>
      </w:r>
      <w:r w:rsidRPr="008440CF">
        <w:rPr>
          <w:rFonts w:ascii="Amasis MT Pro" w:eastAsia="Arial" w:hAnsi="Amasis MT Pro" w:cs="Arial"/>
          <w:color w:val="1C1C1E"/>
        </w:rPr>
        <w:t xml:space="preserve"> architecture, not offered as a bonus.</w:t>
      </w:r>
    </w:p>
    <w:p w14:paraId="0289085D" w14:textId="77777777" w:rsidR="00620B9E" w:rsidRPr="008440CF" w:rsidRDefault="00620B9E" w:rsidP="00A4621E">
      <w:pPr>
        <w:pStyle w:val="Heading2"/>
        <w:jc w:val="both"/>
        <w:rPr>
          <w:rFonts w:ascii="Amasis MT Pro" w:hAnsi="Amasis MT Pro"/>
          <w:sz w:val="20"/>
          <w:szCs w:val="20"/>
        </w:rPr>
      </w:pPr>
      <w:r w:rsidRPr="008440CF">
        <w:rPr>
          <w:rFonts w:ascii="Amasis MT Pro" w:eastAsia="Arial" w:hAnsi="Amasis MT Pro" w:cs="Arial"/>
          <w:b/>
          <w:bCs/>
          <w:color w:val="1C1C1E"/>
          <w:sz w:val="20"/>
          <w:szCs w:val="20"/>
        </w:rPr>
        <w:t>6</w:t>
      </w:r>
      <w:commentRangeStart w:id="1"/>
      <w:r w:rsidRPr="008440CF">
        <w:rPr>
          <w:rFonts w:ascii="Amasis MT Pro" w:eastAsia="Arial" w:hAnsi="Amasis MT Pro" w:cs="Arial"/>
          <w:b/>
          <w:bCs/>
          <w:color w:val="1C1C1E"/>
          <w:sz w:val="20"/>
          <w:szCs w:val="20"/>
        </w:rPr>
        <w:t>.2 Baseline Unit Economics</w:t>
      </w:r>
    </w:p>
    <w:p w14:paraId="5E12912E" w14:textId="77777777" w:rsidR="00620B9E" w:rsidRPr="008440CF" w:rsidRDefault="00620B9E" w:rsidP="00A4621E">
      <w:pPr>
        <w:pStyle w:val="ListParagraph"/>
        <w:numPr>
          <w:ilvl w:val="0"/>
          <w:numId w:val="2"/>
        </w:numPr>
        <w:spacing w:after="100"/>
        <w:jc w:val="both"/>
        <w:rPr>
          <w:rFonts w:ascii="Amasis MT Pro" w:hAnsi="Amasis MT Pro"/>
        </w:rPr>
      </w:pPr>
      <w:r w:rsidRPr="008440CF">
        <w:rPr>
          <w:rFonts w:ascii="Amasis MT Pro" w:eastAsia="Arial" w:hAnsi="Amasis MT Pro" w:cs="Arial"/>
          <w:color w:val="1C1C1E"/>
        </w:rPr>
        <w:t>Average annual revenue per enterprise client: EUR 36,000</w:t>
      </w:r>
    </w:p>
    <w:p w14:paraId="095870CD" w14:textId="77777777" w:rsidR="00620B9E" w:rsidRPr="008440CF" w:rsidRDefault="00620B9E" w:rsidP="00A4621E">
      <w:pPr>
        <w:pStyle w:val="ListParagraph"/>
        <w:numPr>
          <w:ilvl w:val="0"/>
          <w:numId w:val="2"/>
        </w:numPr>
        <w:spacing w:after="100"/>
        <w:jc w:val="both"/>
        <w:rPr>
          <w:rFonts w:ascii="Amasis MT Pro" w:hAnsi="Amasis MT Pro"/>
        </w:rPr>
      </w:pPr>
      <w:r w:rsidRPr="008440CF">
        <w:rPr>
          <w:rFonts w:ascii="Amasis MT Pro" w:eastAsia="Arial" w:hAnsi="Amasis MT Pro" w:cs="Arial"/>
          <w:color w:val="1C1C1E"/>
        </w:rPr>
        <w:t>Average annual revenue per Growth subscriber: EUR 5,988</w:t>
      </w:r>
    </w:p>
    <w:p w14:paraId="20EC1FD9" w14:textId="77777777" w:rsidR="00620B9E" w:rsidRPr="008440CF" w:rsidRDefault="00620B9E" w:rsidP="00A4621E">
      <w:pPr>
        <w:pStyle w:val="ListParagraph"/>
        <w:numPr>
          <w:ilvl w:val="0"/>
          <w:numId w:val="2"/>
        </w:numPr>
        <w:spacing w:after="100"/>
        <w:jc w:val="both"/>
        <w:rPr>
          <w:rFonts w:ascii="Amasis MT Pro" w:hAnsi="Amasis MT Pro"/>
        </w:rPr>
      </w:pPr>
      <w:r w:rsidRPr="008440CF">
        <w:rPr>
          <w:rFonts w:ascii="Amasis MT Pro" w:eastAsia="Arial" w:hAnsi="Amasis MT Pro" w:cs="Arial"/>
          <w:color w:val="1C1C1E"/>
        </w:rPr>
        <w:t>Average monthly earnings per actively queried twin: EUR 8 to EUR 30</w:t>
      </w:r>
    </w:p>
    <w:p w14:paraId="7F7367FA" w14:textId="56DC2045" w:rsidR="00620B9E" w:rsidRPr="008440CF" w:rsidRDefault="00620B9E" w:rsidP="00A4621E">
      <w:pPr>
        <w:pStyle w:val="ListParagraph"/>
        <w:numPr>
          <w:ilvl w:val="0"/>
          <w:numId w:val="2"/>
        </w:numPr>
        <w:spacing w:after="100"/>
        <w:jc w:val="both"/>
        <w:rPr>
          <w:rFonts w:ascii="Amasis MT Pro" w:hAnsi="Amasis MT Pro"/>
        </w:rPr>
      </w:pPr>
      <w:r w:rsidRPr="008440CF">
        <w:rPr>
          <w:rFonts w:ascii="Amasis MT Pro" w:eastAsia="Arial" w:hAnsi="Amasis MT Pro" w:cs="Arial"/>
          <w:color w:val="1C1C1E"/>
        </w:rPr>
        <w:t xml:space="preserve">Target gross margin at scale: 65 to 75%, driven by software-based delivery with low marginal cost per </w:t>
      </w:r>
      <w:r w:rsidR="00CC6AAB" w:rsidRPr="008440CF">
        <w:rPr>
          <w:rFonts w:ascii="Amasis MT Pro" w:eastAsia="Arial" w:hAnsi="Amasis MT Pro" w:cs="Arial"/>
          <w:color w:val="1C1C1E"/>
        </w:rPr>
        <w:t>simulation.</w:t>
      </w:r>
      <w:commentRangeEnd w:id="1"/>
      <w:r w:rsidR="00363236" w:rsidRPr="008440CF">
        <w:rPr>
          <w:rStyle w:val="CommentReference"/>
          <w:rFonts w:ascii="Amasis MT Pro" w:hAnsi="Amasis MT Pro"/>
          <w:sz w:val="20"/>
          <w:szCs w:val="20"/>
        </w:rPr>
        <w:commentReference w:id="1"/>
      </w:r>
    </w:p>
    <w:p w14:paraId="0968E9E5" w14:textId="77777777" w:rsidR="00620B9E" w:rsidRPr="008440CF" w:rsidRDefault="00620B9E" w:rsidP="00A4621E">
      <w:pPr>
        <w:pStyle w:val="Heading2"/>
        <w:jc w:val="both"/>
        <w:rPr>
          <w:rFonts w:ascii="Amasis MT Pro" w:hAnsi="Amasis MT Pro"/>
          <w:sz w:val="20"/>
          <w:szCs w:val="20"/>
        </w:rPr>
      </w:pPr>
      <w:r w:rsidRPr="008440CF">
        <w:rPr>
          <w:rFonts w:ascii="Amasis MT Pro" w:eastAsia="Arial" w:hAnsi="Amasis MT Pro" w:cs="Arial"/>
          <w:b/>
          <w:bCs/>
          <w:color w:val="1C1C1E"/>
          <w:sz w:val="20"/>
          <w:szCs w:val="20"/>
        </w:rPr>
        <w:t>6.3 The Flywheel</w:t>
      </w:r>
    </w:p>
    <w:p w14:paraId="2367E01B" w14:textId="38B84013"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The business model is designed around a self-reinforcing cycle. More users contribute richer behavioural data. Richer data improves simulation quality and twin accuracy. Better simulations attract more enterprise clients. More client revenue generates higher user earnings. Higher earnings attract more users. Each turn of the cycle strengthens the next.</w:t>
      </w:r>
    </w:p>
    <w:p w14:paraId="0D9D9558" w14:textId="7C2DEF0F"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 xml:space="preserve">This structure is </w:t>
      </w:r>
      <w:r w:rsidR="00CC6AAB" w:rsidRPr="008440CF">
        <w:rPr>
          <w:rFonts w:ascii="Amasis MT Pro" w:eastAsia="Arial" w:hAnsi="Amasis MT Pro" w:cs="Arial"/>
          <w:color w:val="1C1C1E"/>
        </w:rPr>
        <w:t>like</w:t>
      </w:r>
      <w:r w:rsidRPr="008440CF">
        <w:rPr>
          <w:rFonts w:ascii="Amasis MT Pro" w:eastAsia="Arial" w:hAnsi="Amasis MT Pro" w:cs="Arial"/>
          <w:color w:val="1C1C1E"/>
        </w:rPr>
        <w:t xml:space="preserve"> what has driven the growth of other successful two-sided marketplaces, from Airbnb to Upwork. The main challenge is starting the cycle before it can be self-sustaining. That challenge is addressed directly in Section 7.</w:t>
      </w:r>
    </w:p>
    <w:p w14:paraId="71770DBC" w14:textId="77777777" w:rsidR="00620B9E" w:rsidRPr="008440CF" w:rsidRDefault="00620B9E" w:rsidP="00A4621E">
      <w:pPr>
        <w:pStyle w:val="Heading1"/>
        <w:jc w:val="both"/>
        <w:rPr>
          <w:rFonts w:ascii="Amasis MT Pro" w:hAnsi="Amasis MT Pro"/>
          <w:sz w:val="20"/>
          <w:szCs w:val="20"/>
        </w:rPr>
      </w:pPr>
      <w:r w:rsidRPr="008440CF">
        <w:rPr>
          <w:rFonts w:ascii="Amasis MT Pro" w:eastAsia="Arial" w:hAnsi="Amasis MT Pro" w:cs="Arial"/>
          <w:b/>
          <w:bCs/>
          <w:color w:val="000000"/>
          <w:sz w:val="20"/>
          <w:szCs w:val="20"/>
        </w:rPr>
        <w:t>7. Cold Start Mitigation Plan</w:t>
      </w:r>
    </w:p>
    <w:p w14:paraId="3FB87EF9" w14:textId="3610BF73"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 xml:space="preserve">Every two-sided marketplace faces the same structural problem at launch. Businesses will not pay to query twins if there are few users, and users will not invest in building twins if there are no businesses querying them. Andrew Chen, in The Cold Start Problem, </w:t>
      </w:r>
      <w:r w:rsidR="002F1348" w:rsidRPr="008440CF">
        <w:rPr>
          <w:rFonts w:ascii="Amasis MT Pro" w:eastAsia="Arial" w:hAnsi="Amasis MT Pro" w:cs="Arial"/>
          <w:color w:val="1C1C1E"/>
        </w:rPr>
        <w:t>finds</w:t>
      </w:r>
      <w:r w:rsidRPr="008440CF">
        <w:rPr>
          <w:rFonts w:ascii="Amasis MT Pro" w:eastAsia="Arial" w:hAnsi="Amasis MT Pro" w:cs="Arial"/>
          <w:color w:val="1C1C1E"/>
        </w:rPr>
        <w:t xml:space="preserve"> this chicken-and-egg dynamic as the primary cause of failure for networked products [R18].</w:t>
      </w:r>
    </w:p>
    <w:p w14:paraId="2F00D32D" w14:textId="4C8C66A7"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The encouraging news is that this problem has been solved before, and the strategies are well documented. Airbnb addressed it by using Craigslist's existing audience rather than waiting to build its own. In 2008, Brian Chesky and Joe Gebbia manually contacted every Craigslist user listing short-term rentals in San Francisco and persuaded them to cross-list on Airbnb. They later reverse-engineered Craigslist's form submission process to automate this [R19]. They did not wait for scale to arrive. They went to where their users already were. Uber addressed the problem by paying drivers guaranteed hourly rates in launch cities, creating reliable supply before sufficient demand existed [R20]. Facebook restricted access to a single university campus until a dense enough social network had formed, then expanded campus by campus [R21].</w:t>
      </w:r>
    </w:p>
    <w:p w14:paraId="49E42979" w14:textId="3AEC3301"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 xml:space="preserve">For Twinlytics, the harder side to </w:t>
      </w:r>
      <w:r w:rsidR="00CC6AAB" w:rsidRPr="008440CF">
        <w:rPr>
          <w:rFonts w:ascii="Amasis MT Pro" w:eastAsia="Arial" w:hAnsi="Amasis MT Pro" w:cs="Arial"/>
          <w:color w:val="1C1C1E"/>
        </w:rPr>
        <w:t>get</w:t>
      </w:r>
      <w:r w:rsidRPr="008440CF">
        <w:rPr>
          <w:rFonts w:ascii="Amasis MT Pro" w:eastAsia="Arial" w:hAnsi="Amasis MT Pro" w:cs="Arial"/>
          <w:color w:val="1C1C1E"/>
        </w:rPr>
        <w:t xml:space="preserve"> is the supply side: individual users who will build and </w:t>
      </w:r>
      <w:r w:rsidR="002F1348" w:rsidRPr="008440CF">
        <w:rPr>
          <w:rFonts w:ascii="Amasis MT Pro" w:eastAsia="Arial" w:hAnsi="Amasis MT Pro" w:cs="Arial"/>
          <w:color w:val="1C1C1E"/>
        </w:rPr>
        <w:t>keep</w:t>
      </w:r>
      <w:r w:rsidRPr="008440CF">
        <w:rPr>
          <w:rFonts w:ascii="Amasis MT Pro" w:eastAsia="Arial" w:hAnsi="Amasis MT Pro" w:cs="Arial"/>
          <w:color w:val="1C1C1E"/>
        </w:rPr>
        <w:t xml:space="preserve"> high-quality twins over time. The demand side, businesses seeking research insights, is easier to convert once supply is in place. The plan below addresses supply first, across four sequential phases.</w:t>
      </w:r>
    </w:p>
    <w:p w14:paraId="5117D867" w14:textId="77777777" w:rsidR="00620B9E" w:rsidRPr="008440CF" w:rsidRDefault="00620B9E" w:rsidP="00A4621E">
      <w:pPr>
        <w:pStyle w:val="Heading2"/>
        <w:jc w:val="both"/>
        <w:rPr>
          <w:rFonts w:ascii="Amasis MT Pro" w:hAnsi="Amasis MT Pro"/>
          <w:sz w:val="20"/>
          <w:szCs w:val="20"/>
        </w:rPr>
      </w:pPr>
      <w:r w:rsidRPr="008440CF">
        <w:rPr>
          <w:rFonts w:ascii="Amasis MT Pro" w:eastAsia="Arial" w:hAnsi="Amasis MT Pro" w:cs="Arial"/>
          <w:b/>
          <w:bCs/>
          <w:color w:val="1C1C1E"/>
          <w:sz w:val="20"/>
          <w:szCs w:val="20"/>
        </w:rPr>
        <w:t>Phase 1: Single-Player Utility (Months 1 to 4)</w:t>
      </w:r>
    </w:p>
    <w:p w14:paraId="1AD5D245" w14:textId="10025AE4"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 xml:space="preserve">Before Twinlytics functions as a marketplace, it must offer genuine value to a single user with no other users present. Andrew Chen calls this </w:t>
      </w:r>
      <w:r w:rsidR="00CC6AAB" w:rsidRPr="008440CF">
        <w:rPr>
          <w:rFonts w:ascii="Amasis MT Pro" w:eastAsia="Arial" w:hAnsi="Amasis MT Pro" w:cs="Arial"/>
          <w:color w:val="1C1C1E"/>
        </w:rPr>
        <w:t>single player</w:t>
      </w:r>
      <w:r w:rsidRPr="008440CF">
        <w:rPr>
          <w:rFonts w:ascii="Amasis MT Pro" w:eastAsia="Arial" w:hAnsi="Amasis MT Pro" w:cs="Arial"/>
          <w:color w:val="1C1C1E"/>
        </w:rPr>
        <w:t xml:space="preserve"> </w:t>
      </w:r>
      <w:r w:rsidR="00E84667" w:rsidRPr="008440CF">
        <w:rPr>
          <w:rFonts w:ascii="Amasis MT Pro" w:eastAsia="Arial" w:hAnsi="Amasis MT Pro" w:cs="Arial"/>
          <w:color w:val="1C1C1E"/>
        </w:rPr>
        <w:t>utility and</w:t>
      </w:r>
      <w:r w:rsidRPr="008440CF">
        <w:rPr>
          <w:rFonts w:ascii="Amasis MT Pro" w:eastAsia="Arial" w:hAnsi="Amasis MT Pro" w:cs="Arial"/>
          <w:color w:val="1C1C1E"/>
        </w:rPr>
        <w:t xml:space="preserve"> </w:t>
      </w:r>
      <w:r w:rsidR="002F1348" w:rsidRPr="008440CF">
        <w:rPr>
          <w:rFonts w:ascii="Amasis MT Pro" w:eastAsia="Arial" w:hAnsi="Amasis MT Pro" w:cs="Arial"/>
          <w:color w:val="1C1C1E"/>
        </w:rPr>
        <w:t>finds</w:t>
      </w:r>
      <w:r w:rsidRPr="008440CF">
        <w:rPr>
          <w:rFonts w:ascii="Amasis MT Pro" w:eastAsia="Arial" w:hAnsi="Amasis MT Pro" w:cs="Arial"/>
          <w:color w:val="1C1C1E"/>
        </w:rPr>
        <w:t xml:space="preserve"> it as a necessary condition for any networked product to survive long enough to reach scale [R18].</w:t>
      </w:r>
    </w:p>
    <w:p w14:paraId="17F0554B" w14:textId="77777777" w:rsidR="00620B9E" w:rsidRPr="008440CF" w:rsidRDefault="00620B9E" w:rsidP="00A4621E">
      <w:pPr>
        <w:spacing w:after="80"/>
        <w:jc w:val="both"/>
        <w:rPr>
          <w:rFonts w:ascii="Amasis MT Pro" w:hAnsi="Amasis MT Pro"/>
        </w:rPr>
      </w:pPr>
    </w:p>
    <w:p w14:paraId="2966AFEB" w14:textId="42550B76"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 xml:space="preserve">In Phase 1, the Twinlytics app delivers immediate personal value regardless of whether any businesses are querying the user's twin. The journaling interface, focus tools, personality builder, and reflection challenges all have standalone value for self-reflection, personal development, and community connection. A user who </w:t>
      </w:r>
      <w:r w:rsidRPr="008440CF">
        <w:rPr>
          <w:rFonts w:ascii="Amasis MT Pro" w:eastAsia="Arial" w:hAnsi="Amasis MT Pro" w:cs="Arial"/>
          <w:color w:val="1C1C1E"/>
        </w:rPr>
        <w:lastRenderedPageBreak/>
        <w:t xml:space="preserve">completes onboarding can </w:t>
      </w:r>
      <w:r w:rsidR="002F1348" w:rsidRPr="008440CF">
        <w:rPr>
          <w:rFonts w:ascii="Amasis MT Pro" w:eastAsia="Arial" w:hAnsi="Amasis MT Pro" w:cs="Arial"/>
          <w:color w:val="1C1C1E"/>
        </w:rPr>
        <w:t>at once</w:t>
      </w:r>
      <w:r w:rsidRPr="008440CF">
        <w:rPr>
          <w:rFonts w:ascii="Amasis MT Pro" w:eastAsia="Arial" w:hAnsi="Amasis MT Pro" w:cs="Arial"/>
          <w:color w:val="1C1C1E"/>
        </w:rPr>
        <w:t xml:space="preserve"> </w:t>
      </w:r>
      <w:r w:rsidR="002F1348" w:rsidRPr="008440CF">
        <w:rPr>
          <w:rFonts w:ascii="Amasis MT Pro" w:eastAsia="Arial" w:hAnsi="Amasis MT Pro" w:cs="Arial"/>
          <w:color w:val="1C1C1E"/>
        </w:rPr>
        <w:t>receive help</w:t>
      </w:r>
      <w:r w:rsidRPr="008440CF">
        <w:rPr>
          <w:rFonts w:ascii="Amasis MT Pro" w:eastAsia="Arial" w:hAnsi="Amasis MT Pro" w:cs="Arial"/>
          <w:color w:val="1C1C1E"/>
        </w:rPr>
        <w:t xml:space="preserve"> from mood tracking, structured journaling, and discovering their own behavioural patterns.</w:t>
      </w:r>
    </w:p>
    <w:p w14:paraId="7EB88ABC" w14:textId="6F20DCF2"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This mirrors what Airbnb did with Craigslist. Rather than building audience from nothing, Twinlytics goes where users already have habits, specifically in wellness apps, journaling tools, and self-tracking platforms, and offers a better version of what they already do, with the added promise of future earnings.</w:t>
      </w:r>
    </w:p>
    <w:p w14:paraId="08AF54A6" w14:textId="77777777"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Specific tactics in this phase include the following.</w:t>
      </w:r>
    </w:p>
    <w:p w14:paraId="494F0BA4" w14:textId="0DA7FD27" w:rsidR="00620B9E" w:rsidRPr="008440CF" w:rsidRDefault="00620B9E" w:rsidP="00A4621E">
      <w:pPr>
        <w:pStyle w:val="ListParagraph"/>
        <w:numPr>
          <w:ilvl w:val="0"/>
          <w:numId w:val="2"/>
        </w:numPr>
        <w:spacing w:after="100"/>
        <w:jc w:val="both"/>
        <w:rPr>
          <w:rFonts w:ascii="Amasis MT Pro" w:hAnsi="Amasis MT Pro"/>
        </w:rPr>
      </w:pPr>
      <w:r w:rsidRPr="008440CF">
        <w:rPr>
          <w:rFonts w:ascii="Amasis MT Pro" w:eastAsia="Arial" w:hAnsi="Amasis MT Pro" w:cs="Arial"/>
          <w:color w:val="1C1C1E"/>
        </w:rPr>
        <w:t xml:space="preserve">Partner with three to five research institutes, universities, and innovation labs in Germany and the Netherlands to seed the first 200 to 500 active users, drawn from student and researcher populations with an interest in privacy and data </w:t>
      </w:r>
      <w:r w:rsidR="00CC6AAB" w:rsidRPr="008440CF">
        <w:rPr>
          <w:rFonts w:ascii="Amasis MT Pro" w:eastAsia="Arial" w:hAnsi="Amasis MT Pro" w:cs="Arial"/>
          <w:color w:val="1C1C1E"/>
        </w:rPr>
        <w:t>rights.</w:t>
      </w:r>
    </w:p>
    <w:p w14:paraId="787E7A47" w14:textId="5AC6D26D" w:rsidR="00620B9E" w:rsidRPr="008440CF" w:rsidRDefault="00620B9E" w:rsidP="00A4621E">
      <w:pPr>
        <w:pStyle w:val="ListParagraph"/>
        <w:numPr>
          <w:ilvl w:val="0"/>
          <w:numId w:val="2"/>
        </w:numPr>
        <w:spacing w:after="100"/>
        <w:jc w:val="both"/>
        <w:rPr>
          <w:rFonts w:ascii="Amasis MT Pro" w:hAnsi="Amasis MT Pro"/>
        </w:rPr>
      </w:pPr>
      <w:r w:rsidRPr="008440CF">
        <w:rPr>
          <w:rFonts w:ascii="Amasis MT Pro" w:eastAsia="Arial" w:hAnsi="Amasis MT Pro" w:cs="Arial"/>
          <w:color w:val="1C1C1E"/>
        </w:rPr>
        <w:t xml:space="preserve">Run a controlled access </w:t>
      </w:r>
      <w:r w:rsidR="008C2BC6" w:rsidRPr="008440CF">
        <w:rPr>
          <w:rFonts w:ascii="Amasis MT Pro" w:eastAsia="Arial" w:hAnsi="Amasis MT Pro" w:cs="Arial"/>
          <w:color w:val="1C1C1E"/>
        </w:rPr>
        <w:t>program</w:t>
      </w:r>
      <w:r w:rsidRPr="008440CF">
        <w:rPr>
          <w:rFonts w:ascii="Amasis MT Pro" w:eastAsia="Arial" w:hAnsi="Amasis MT Pro" w:cs="Arial"/>
          <w:color w:val="1C1C1E"/>
        </w:rPr>
        <w:t xml:space="preserve"> for the first 1,000 users, framed as a founding member cohort, </w:t>
      </w:r>
      <w:r w:rsidR="00FC1F99" w:rsidRPr="008440CF">
        <w:rPr>
          <w:rFonts w:ascii="Amasis MT Pro" w:eastAsia="Arial" w:hAnsi="Amasis MT Pro" w:cs="Arial"/>
          <w:color w:val="1C1C1E"/>
        </w:rPr>
        <w:t>like</w:t>
      </w:r>
      <w:r w:rsidRPr="008440CF">
        <w:rPr>
          <w:rFonts w:ascii="Amasis MT Pro" w:eastAsia="Arial" w:hAnsi="Amasis MT Pro" w:cs="Arial"/>
          <w:color w:val="1C1C1E"/>
        </w:rPr>
        <w:t xml:space="preserve"> how Facebook started at Harvard and Gmail launched as invite-only [R21]</w:t>
      </w:r>
    </w:p>
    <w:p w14:paraId="2725DE9F" w14:textId="5972A8E0" w:rsidR="00620B9E" w:rsidRPr="008440CF" w:rsidRDefault="00620B9E" w:rsidP="00A4621E">
      <w:pPr>
        <w:pStyle w:val="ListParagraph"/>
        <w:numPr>
          <w:ilvl w:val="0"/>
          <w:numId w:val="2"/>
        </w:numPr>
        <w:spacing w:after="100"/>
        <w:jc w:val="both"/>
        <w:rPr>
          <w:rFonts w:ascii="Amasis MT Pro" w:hAnsi="Amasis MT Pro"/>
        </w:rPr>
      </w:pPr>
      <w:r w:rsidRPr="008440CF">
        <w:rPr>
          <w:rFonts w:ascii="Amasis MT Pro" w:eastAsia="Arial" w:hAnsi="Amasis MT Pro" w:cs="Arial"/>
          <w:color w:val="1C1C1E"/>
        </w:rPr>
        <w:t xml:space="preserve">Engage Fraunhofer IAO networks and CHI and UMAP academic communities, where the research team has existing credibility and </w:t>
      </w:r>
      <w:r w:rsidR="00CC6AAB" w:rsidRPr="008440CF">
        <w:rPr>
          <w:rFonts w:ascii="Amasis MT Pro" w:eastAsia="Arial" w:hAnsi="Amasis MT Pro" w:cs="Arial"/>
          <w:color w:val="1C1C1E"/>
        </w:rPr>
        <w:t>relationships.</w:t>
      </w:r>
    </w:p>
    <w:p w14:paraId="37B2C713" w14:textId="6581FD77" w:rsidR="00620B9E" w:rsidRPr="008440CF" w:rsidRDefault="00620B9E" w:rsidP="00A4621E">
      <w:pPr>
        <w:pStyle w:val="ListParagraph"/>
        <w:numPr>
          <w:ilvl w:val="0"/>
          <w:numId w:val="2"/>
        </w:numPr>
        <w:spacing w:after="100"/>
        <w:jc w:val="both"/>
        <w:rPr>
          <w:rFonts w:ascii="Amasis MT Pro" w:hAnsi="Amasis MT Pro"/>
        </w:rPr>
      </w:pPr>
      <w:r w:rsidRPr="008440CF">
        <w:rPr>
          <w:rFonts w:ascii="Amasis MT Pro" w:eastAsia="Arial" w:hAnsi="Amasis MT Pro" w:cs="Arial"/>
          <w:color w:val="1C1C1E"/>
        </w:rPr>
        <w:t xml:space="preserve">Target professionals already involved in the MindsetTwin and SozioMimic research networks, who understand the value of behavioural </w:t>
      </w:r>
      <w:r w:rsidR="00CC6AAB" w:rsidRPr="008440CF">
        <w:rPr>
          <w:rFonts w:ascii="Amasis MT Pro" w:eastAsia="Arial" w:hAnsi="Amasis MT Pro" w:cs="Arial"/>
          <w:color w:val="1C1C1E"/>
        </w:rPr>
        <w:t>simulation.</w:t>
      </w:r>
    </w:p>
    <w:p w14:paraId="608BEC5B" w14:textId="77777777" w:rsidR="00620B9E" w:rsidRPr="008440CF" w:rsidRDefault="00620B9E" w:rsidP="00A4621E">
      <w:pPr>
        <w:pStyle w:val="Heading2"/>
        <w:jc w:val="both"/>
        <w:rPr>
          <w:rFonts w:ascii="Amasis MT Pro" w:hAnsi="Amasis MT Pro"/>
          <w:sz w:val="20"/>
          <w:szCs w:val="20"/>
        </w:rPr>
      </w:pPr>
      <w:r w:rsidRPr="008440CF">
        <w:rPr>
          <w:rFonts w:ascii="Amasis MT Pro" w:eastAsia="Arial" w:hAnsi="Amasis MT Pro" w:cs="Arial"/>
          <w:b/>
          <w:bCs/>
          <w:color w:val="1C1C1E"/>
          <w:sz w:val="20"/>
          <w:szCs w:val="20"/>
        </w:rPr>
        <w:t>Phase 2: Synthetic Supply Seeding (Months 3 to 8)</w:t>
      </w:r>
    </w:p>
    <w:p w14:paraId="1506166C" w14:textId="2ECD7FAF"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While real user supply is being built, the Twinlytics team uses its own published research datasets from the SozioMimic and MindsetTwin projects to create a set of validated synthetic seed twins. These are not fabricated profiles. They are LLM-based twins built on real survey data collected under academic protocols, with informed consent from participants for research use.</w:t>
      </w:r>
    </w:p>
    <w:p w14:paraId="2AB59B15" w14:textId="61009326"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This approach follows the 2026 best practice for marketplace cold starts described by FORKOFF, which recommends capping synthetic supply at 30% of total inventory in any early geography and converting synthetic profiles to real supply within 60 days by using the demand signals that synthetic seeding generated [R22].</w:t>
      </w:r>
    </w:p>
    <w:p w14:paraId="0BDD5C2C" w14:textId="7E701396"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 xml:space="preserve">These seed twins serve two purposes. They give early enterprise clients something to query </w:t>
      </w:r>
      <w:r w:rsidR="002F1348" w:rsidRPr="008440CF">
        <w:rPr>
          <w:rFonts w:ascii="Amasis MT Pro" w:eastAsia="Arial" w:hAnsi="Amasis MT Pro" w:cs="Arial"/>
          <w:color w:val="1C1C1E"/>
        </w:rPr>
        <w:t>at once</w:t>
      </w:r>
      <w:r w:rsidRPr="008440CF">
        <w:rPr>
          <w:rFonts w:ascii="Amasis MT Pro" w:eastAsia="Arial" w:hAnsi="Amasis MT Pro" w:cs="Arial"/>
          <w:color w:val="1C1C1E"/>
        </w:rPr>
        <w:t xml:space="preserve">, generating the first revenue and proving the simulation concept works in practice. The queries from those clients also produce real demand signals that can be shown to prospective users, </w:t>
      </w:r>
      <w:r w:rsidR="002F1348" w:rsidRPr="008440CF">
        <w:rPr>
          <w:rFonts w:ascii="Amasis MT Pro" w:eastAsia="Arial" w:hAnsi="Amasis MT Pro" w:cs="Arial"/>
          <w:color w:val="1C1C1E"/>
        </w:rPr>
        <w:t>showing</w:t>
      </w:r>
      <w:r w:rsidRPr="008440CF">
        <w:rPr>
          <w:rFonts w:ascii="Amasis MT Pro" w:eastAsia="Arial" w:hAnsi="Amasis MT Pro" w:cs="Arial"/>
          <w:color w:val="1C1C1E"/>
        </w:rPr>
        <w:t xml:space="preserve"> that their profile type is being actively </w:t>
      </w:r>
      <w:r w:rsidR="002F1348" w:rsidRPr="008440CF">
        <w:rPr>
          <w:rFonts w:ascii="Amasis MT Pro" w:eastAsia="Arial" w:hAnsi="Amasis MT Pro" w:cs="Arial"/>
          <w:color w:val="1C1C1E"/>
        </w:rPr>
        <w:t>looked for</w:t>
      </w:r>
      <w:r w:rsidRPr="008440CF">
        <w:rPr>
          <w:rFonts w:ascii="Amasis MT Pro" w:eastAsia="Arial" w:hAnsi="Amasis MT Pro" w:cs="Arial"/>
          <w:color w:val="1C1C1E"/>
        </w:rPr>
        <w:t xml:space="preserve"> and </w:t>
      </w:r>
      <w:r w:rsidR="002F1348" w:rsidRPr="008440CF">
        <w:rPr>
          <w:rFonts w:ascii="Amasis MT Pro" w:eastAsia="Arial" w:hAnsi="Amasis MT Pro" w:cs="Arial"/>
          <w:color w:val="1C1C1E"/>
        </w:rPr>
        <w:t>showing</w:t>
      </w:r>
      <w:r w:rsidRPr="008440CF">
        <w:rPr>
          <w:rFonts w:ascii="Amasis MT Pro" w:eastAsia="Arial" w:hAnsi="Amasis MT Pro" w:cs="Arial"/>
          <w:color w:val="1C1C1E"/>
        </w:rPr>
        <w:t xml:space="preserve"> what they could earn by contributing.</w:t>
      </w:r>
    </w:p>
    <w:p w14:paraId="4625C133" w14:textId="77777777" w:rsidR="00620B9E" w:rsidRPr="008440CF" w:rsidRDefault="00620B9E" w:rsidP="00A4621E">
      <w:pPr>
        <w:pStyle w:val="Heading2"/>
        <w:jc w:val="both"/>
        <w:rPr>
          <w:rFonts w:ascii="Amasis MT Pro" w:hAnsi="Amasis MT Pro"/>
          <w:sz w:val="20"/>
          <w:szCs w:val="20"/>
        </w:rPr>
      </w:pPr>
      <w:r w:rsidRPr="008440CF">
        <w:rPr>
          <w:rFonts w:ascii="Amasis MT Pro" w:eastAsia="Arial" w:hAnsi="Amasis MT Pro" w:cs="Arial"/>
          <w:b/>
          <w:bCs/>
          <w:color w:val="1C1C1E"/>
          <w:sz w:val="20"/>
          <w:szCs w:val="20"/>
        </w:rPr>
        <w:t>Phase 3: Concierge Matching (Months 6 to 12)</w:t>
      </w:r>
    </w:p>
    <w:p w14:paraId="70AF7C4E" w14:textId="3C447080"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During the first months of enterprise client onboarding, matching between client needs and available twin profiles is done manually rather than through the automated system. The team works directly with each client research team to design the simulation scenario and select the most relevant twins.</w:t>
      </w:r>
    </w:p>
    <w:p w14:paraId="295CEE28" w14:textId="07356B18"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 xml:space="preserve">This is the same approach Airbnb used when its founders personally photographed the first listings to improve quality [R23]. Showing up in person, understanding what clients </w:t>
      </w:r>
      <w:r w:rsidR="00FC1F99" w:rsidRPr="008440CF">
        <w:rPr>
          <w:rFonts w:ascii="Amasis MT Pro" w:eastAsia="Arial" w:hAnsi="Amasis MT Pro" w:cs="Arial"/>
          <w:color w:val="1C1C1E"/>
        </w:rPr>
        <w:t>needed</w:t>
      </w:r>
      <w:r w:rsidRPr="008440CF">
        <w:rPr>
          <w:rFonts w:ascii="Amasis MT Pro" w:eastAsia="Arial" w:hAnsi="Amasis MT Pro" w:cs="Arial"/>
          <w:color w:val="1C1C1E"/>
        </w:rPr>
        <w:t>, and building the product around those needs produced the case studies and credibility that later enabled self-serve growth.</w:t>
      </w:r>
    </w:p>
    <w:p w14:paraId="5FF63AA1" w14:textId="2F13A4CE"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The target for this phase is 5 to 10 paid enterprise pilots, generating EUR 50,000 to EUR 150,000 in early revenue and producing at least three publishable case studies.</w:t>
      </w:r>
    </w:p>
    <w:p w14:paraId="04341493" w14:textId="77777777" w:rsidR="00620B9E" w:rsidRPr="008440CF" w:rsidRDefault="00620B9E" w:rsidP="00A4621E">
      <w:pPr>
        <w:pStyle w:val="Heading2"/>
        <w:jc w:val="both"/>
        <w:rPr>
          <w:rFonts w:ascii="Amasis MT Pro" w:hAnsi="Amasis MT Pro"/>
          <w:sz w:val="20"/>
          <w:szCs w:val="20"/>
        </w:rPr>
      </w:pPr>
      <w:r w:rsidRPr="008440CF">
        <w:rPr>
          <w:rFonts w:ascii="Amasis MT Pro" w:eastAsia="Arial" w:hAnsi="Amasis MT Pro" w:cs="Arial"/>
          <w:b/>
          <w:bCs/>
          <w:color w:val="1C1C1E"/>
          <w:sz w:val="20"/>
          <w:szCs w:val="20"/>
        </w:rPr>
        <w:t>Phase 4: Network Flip and Flywheel Activation (Month 12 Onwards)</w:t>
      </w:r>
    </w:p>
    <w:p w14:paraId="48B9BECD" w14:textId="4BC4717B"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 xml:space="preserve">Once 500 or more high-quality active twins exist and 5 or more enterprise clients have documented results, the flywheel </w:t>
      </w:r>
      <w:r w:rsidR="00FC1F99" w:rsidRPr="008440CF">
        <w:rPr>
          <w:rFonts w:ascii="Amasis MT Pro" w:eastAsia="Arial" w:hAnsi="Amasis MT Pro" w:cs="Arial"/>
          <w:color w:val="1C1C1E"/>
        </w:rPr>
        <w:t>can</w:t>
      </w:r>
      <w:r w:rsidRPr="008440CF">
        <w:rPr>
          <w:rFonts w:ascii="Amasis MT Pro" w:eastAsia="Arial" w:hAnsi="Amasis MT Pro" w:cs="Arial"/>
          <w:color w:val="1C1C1E"/>
        </w:rPr>
        <w:t xml:space="preserve"> activate. User acquisition shifts from active outreach to story-driven growth: people join because they see others earning, because their community is represented in the platform, and because the model has a verifiable track record.</w:t>
      </w:r>
    </w:p>
    <w:p w14:paraId="6D64B5DD" w14:textId="24E327A3"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At this point, TwinMatch and Local Pulse Maps shift from useful features to viral growth mechanisms. Users invite peers because there is real social value in seeing how their community compares on issues they care about. Businesses share research results publicly, creating organic visibility for the platform.</w:t>
      </w:r>
    </w:p>
    <w:p w14:paraId="197B0D71" w14:textId="3C14A7D9"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This is what Andrew Chen calls the Tipping Point: the moment when the network sustains its own growth without requiring further external investment in either side [R18].</w:t>
      </w:r>
    </w:p>
    <w:p w14:paraId="20BF69D7" w14:textId="77777777" w:rsidR="00620B9E" w:rsidRPr="008440CF" w:rsidRDefault="00620B9E" w:rsidP="00A4621E">
      <w:pPr>
        <w:pStyle w:val="Heading2"/>
        <w:jc w:val="both"/>
        <w:rPr>
          <w:rFonts w:ascii="Amasis MT Pro" w:hAnsi="Amasis MT Pro"/>
          <w:sz w:val="20"/>
          <w:szCs w:val="20"/>
        </w:rPr>
      </w:pPr>
      <w:r w:rsidRPr="008440CF">
        <w:rPr>
          <w:rFonts w:ascii="Amasis MT Pro" w:eastAsia="Arial" w:hAnsi="Amasis MT Pro" w:cs="Arial"/>
          <w:b/>
          <w:bCs/>
          <w:color w:val="1C1C1E"/>
          <w:sz w:val="20"/>
          <w:szCs w:val="20"/>
        </w:rPr>
        <w:lastRenderedPageBreak/>
        <w:t>7.1 Cold Start Risk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5"/>
        <w:gridCol w:w="1146"/>
        <w:gridCol w:w="431"/>
        <w:gridCol w:w="5184"/>
      </w:tblGrid>
      <w:tr w:rsidR="00620B9E" w:rsidRPr="006A1D49" w14:paraId="28C20864" w14:textId="77777777" w:rsidTr="006A1D49">
        <w:tc>
          <w:tcPr>
            <w:tcW w:w="2267" w:type="dxa"/>
            <w:tcBorders>
              <w:top w:val="single" w:sz="1" w:space="0" w:color="CCCCCC"/>
              <w:left w:val="single" w:sz="1" w:space="0" w:color="CCCCCC"/>
              <w:bottom w:val="single" w:sz="1" w:space="0" w:color="CCCCCC"/>
              <w:right w:val="single" w:sz="1" w:space="0" w:color="CCCCCC"/>
            </w:tcBorders>
            <w:shd w:val="clear" w:color="auto" w:fill="1C1C1E"/>
            <w:tcMar>
              <w:top w:w="100" w:type="dxa"/>
              <w:left w:w="120" w:type="dxa"/>
              <w:bottom w:w="100" w:type="dxa"/>
              <w:right w:w="120" w:type="dxa"/>
            </w:tcMar>
            <w:vAlign w:val="center"/>
          </w:tcPr>
          <w:p w14:paraId="6A4C2303" w14:textId="77777777" w:rsidR="00620B9E" w:rsidRPr="006A1D49" w:rsidRDefault="00620B9E" w:rsidP="00A4621E">
            <w:pPr>
              <w:jc w:val="both"/>
              <w:rPr>
                <w:rFonts w:ascii="Amasis MT Pro" w:hAnsi="Amasis MT Pro"/>
                <w:sz w:val="18"/>
                <w:szCs w:val="18"/>
              </w:rPr>
            </w:pPr>
            <w:r w:rsidRPr="006A1D49">
              <w:rPr>
                <w:rFonts w:ascii="Amasis MT Pro" w:eastAsia="Arial" w:hAnsi="Amasis MT Pro" w:cs="Arial"/>
                <w:b/>
                <w:bCs/>
                <w:color w:val="FFFFFF"/>
                <w:sz w:val="18"/>
                <w:szCs w:val="18"/>
              </w:rPr>
              <w:t>Risk</w:t>
            </w:r>
          </w:p>
        </w:tc>
        <w:tc>
          <w:tcPr>
            <w:tcW w:w="1134" w:type="dxa"/>
            <w:tcBorders>
              <w:top w:val="single" w:sz="1" w:space="0" w:color="CCCCCC"/>
              <w:left w:val="single" w:sz="1" w:space="0" w:color="CCCCCC"/>
              <w:bottom w:val="single" w:sz="1" w:space="0" w:color="CCCCCC"/>
              <w:right w:val="single" w:sz="1" w:space="0" w:color="CCCCCC"/>
            </w:tcBorders>
            <w:shd w:val="clear" w:color="auto" w:fill="1C1C1E"/>
            <w:tcMar>
              <w:top w:w="100" w:type="dxa"/>
              <w:left w:w="120" w:type="dxa"/>
              <w:bottom w:w="100" w:type="dxa"/>
              <w:right w:w="120" w:type="dxa"/>
            </w:tcMar>
            <w:vAlign w:val="center"/>
          </w:tcPr>
          <w:p w14:paraId="05E815FE" w14:textId="77777777" w:rsidR="00620B9E" w:rsidRPr="006A1D49" w:rsidRDefault="00620B9E" w:rsidP="00A4621E">
            <w:pPr>
              <w:jc w:val="both"/>
              <w:rPr>
                <w:rFonts w:ascii="Amasis MT Pro" w:hAnsi="Amasis MT Pro"/>
                <w:sz w:val="18"/>
                <w:szCs w:val="18"/>
              </w:rPr>
            </w:pPr>
            <w:r w:rsidRPr="006A1D49">
              <w:rPr>
                <w:rFonts w:ascii="Amasis MT Pro" w:eastAsia="Arial" w:hAnsi="Amasis MT Pro" w:cs="Arial"/>
                <w:b/>
                <w:bCs/>
                <w:color w:val="FFFFFF"/>
                <w:sz w:val="18"/>
                <w:szCs w:val="18"/>
              </w:rPr>
              <w:t>Likelihood</w:t>
            </w:r>
          </w:p>
        </w:tc>
        <w:tc>
          <w:tcPr>
            <w:tcW w:w="5625" w:type="dxa"/>
            <w:gridSpan w:val="2"/>
            <w:tcBorders>
              <w:top w:val="single" w:sz="1" w:space="0" w:color="CCCCCC"/>
              <w:left w:val="single" w:sz="1" w:space="0" w:color="CCCCCC"/>
              <w:bottom w:val="single" w:sz="1" w:space="0" w:color="CCCCCC"/>
              <w:right w:val="single" w:sz="1" w:space="0" w:color="CCCCCC"/>
            </w:tcBorders>
            <w:shd w:val="clear" w:color="auto" w:fill="1C1C1E"/>
            <w:tcMar>
              <w:top w:w="100" w:type="dxa"/>
              <w:left w:w="120" w:type="dxa"/>
              <w:bottom w:w="100" w:type="dxa"/>
              <w:right w:w="120" w:type="dxa"/>
            </w:tcMar>
            <w:vAlign w:val="center"/>
          </w:tcPr>
          <w:p w14:paraId="33A053F7" w14:textId="77777777" w:rsidR="00620B9E" w:rsidRPr="006A1D49" w:rsidRDefault="00620B9E" w:rsidP="00A4621E">
            <w:pPr>
              <w:jc w:val="both"/>
              <w:rPr>
                <w:rFonts w:ascii="Amasis MT Pro" w:hAnsi="Amasis MT Pro"/>
                <w:sz w:val="18"/>
                <w:szCs w:val="18"/>
              </w:rPr>
            </w:pPr>
            <w:r w:rsidRPr="006A1D49">
              <w:rPr>
                <w:rFonts w:ascii="Amasis MT Pro" w:eastAsia="Arial" w:hAnsi="Amasis MT Pro" w:cs="Arial"/>
                <w:b/>
                <w:bCs/>
                <w:color w:val="FFFFFF"/>
                <w:sz w:val="18"/>
                <w:szCs w:val="18"/>
              </w:rPr>
              <w:t>Mitigation</w:t>
            </w:r>
          </w:p>
        </w:tc>
      </w:tr>
      <w:tr w:rsidR="00620B9E" w:rsidRPr="006A1D49" w14:paraId="53DBAFB6" w14:textId="77777777" w:rsidTr="006A1D49">
        <w:tc>
          <w:tcPr>
            <w:tcW w:w="2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C8C01E" w14:textId="77777777" w:rsidR="00620B9E" w:rsidRPr="006A1D49" w:rsidRDefault="00620B9E" w:rsidP="00A4621E">
            <w:pPr>
              <w:jc w:val="both"/>
              <w:rPr>
                <w:rFonts w:ascii="Amasis MT Pro" w:hAnsi="Amasis MT Pro"/>
                <w:sz w:val="18"/>
                <w:szCs w:val="18"/>
              </w:rPr>
            </w:pPr>
            <w:r w:rsidRPr="006A1D49">
              <w:rPr>
                <w:rFonts w:ascii="Amasis MT Pro" w:eastAsia="Arial" w:hAnsi="Amasis MT Pro" w:cs="Arial"/>
                <w:color w:val="1C1C1E"/>
                <w:sz w:val="18"/>
                <w:szCs w:val="18"/>
              </w:rPr>
              <w:t>Not enough users to offer meaningful simulations to clients</w:t>
            </w:r>
          </w:p>
        </w:tc>
        <w:tc>
          <w:tcPr>
            <w:tcW w:w="156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7F05EE" w14:textId="77777777" w:rsidR="00620B9E" w:rsidRPr="006A1D49" w:rsidRDefault="00620B9E" w:rsidP="00A4621E">
            <w:pPr>
              <w:jc w:val="both"/>
              <w:rPr>
                <w:rFonts w:ascii="Amasis MT Pro" w:hAnsi="Amasis MT Pro"/>
                <w:sz w:val="18"/>
                <w:szCs w:val="18"/>
              </w:rPr>
            </w:pPr>
            <w:r w:rsidRPr="006A1D49">
              <w:rPr>
                <w:rFonts w:ascii="Amasis MT Pro" w:eastAsia="Arial" w:hAnsi="Amasis MT Pro" w:cs="Arial"/>
                <w:color w:val="1C1C1E"/>
                <w:sz w:val="18"/>
                <w:szCs w:val="18"/>
              </w:rPr>
              <w:t>High (first 6 months)</w:t>
            </w:r>
          </w:p>
        </w:tc>
        <w:tc>
          <w:tcPr>
            <w:tcW w:w="51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135CCA" w14:textId="77777777" w:rsidR="00620B9E" w:rsidRPr="006A1D49" w:rsidRDefault="00620B9E" w:rsidP="00A4621E">
            <w:pPr>
              <w:jc w:val="both"/>
              <w:rPr>
                <w:rFonts w:ascii="Amasis MT Pro" w:hAnsi="Amasis MT Pro"/>
                <w:sz w:val="18"/>
                <w:szCs w:val="18"/>
              </w:rPr>
            </w:pPr>
            <w:r w:rsidRPr="006A1D49">
              <w:rPr>
                <w:rFonts w:ascii="Amasis MT Pro" w:eastAsia="Arial" w:hAnsi="Amasis MT Pro" w:cs="Arial"/>
                <w:color w:val="1C1C1E"/>
                <w:sz w:val="18"/>
                <w:szCs w:val="18"/>
              </w:rPr>
              <w:t>Phase 1 and Phase 2: institutional partnerships plus academic consent-protocol seed twins from SozioMimic and MindsetTwin datasets</w:t>
            </w:r>
          </w:p>
        </w:tc>
      </w:tr>
      <w:tr w:rsidR="00620B9E" w:rsidRPr="006A1D49" w14:paraId="69C73C56" w14:textId="77777777" w:rsidTr="006A1D49">
        <w:tc>
          <w:tcPr>
            <w:tcW w:w="2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F0BC8C" w14:textId="77777777" w:rsidR="00620B9E" w:rsidRPr="006A1D49" w:rsidRDefault="00620B9E" w:rsidP="00A4621E">
            <w:pPr>
              <w:jc w:val="both"/>
              <w:rPr>
                <w:rFonts w:ascii="Amasis MT Pro" w:hAnsi="Amasis MT Pro"/>
                <w:sz w:val="18"/>
                <w:szCs w:val="18"/>
              </w:rPr>
            </w:pPr>
            <w:r w:rsidRPr="006A1D49">
              <w:rPr>
                <w:rFonts w:ascii="Amasis MT Pro" w:eastAsia="Arial" w:hAnsi="Amasis MT Pro" w:cs="Arial"/>
                <w:color w:val="1C1C1E"/>
                <w:sz w:val="18"/>
                <w:szCs w:val="18"/>
              </w:rPr>
              <w:t>Not enough enterprise clients to generate meaningful user earnings</w:t>
            </w:r>
          </w:p>
        </w:tc>
        <w:tc>
          <w:tcPr>
            <w:tcW w:w="156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7E2220" w14:textId="77777777" w:rsidR="00620B9E" w:rsidRPr="006A1D49" w:rsidRDefault="00620B9E" w:rsidP="00A4621E">
            <w:pPr>
              <w:jc w:val="both"/>
              <w:rPr>
                <w:rFonts w:ascii="Amasis MT Pro" w:hAnsi="Amasis MT Pro"/>
                <w:sz w:val="18"/>
                <w:szCs w:val="18"/>
              </w:rPr>
            </w:pPr>
            <w:r w:rsidRPr="006A1D49">
              <w:rPr>
                <w:rFonts w:ascii="Amasis MT Pro" w:eastAsia="Arial" w:hAnsi="Amasis MT Pro" w:cs="Arial"/>
                <w:color w:val="1C1C1E"/>
                <w:sz w:val="18"/>
                <w:szCs w:val="18"/>
              </w:rPr>
              <w:t>Medium</w:t>
            </w:r>
          </w:p>
        </w:tc>
        <w:tc>
          <w:tcPr>
            <w:tcW w:w="51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EFE23F" w14:textId="77777777" w:rsidR="00620B9E" w:rsidRPr="006A1D49" w:rsidRDefault="00620B9E" w:rsidP="00A4621E">
            <w:pPr>
              <w:jc w:val="both"/>
              <w:rPr>
                <w:rFonts w:ascii="Amasis MT Pro" w:hAnsi="Amasis MT Pro"/>
                <w:sz w:val="18"/>
                <w:szCs w:val="18"/>
              </w:rPr>
            </w:pPr>
            <w:r w:rsidRPr="006A1D49">
              <w:rPr>
                <w:rFonts w:ascii="Amasis MT Pro" w:eastAsia="Arial" w:hAnsi="Amasis MT Pro" w:cs="Arial"/>
                <w:color w:val="1C1C1E"/>
                <w:sz w:val="18"/>
                <w:szCs w:val="18"/>
              </w:rPr>
              <w:t>Phase 3 concierge onboarding with direct founder involvement; early adopter pricing incentives for the first 10 clients</w:t>
            </w:r>
          </w:p>
        </w:tc>
      </w:tr>
      <w:tr w:rsidR="00620B9E" w:rsidRPr="006A1D49" w14:paraId="253EECAA" w14:textId="77777777" w:rsidTr="006A1D49">
        <w:tc>
          <w:tcPr>
            <w:tcW w:w="2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62AAF4" w14:textId="77777777" w:rsidR="00620B9E" w:rsidRPr="006A1D49" w:rsidRDefault="00620B9E" w:rsidP="00A4621E">
            <w:pPr>
              <w:jc w:val="both"/>
              <w:rPr>
                <w:rFonts w:ascii="Amasis MT Pro" w:hAnsi="Amasis MT Pro"/>
                <w:sz w:val="18"/>
                <w:szCs w:val="18"/>
              </w:rPr>
            </w:pPr>
            <w:r w:rsidRPr="006A1D49">
              <w:rPr>
                <w:rFonts w:ascii="Amasis MT Pro" w:eastAsia="Arial" w:hAnsi="Amasis MT Pro" w:cs="Arial"/>
                <w:color w:val="1C1C1E"/>
                <w:sz w:val="18"/>
                <w:szCs w:val="18"/>
              </w:rPr>
              <w:t>Users stop contributing before the flywheel activates</w:t>
            </w:r>
          </w:p>
        </w:tc>
        <w:tc>
          <w:tcPr>
            <w:tcW w:w="156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4501D9" w14:textId="77777777" w:rsidR="00620B9E" w:rsidRPr="006A1D49" w:rsidRDefault="00620B9E" w:rsidP="00A4621E">
            <w:pPr>
              <w:jc w:val="both"/>
              <w:rPr>
                <w:rFonts w:ascii="Amasis MT Pro" w:hAnsi="Amasis MT Pro"/>
                <w:sz w:val="18"/>
                <w:szCs w:val="18"/>
              </w:rPr>
            </w:pPr>
            <w:r w:rsidRPr="006A1D49">
              <w:rPr>
                <w:rFonts w:ascii="Amasis MT Pro" w:eastAsia="Arial" w:hAnsi="Amasis MT Pro" w:cs="Arial"/>
                <w:color w:val="1C1C1E"/>
                <w:sz w:val="18"/>
                <w:szCs w:val="18"/>
              </w:rPr>
              <w:t>Medium</w:t>
            </w:r>
          </w:p>
        </w:tc>
        <w:tc>
          <w:tcPr>
            <w:tcW w:w="51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64A5F0" w14:textId="77777777" w:rsidR="00620B9E" w:rsidRPr="006A1D49" w:rsidRDefault="00620B9E" w:rsidP="00A4621E">
            <w:pPr>
              <w:jc w:val="both"/>
              <w:rPr>
                <w:rFonts w:ascii="Amasis MT Pro" w:hAnsi="Amasis MT Pro"/>
                <w:sz w:val="18"/>
                <w:szCs w:val="18"/>
              </w:rPr>
            </w:pPr>
            <w:r w:rsidRPr="006A1D49">
              <w:rPr>
                <w:rFonts w:ascii="Amasis MT Pro" w:eastAsia="Arial" w:hAnsi="Amasis MT Pro" w:cs="Arial"/>
                <w:color w:val="1C1C1E"/>
                <w:sz w:val="18"/>
                <w:szCs w:val="18"/>
              </w:rPr>
              <w:t>Single-player utility design in Phase 1 gives the app genuine standalone value before any business queries exist</w:t>
            </w:r>
          </w:p>
        </w:tc>
      </w:tr>
      <w:tr w:rsidR="00620B9E" w:rsidRPr="006A1D49" w14:paraId="7085F81C" w14:textId="77777777" w:rsidTr="006A1D49">
        <w:tc>
          <w:tcPr>
            <w:tcW w:w="2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09EEA0" w14:textId="77777777" w:rsidR="00620B9E" w:rsidRPr="006A1D49" w:rsidRDefault="00620B9E" w:rsidP="00A4621E">
            <w:pPr>
              <w:jc w:val="both"/>
              <w:rPr>
                <w:rFonts w:ascii="Amasis MT Pro" w:hAnsi="Amasis MT Pro"/>
                <w:sz w:val="18"/>
                <w:szCs w:val="18"/>
              </w:rPr>
            </w:pPr>
            <w:r w:rsidRPr="006A1D49">
              <w:rPr>
                <w:rFonts w:ascii="Amasis MT Pro" w:eastAsia="Arial" w:hAnsi="Amasis MT Pro" w:cs="Arial"/>
                <w:color w:val="1C1C1E"/>
                <w:sz w:val="18"/>
                <w:szCs w:val="18"/>
              </w:rPr>
              <w:t>Enterprise clients are not convinced by early twin quality</w:t>
            </w:r>
          </w:p>
        </w:tc>
        <w:tc>
          <w:tcPr>
            <w:tcW w:w="156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146B28" w14:textId="77777777" w:rsidR="00620B9E" w:rsidRPr="006A1D49" w:rsidRDefault="00620B9E" w:rsidP="00A4621E">
            <w:pPr>
              <w:jc w:val="both"/>
              <w:rPr>
                <w:rFonts w:ascii="Amasis MT Pro" w:hAnsi="Amasis MT Pro"/>
                <w:sz w:val="18"/>
                <w:szCs w:val="18"/>
              </w:rPr>
            </w:pPr>
            <w:r w:rsidRPr="006A1D49">
              <w:rPr>
                <w:rFonts w:ascii="Amasis MT Pro" w:eastAsia="Arial" w:hAnsi="Amasis MT Pro" w:cs="Arial"/>
                <w:color w:val="1C1C1E"/>
                <w:sz w:val="18"/>
                <w:szCs w:val="18"/>
              </w:rPr>
              <w:t>Low to medium</w:t>
            </w:r>
          </w:p>
        </w:tc>
        <w:tc>
          <w:tcPr>
            <w:tcW w:w="51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5FC143" w14:textId="77777777" w:rsidR="00620B9E" w:rsidRPr="006A1D49" w:rsidRDefault="00620B9E" w:rsidP="00A4621E">
            <w:pPr>
              <w:jc w:val="both"/>
              <w:rPr>
                <w:rFonts w:ascii="Amasis MT Pro" w:hAnsi="Amasis MT Pro"/>
                <w:sz w:val="18"/>
                <w:szCs w:val="18"/>
              </w:rPr>
            </w:pPr>
            <w:r w:rsidRPr="006A1D49">
              <w:rPr>
                <w:rFonts w:ascii="Amasis MT Pro" w:eastAsia="Arial" w:hAnsi="Amasis MT Pro" w:cs="Arial"/>
                <w:color w:val="1C1C1E"/>
                <w:sz w:val="18"/>
                <w:szCs w:val="18"/>
              </w:rPr>
              <w:t>Validation pipelines with accuracy certificates and transparent confidence intervals on all simulation outputs</w:t>
            </w:r>
          </w:p>
        </w:tc>
      </w:tr>
    </w:tbl>
    <w:p w14:paraId="5E8C4308" w14:textId="77777777" w:rsidR="00620B9E" w:rsidRPr="008440CF" w:rsidRDefault="00620B9E" w:rsidP="00A4621E">
      <w:pPr>
        <w:spacing w:after="80"/>
        <w:jc w:val="both"/>
        <w:rPr>
          <w:rFonts w:ascii="Amasis MT Pro" w:hAnsi="Amasis MT Pro"/>
        </w:rPr>
      </w:pPr>
    </w:p>
    <w:p w14:paraId="45F4634C" w14:textId="77777777" w:rsidR="00620B9E" w:rsidRPr="008440CF" w:rsidRDefault="00620B9E" w:rsidP="00A4621E">
      <w:pPr>
        <w:pStyle w:val="Heading1"/>
        <w:jc w:val="both"/>
        <w:rPr>
          <w:rFonts w:ascii="Amasis MT Pro" w:hAnsi="Amasis MT Pro"/>
          <w:sz w:val="20"/>
          <w:szCs w:val="20"/>
        </w:rPr>
      </w:pPr>
      <w:r w:rsidRPr="008440CF">
        <w:rPr>
          <w:rFonts w:ascii="Amasis MT Pro" w:eastAsia="Arial" w:hAnsi="Amasis MT Pro" w:cs="Arial"/>
          <w:b/>
          <w:bCs/>
          <w:color w:val="000000"/>
          <w:sz w:val="20"/>
          <w:szCs w:val="20"/>
        </w:rPr>
        <w:t>8. Technology Architecture</w:t>
      </w:r>
    </w:p>
    <w:p w14:paraId="4135657F" w14:textId="58EA03F1"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Twinlytics is a software-first platform built on modern cloud infrastructure. The technical design has three layers.</w:t>
      </w:r>
    </w:p>
    <w:p w14:paraId="3883851D" w14:textId="77777777" w:rsidR="00620B9E" w:rsidRPr="008440CF" w:rsidRDefault="00620B9E" w:rsidP="00A4621E">
      <w:pPr>
        <w:pStyle w:val="Heading2"/>
        <w:jc w:val="both"/>
        <w:rPr>
          <w:rFonts w:ascii="Amasis MT Pro" w:hAnsi="Amasis MT Pro"/>
          <w:sz w:val="20"/>
          <w:szCs w:val="20"/>
        </w:rPr>
      </w:pPr>
      <w:r w:rsidRPr="008440CF">
        <w:rPr>
          <w:rFonts w:ascii="Amasis MT Pro" w:eastAsia="Arial" w:hAnsi="Amasis MT Pro" w:cs="Arial"/>
          <w:b/>
          <w:bCs/>
          <w:color w:val="1C1C1E"/>
          <w:sz w:val="20"/>
          <w:szCs w:val="20"/>
        </w:rPr>
        <w:t>8.1 Data Collection Layer</w:t>
      </w:r>
    </w:p>
    <w:p w14:paraId="3248FF64" w14:textId="6B73F63D"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A mobile and web application built in React Native or Flutter handles all user-facing diary inputs: text, voice notes, photos, quick-tap opinion prompts, and structured challenge responses. All inputs are encrypted at rest and in transit. A geospatial tagging system supports the Local Pulse Maps feature. Audio entries are transcribed using a privacy-compliant speech-to-text model with no third-party data retention.</w:t>
      </w:r>
    </w:p>
    <w:p w14:paraId="357A74F9" w14:textId="77777777" w:rsidR="00620B9E" w:rsidRPr="008440CF" w:rsidRDefault="00620B9E" w:rsidP="00A4621E">
      <w:pPr>
        <w:pStyle w:val="Heading2"/>
        <w:jc w:val="both"/>
        <w:rPr>
          <w:rFonts w:ascii="Amasis MT Pro" w:hAnsi="Amasis MT Pro"/>
          <w:sz w:val="20"/>
          <w:szCs w:val="20"/>
        </w:rPr>
      </w:pPr>
      <w:r w:rsidRPr="008440CF">
        <w:rPr>
          <w:rFonts w:ascii="Amasis MT Pro" w:eastAsia="Arial" w:hAnsi="Amasis MT Pro" w:cs="Arial"/>
          <w:b/>
          <w:bCs/>
          <w:color w:val="1C1C1E"/>
          <w:sz w:val="20"/>
          <w:szCs w:val="20"/>
        </w:rPr>
        <w:t>8.2 AI Simulation Engine</w:t>
      </w:r>
    </w:p>
    <w:p w14:paraId="5D2044C2" w14:textId="72E106F1"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Each digital twin is powered by a large language model combined with a RAG system [R11]. The user's diary history is stored in a vector database such as Pinecone or Weaviate. For each enterprise query, the most contextually relevant diary entries are retrieved and combined with the user's persistent personality profile before being passed to the model.</w:t>
      </w:r>
    </w:p>
    <w:p w14:paraId="5FC26B23" w14:textId="6A948DC6"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 xml:space="preserve">A proprietary behavioural consistency algorithm tracks and corrects for temporal drift: when a user's views shift over time, the twin reflects their most recent state while </w:t>
      </w:r>
      <w:r w:rsidR="002F1348" w:rsidRPr="008440CF">
        <w:rPr>
          <w:rFonts w:ascii="Amasis MT Pro" w:eastAsia="Arial" w:hAnsi="Amasis MT Pro" w:cs="Arial"/>
          <w:color w:val="1C1C1E"/>
        </w:rPr>
        <w:t>keeping</w:t>
      </w:r>
      <w:r w:rsidRPr="008440CF">
        <w:rPr>
          <w:rFonts w:ascii="Amasis MT Pro" w:eastAsia="Arial" w:hAnsi="Amasis MT Pro" w:cs="Arial"/>
          <w:color w:val="1C1C1E"/>
        </w:rPr>
        <w:t xml:space="preserve"> a record of earlier positions. Validation pipelines generate accuracy certificates for every simulation output, showing enterprise clients the confidence level and the specific behavioural evidence behind each simulated response. As McKinsey describes, data-fed twins update in real time to reflect the original [R28].</w:t>
      </w:r>
    </w:p>
    <w:p w14:paraId="4095130E" w14:textId="77777777" w:rsidR="00620B9E" w:rsidRPr="008440CF" w:rsidRDefault="00620B9E" w:rsidP="00A4621E">
      <w:pPr>
        <w:pStyle w:val="Heading2"/>
        <w:jc w:val="both"/>
        <w:rPr>
          <w:rFonts w:ascii="Amasis MT Pro" w:hAnsi="Amasis MT Pro"/>
          <w:sz w:val="20"/>
          <w:szCs w:val="20"/>
        </w:rPr>
      </w:pPr>
      <w:r w:rsidRPr="008440CF">
        <w:rPr>
          <w:rFonts w:ascii="Amasis MT Pro" w:eastAsia="Arial" w:hAnsi="Amasis MT Pro" w:cs="Arial"/>
          <w:b/>
          <w:bCs/>
          <w:color w:val="1C1C1E"/>
          <w:sz w:val="20"/>
          <w:szCs w:val="20"/>
        </w:rPr>
        <w:t>8.3 Infrastructure and Compliance</w:t>
      </w:r>
    </w:p>
    <w:p w14:paraId="15728F3E" w14:textId="355012C1"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 xml:space="preserve">The platform runs on AWS using Kubernetes for container orchestration and Apache Kafka for real-time data streaming. All user data is stored in EU-based AWS regions, Frankfurt or Ireland, to ensure GDPR compliance by default. Role-based access control ensures that Twinlytics employees cannot access raw user data without explicit </w:t>
      </w:r>
      <w:r w:rsidR="00035C30" w:rsidRPr="008440CF">
        <w:rPr>
          <w:rFonts w:ascii="Amasis MT Pro" w:eastAsia="Arial" w:hAnsi="Amasis MT Pro" w:cs="Arial"/>
          <w:color w:val="1C1C1E"/>
        </w:rPr>
        <w:t>authorization</w:t>
      </w:r>
      <w:r w:rsidRPr="008440CF">
        <w:rPr>
          <w:rFonts w:ascii="Amasis MT Pro" w:eastAsia="Arial" w:hAnsi="Amasis MT Pro" w:cs="Arial"/>
          <w:color w:val="1C1C1E"/>
        </w:rPr>
        <w:t xml:space="preserve">. All components </w:t>
      </w:r>
      <w:r w:rsidR="00987352" w:rsidRPr="008440CF">
        <w:rPr>
          <w:rFonts w:ascii="Amasis MT Pro" w:eastAsia="Arial" w:hAnsi="Amasis MT Pro" w:cs="Arial"/>
          <w:color w:val="1C1C1E"/>
        </w:rPr>
        <w:t>follow</w:t>
      </w:r>
      <w:r w:rsidRPr="008440CF">
        <w:rPr>
          <w:rFonts w:ascii="Amasis MT Pro" w:eastAsia="Arial" w:hAnsi="Amasis MT Pro" w:cs="Arial"/>
          <w:color w:val="1C1C1E"/>
        </w:rPr>
        <w:t xml:space="preserve"> GDPR and CCPA.</w:t>
      </w:r>
    </w:p>
    <w:p w14:paraId="52E14C0C" w14:textId="150EA671"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 xml:space="preserve">We are investigating </w:t>
      </w:r>
      <w:r w:rsidR="00035C30" w:rsidRPr="008440CF">
        <w:rPr>
          <w:rFonts w:ascii="Amasis MT Pro" w:eastAsia="Arial" w:hAnsi="Amasis MT Pro" w:cs="Arial"/>
          <w:color w:val="1C1C1E"/>
        </w:rPr>
        <w:t>decentralized</w:t>
      </w:r>
      <w:r w:rsidRPr="008440CF">
        <w:rPr>
          <w:rFonts w:ascii="Amasis MT Pro" w:eastAsia="Arial" w:hAnsi="Amasis MT Pro" w:cs="Arial"/>
          <w:color w:val="1C1C1E"/>
        </w:rPr>
        <w:t xml:space="preserve"> identity standards and blockchain-based audit trails to give users a fully verifiable record of every time their twin was queried, by whom, and for what </w:t>
      </w:r>
      <w:r w:rsidR="00987352" w:rsidRPr="008440CF">
        <w:rPr>
          <w:rFonts w:ascii="Amasis MT Pro" w:eastAsia="Arial" w:hAnsi="Amasis MT Pro" w:cs="Arial"/>
          <w:color w:val="1C1C1E"/>
        </w:rPr>
        <w:t>said</w:t>
      </w:r>
      <w:r w:rsidRPr="008440CF">
        <w:rPr>
          <w:rFonts w:ascii="Amasis MT Pro" w:eastAsia="Arial" w:hAnsi="Amasis MT Pro" w:cs="Arial"/>
          <w:color w:val="1C1C1E"/>
        </w:rPr>
        <w:t xml:space="preserve"> purpose. This level of transparency would be a first in </w:t>
      </w:r>
      <w:r w:rsidR="00035C30" w:rsidRPr="008440CF">
        <w:rPr>
          <w:rFonts w:ascii="Amasis MT Pro" w:eastAsia="Arial" w:hAnsi="Amasis MT Pro" w:cs="Arial"/>
          <w:color w:val="1C1C1E"/>
        </w:rPr>
        <w:t>industry</w:t>
      </w:r>
      <w:r w:rsidRPr="008440CF">
        <w:rPr>
          <w:rFonts w:ascii="Amasis MT Pro" w:eastAsia="Arial" w:hAnsi="Amasis MT Pro" w:cs="Arial"/>
          <w:color w:val="1C1C1E"/>
        </w:rPr>
        <w:t>.</w:t>
      </w:r>
    </w:p>
    <w:p w14:paraId="3B080DCD" w14:textId="322E05C8" w:rsidR="00620B9E" w:rsidRPr="008440CF" w:rsidRDefault="00620B9E" w:rsidP="00A4621E">
      <w:pPr>
        <w:pStyle w:val="Heading1"/>
        <w:jc w:val="both"/>
        <w:rPr>
          <w:rFonts w:ascii="Amasis MT Pro" w:hAnsi="Amasis MT Pro"/>
          <w:sz w:val="20"/>
          <w:szCs w:val="20"/>
        </w:rPr>
      </w:pPr>
      <w:r w:rsidRPr="008440CF">
        <w:rPr>
          <w:rFonts w:ascii="Amasis MT Pro" w:eastAsia="Arial" w:hAnsi="Amasis MT Pro" w:cs="Arial"/>
          <w:b/>
          <w:bCs/>
          <w:color w:val="000000"/>
          <w:sz w:val="20"/>
          <w:szCs w:val="20"/>
        </w:rPr>
        <w:lastRenderedPageBreak/>
        <w:t>9. Value Proposition</w:t>
      </w:r>
    </w:p>
    <w:p w14:paraId="3F0634D5" w14:textId="77777777" w:rsidR="00620B9E" w:rsidRPr="008440CF" w:rsidRDefault="00620B9E" w:rsidP="00A4621E">
      <w:pPr>
        <w:pStyle w:val="Heading2"/>
        <w:jc w:val="both"/>
        <w:rPr>
          <w:rFonts w:ascii="Amasis MT Pro" w:hAnsi="Amasis MT Pro"/>
          <w:sz w:val="20"/>
          <w:szCs w:val="20"/>
        </w:rPr>
      </w:pPr>
      <w:r w:rsidRPr="008440CF">
        <w:rPr>
          <w:rFonts w:ascii="Amasis MT Pro" w:eastAsia="Arial" w:hAnsi="Amasis MT Pro" w:cs="Arial"/>
          <w:b/>
          <w:bCs/>
          <w:color w:val="1C1C1E"/>
          <w:sz w:val="20"/>
          <w:szCs w:val="20"/>
        </w:rPr>
        <w:t>9.1 For Individual Users</w:t>
      </w:r>
    </w:p>
    <w:p w14:paraId="6C25B488" w14:textId="77777777" w:rsidR="00620B9E" w:rsidRPr="008440CF" w:rsidRDefault="00620B9E" w:rsidP="00A4621E">
      <w:pPr>
        <w:pStyle w:val="ListParagraph"/>
        <w:numPr>
          <w:ilvl w:val="0"/>
          <w:numId w:val="2"/>
        </w:numPr>
        <w:spacing w:after="100"/>
        <w:jc w:val="both"/>
        <w:rPr>
          <w:rFonts w:ascii="Amasis MT Pro" w:hAnsi="Amasis MT Pro"/>
        </w:rPr>
      </w:pPr>
      <w:r w:rsidRPr="008440CF">
        <w:rPr>
          <w:rFonts w:ascii="Amasis MT Pro" w:eastAsia="Arial" w:hAnsi="Amasis MT Pro" w:cs="Arial"/>
          <w:color w:val="1C1C1E"/>
        </w:rPr>
        <w:t>Income from data you already produce. No additional effort is required beyond journaling activities you might engage in anyway. Deloitte found that 79% of people will share data if they receive a clear benefit in return [R2].</w:t>
      </w:r>
    </w:p>
    <w:p w14:paraId="7D8BA77C" w14:textId="77777777" w:rsidR="00620B9E" w:rsidRPr="008440CF" w:rsidRDefault="00620B9E" w:rsidP="00A4621E">
      <w:pPr>
        <w:pStyle w:val="ListParagraph"/>
        <w:numPr>
          <w:ilvl w:val="0"/>
          <w:numId w:val="2"/>
        </w:numPr>
        <w:spacing w:after="100"/>
        <w:jc w:val="both"/>
        <w:rPr>
          <w:rFonts w:ascii="Amasis MT Pro" w:hAnsi="Amasis MT Pro"/>
        </w:rPr>
      </w:pPr>
      <w:r w:rsidRPr="008440CF">
        <w:rPr>
          <w:rFonts w:ascii="Amasis MT Pro" w:eastAsia="Arial" w:hAnsi="Amasis MT Pro" w:cs="Arial"/>
          <w:color w:val="1C1C1E"/>
        </w:rPr>
        <w:t>Full transparency into how your twin is used, with granular privacy controls and a kill switch.</w:t>
      </w:r>
    </w:p>
    <w:p w14:paraId="71A53768" w14:textId="7D3230A0" w:rsidR="00620B9E" w:rsidRPr="008440CF" w:rsidRDefault="00620B9E" w:rsidP="00A4621E">
      <w:pPr>
        <w:pStyle w:val="ListParagraph"/>
        <w:numPr>
          <w:ilvl w:val="0"/>
          <w:numId w:val="2"/>
        </w:numPr>
        <w:spacing w:after="100"/>
        <w:jc w:val="both"/>
        <w:rPr>
          <w:rFonts w:ascii="Amasis MT Pro" w:hAnsi="Amasis MT Pro"/>
        </w:rPr>
      </w:pPr>
      <w:r w:rsidRPr="008440CF">
        <w:rPr>
          <w:rFonts w:ascii="Amasis MT Pro" w:eastAsia="Arial" w:hAnsi="Amasis MT Pro" w:cs="Arial"/>
          <w:color w:val="1C1C1E"/>
        </w:rPr>
        <w:t xml:space="preserve">Personal insight tools that reveal patterns in your own </w:t>
      </w:r>
      <w:r w:rsidR="00035C30" w:rsidRPr="008440CF">
        <w:rPr>
          <w:rFonts w:ascii="Amasis MT Pro" w:eastAsia="Arial" w:hAnsi="Amasis MT Pro" w:cs="Arial"/>
          <w:color w:val="1C1C1E"/>
        </w:rPr>
        <w:t>Behaviour</w:t>
      </w:r>
      <w:r w:rsidRPr="008440CF">
        <w:rPr>
          <w:rFonts w:ascii="Amasis MT Pro" w:eastAsia="Arial" w:hAnsi="Amasis MT Pro" w:cs="Arial"/>
          <w:color w:val="1C1C1E"/>
        </w:rPr>
        <w:t>, preferences, and decision-making.</w:t>
      </w:r>
    </w:p>
    <w:p w14:paraId="6A4B7841" w14:textId="77777777" w:rsidR="00620B9E" w:rsidRPr="008440CF" w:rsidRDefault="00620B9E" w:rsidP="00A4621E">
      <w:pPr>
        <w:pStyle w:val="ListParagraph"/>
        <w:numPr>
          <w:ilvl w:val="0"/>
          <w:numId w:val="2"/>
        </w:numPr>
        <w:spacing w:after="100"/>
        <w:jc w:val="both"/>
        <w:rPr>
          <w:rFonts w:ascii="Amasis MT Pro" w:hAnsi="Amasis MT Pro"/>
        </w:rPr>
      </w:pPr>
      <w:r w:rsidRPr="008440CF">
        <w:rPr>
          <w:rFonts w:ascii="Amasis MT Pro" w:eastAsia="Arial" w:hAnsi="Amasis MT Pro" w:cs="Arial"/>
          <w:color w:val="1C1C1E"/>
        </w:rPr>
        <w:t>Community connection through TwinMatch and Local Pulse Maps.</w:t>
      </w:r>
    </w:p>
    <w:p w14:paraId="0675CEB0" w14:textId="4C00CD96" w:rsidR="00620B9E" w:rsidRPr="008440CF" w:rsidRDefault="00620B9E" w:rsidP="00A4621E">
      <w:pPr>
        <w:pStyle w:val="ListParagraph"/>
        <w:numPr>
          <w:ilvl w:val="0"/>
          <w:numId w:val="2"/>
        </w:numPr>
        <w:spacing w:after="100"/>
        <w:jc w:val="both"/>
        <w:rPr>
          <w:rFonts w:ascii="Amasis MT Pro" w:hAnsi="Amasis MT Pro"/>
        </w:rPr>
      </w:pPr>
      <w:r w:rsidRPr="008440CF">
        <w:rPr>
          <w:rFonts w:ascii="Amasis MT Pro" w:eastAsia="Arial" w:hAnsi="Amasis MT Pro" w:cs="Arial"/>
          <w:color w:val="1C1C1E"/>
        </w:rPr>
        <w:t>The opportunity to contribute to research that shapes products, services, and public policies in your community.</w:t>
      </w:r>
    </w:p>
    <w:p w14:paraId="7086F77F" w14:textId="77777777" w:rsidR="00620B9E" w:rsidRPr="008440CF" w:rsidRDefault="00620B9E" w:rsidP="00A4621E">
      <w:pPr>
        <w:pStyle w:val="Heading2"/>
        <w:jc w:val="both"/>
        <w:rPr>
          <w:rFonts w:ascii="Amasis MT Pro" w:hAnsi="Amasis MT Pro"/>
          <w:sz w:val="20"/>
          <w:szCs w:val="20"/>
        </w:rPr>
      </w:pPr>
      <w:r w:rsidRPr="008440CF">
        <w:rPr>
          <w:rFonts w:ascii="Amasis MT Pro" w:eastAsia="Arial" w:hAnsi="Amasis MT Pro" w:cs="Arial"/>
          <w:b/>
          <w:bCs/>
          <w:color w:val="1C1C1E"/>
          <w:sz w:val="20"/>
          <w:szCs w:val="20"/>
        </w:rPr>
        <w:t>9.2 For Enterprise Clients</w:t>
      </w:r>
    </w:p>
    <w:p w14:paraId="04D1C0DF" w14:textId="77777777" w:rsidR="00620B9E" w:rsidRPr="008440CF" w:rsidRDefault="00620B9E" w:rsidP="00A4621E">
      <w:pPr>
        <w:pStyle w:val="ListParagraph"/>
        <w:numPr>
          <w:ilvl w:val="0"/>
          <w:numId w:val="2"/>
        </w:numPr>
        <w:spacing w:after="100"/>
        <w:jc w:val="both"/>
        <w:rPr>
          <w:rFonts w:ascii="Amasis MT Pro" w:hAnsi="Amasis MT Pro"/>
        </w:rPr>
      </w:pPr>
      <w:r w:rsidRPr="008440CF">
        <w:rPr>
          <w:rFonts w:ascii="Amasis MT Pro" w:eastAsia="Arial" w:hAnsi="Amasis MT Pro" w:cs="Arial"/>
          <w:color w:val="1C1C1E"/>
        </w:rPr>
        <w:t>Research that takes hours rather than weeks, at a fraction of the cost of traditional panels.</w:t>
      </w:r>
    </w:p>
    <w:p w14:paraId="7DE0D6B1" w14:textId="77777777" w:rsidR="00620B9E" w:rsidRPr="008440CF" w:rsidRDefault="00620B9E" w:rsidP="00A4621E">
      <w:pPr>
        <w:pStyle w:val="ListParagraph"/>
        <w:numPr>
          <w:ilvl w:val="0"/>
          <w:numId w:val="2"/>
        </w:numPr>
        <w:spacing w:after="100"/>
        <w:jc w:val="both"/>
        <w:rPr>
          <w:rFonts w:ascii="Amasis MT Pro" w:hAnsi="Amasis MT Pro"/>
        </w:rPr>
      </w:pPr>
      <w:r w:rsidRPr="008440CF">
        <w:rPr>
          <w:rFonts w:ascii="Amasis MT Pro" w:eastAsia="Arial" w:hAnsi="Amasis MT Pro" w:cs="Arial"/>
          <w:color w:val="1C1C1E"/>
        </w:rPr>
        <w:t>Longitudinal, consent-based data with rich contextual grounding, not generic synthetic personas. The data is anchored in first-party inputs rather than extrapolated assumptions [R8].</w:t>
      </w:r>
    </w:p>
    <w:p w14:paraId="35994088" w14:textId="77777777" w:rsidR="00620B9E" w:rsidRPr="008440CF" w:rsidRDefault="00620B9E" w:rsidP="00A4621E">
      <w:pPr>
        <w:pStyle w:val="ListParagraph"/>
        <w:numPr>
          <w:ilvl w:val="0"/>
          <w:numId w:val="2"/>
        </w:numPr>
        <w:spacing w:after="100"/>
        <w:jc w:val="both"/>
        <w:rPr>
          <w:rFonts w:ascii="Amasis MT Pro" w:hAnsi="Amasis MT Pro"/>
        </w:rPr>
      </w:pPr>
      <w:r w:rsidRPr="008440CF">
        <w:rPr>
          <w:rFonts w:ascii="Amasis MT Pro" w:eastAsia="Arial" w:hAnsi="Amasis MT Pro" w:cs="Arial"/>
          <w:color w:val="1C1C1E"/>
        </w:rPr>
        <w:t>Simulation at scale across thousands of validated twins, compared to focus groups of 10 to 50 people.</w:t>
      </w:r>
    </w:p>
    <w:p w14:paraId="534D818A" w14:textId="77777777" w:rsidR="00620B9E" w:rsidRPr="008440CF" w:rsidRDefault="00620B9E" w:rsidP="00A4621E">
      <w:pPr>
        <w:pStyle w:val="ListParagraph"/>
        <w:numPr>
          <w:ilvl w:val="0"/>
          <w:numId w:val="2"/>
        </w:numPr>
        <w:spacing w:after="100"/>
        <w:jc w:val="both"/>
        <w:rPr>
          <w:rFonts w:ascii="Amasis MT Pro" w:hAnsi="Amasis MT Pro"/>
        </w:rPr>
      </w:pPr>
      <w:r w:rsidRPr="008440CF">
        <w:rPr>
          <w:rFonts w:ascii="Amasis MT Pro" w:eastAsia="Arial" w:hAnsi="Amasis MT Pro" w:cs="Arial"/>
          <w:color w:val="1C1C1E"/>
        </w:rPr>
        <w:t>GDPR-compliant by design, reducing regulatory exposure in the post-EU AI Act environment.</w:t>
      </w:r>
    </w:p>
    <w:p w14:paraId="4FC39327" w14:textId="7D9EA90D" w:rsidR="00620B9E" w:rsidRPr="008440CF" w:rsidRDefault="00620B9E" w:rsidP="00A4621E">
      <w:pPr>
        <w:pStyle w:val="ListParagraph"/>
        <w:numPr>
          <w:ilvl w:val="0"/>
          <w:numId w:val="2"/>
        </w:numPr>
        <w:spacing w:after="100"/>
        <w:jc w:val="both"/>
        <w:rPr>
          <w:rFonts w:ascii="Amasis MT Pro" w:hAnsi="Amasis MT Pro"/>
        </w:rPr>
      </w:pPr>
      <w:r w:rsidRPr="008440CF">
        <w:rPr>
          <w:rFonts w:ascii="Amasis MT Pro" w:eastAsia="Arial" w:hAnsi="Amasis MT Pro" w:cs="Arial"/>
          <w:color w:val="1C1C1E"/>
        </w:rPr>
        <w:t>Continuous testing capability rather than one-shot surveys. AI-driven simulations turn research into an ongoing, agile cycle [R7].</w:t>
      </w:r>
    </w:p>
    <w:p w14:paraId="1CF12CDE" w14:textId="77777777" w:rsidR="00620B9E" w:rsidRPr="008440CF" w:rsidRDefault="00620B9E" w:rsidP="00A4621E">
      <w:pPr>
        <w:pStyle w:val="Heading2"/>
        <w:jc w:val="both"/>
        <w:rPr>
          <w:rFonts w:ascii="Amasis MT Pro" w:hAnsi="Amasis MT Pro"/>
          <w:sz w:val="20"/>
          <w:szCs w:val="20"/>
        </w:rPr>
      </w:pPr>
      <w:r w:rsidRPr="008440CF">
        <w:rPr>
          <w:rFonts w:ascii="Amasis MT Pro" w:eastAsia="Arial" w:hAnsi="Amasis MT Pro" w:cs="Arial"/>
          <w:b/>
          <w:bCs/>
          <w:color w:val="1C1C1E"/>
          <w:sz w:val="20"/>
          <w:szCs w:val="20"/>
        </w:rPr>
        <w:t>9.3 For Communities and Governments</w:t>
      </w:r>
    </w:p>
    <w:p w14:paraId="6B52F120" w14:textId="77777777" w:rsidR="00620B9E" w:rsidRPr="008440CF" w:rsidRDefault="00620B9E" w:rsidP="00A4621E">
      <w:pPr>
        <w:pStyle w:val="ListParagraph"/>
        <w:numPr>
          <w:ilvl w:val="0"/>
          <w:numId w:val="2"/>
        </w:numPr>
        <w:spacing w:after="100"/>
        <w:jc w:val="both"/>
        <w:rPr>
          <w:rFonts w:ascii="Amasis MT Pro" w:hAnsi="Amasis MT Pro"/>
        </w:rPr>
      </w:pPr>
      <w:r w:rsidRPr="008440CF">
        <w:rPr>
          <w:rFonts w:ascii="Amasis MT Pro" w:eastAsia="Arial" w:hAnsi="Amasis MT Pro" w:cs="Arial"/>
          <w:color w:val="1C1C1E"/>
        </w:rPr>
        <w:t>Local Pulse Maps provide geographically grounded aggregate sentiment at a speed and cost that traditional polling cannot match.</w:t>
      </w:r>
    </w:p>
    <w:p w14:paraId="67F94678" w14:textId="77777777" w:rsidR="00620B9E" w:rsidRPr="008440CF" w:rsidRDefault="00620B9E" w:rsidP="00A4621E">
      <w:pPr>
        <w:pStyle w:val="ListParagraph"/>
        <w:numPr>
          <w:ilvl w:val="0"/>
          <w:numId w:val="2"/>
        </w:numPr>
        <w:spacing w:after="100"/>
        <w:jc w:val="both"/>
        <w:rPr>
          <w:rFonts w:ascii="Amasis MT Pro" w:hAnsi="Amasis MT Pro"/>
        </w:rPr>
      </w:pPr>
      <w:r w:rsidRPr="008440CF">
        <w:rPr>
          <w:rFonts w:ascii="Amasis MT Pro" w:eastAsia="Arial" w:hAnsi="Amasis MT Pro" w:cs="Arial"/>
          <w:color w:val="1C1C1E"/>
        </w:rPr>
        <w:t>Digital twins allow policymakers to simulate resident reactions to proposed policy changes before implementation, reducing rollout risk.</w:t>
      </w:r>
    </w:p>
    <w:p w14:paraId="6FFE37DA" w14:textId="57DF1C00" w:rsidR="00620B9E" w:rsidRPr="008440CF" w:rsidRDefault="00620B9E" w:rsidP="00A4621E">
      <w:pPr>
        <w:pStyle w:val="ListParagraph"/>
        <w:numPr>
          <w:ilvl w:val="0"/>
          <w:numId w:val="2"/>
        </w:numPr>
        <w:spacing w:after="100"/>
        <w:jc w:val="both"/>
        <w:rPr>
          <w:rFonts w:ascii="Amasis MT Pro" w:hAnsi="Amasis MT Pro"/>
        </w:rPr>
      </w:pPr>
      <w:r w:rsidRPr="008440CF">
        <w:rPr>
          <w:rFonts w:ascii="Amasis MT Pro" w:eastAsia="Arial" w:hAnsi="Amasis MT Pro" w:cs="Arial"/>
          <w:color w:val="1C1C1E"/>
        </w:rPr>
        <w:t>Consent-based participation builds community trust in the data that informs local decisions.</w:t>
      </w:r>
    </w:p>
    <w:p w14:paraId="06B1A9D9" w14:textId="77777777" w:rsidR="00620B9E" w:rsidRPr="008440CF" w:rsidRDefault="00620B9E" w:rsidP="00A4621E">
      <w:pPr>
        <w:pStyle w:val="Heading1"/>
        <w:jc w:val="both"/>
        <w:rPr>
          <w:rFonts w:ascii="Amasis MT Pro" w:hAnsi="Amasis MT Pro"/>
          <w:sz w:val="20"/>
          <w:szCs w:val="20"/>
        </w:rPr>
      </w:pPr>
      <w:r w:rsidRPr="008440CF">
        <w:rPr>
          <w:rFonts w:ascii="Amasis MT Pro" w:eastAsia="Arial" w:hAnsi="Amasis MT Pro" w:cs="Arial"/>
          <w:b/>
          <w:bCs/>
          <w:color w:val="000000"/>
          <w:sz w:val="20"/>
          <w:szCs w:val="20"/>
        </w:rPr>
        <w:t>10. Risks and Mitigations</w:t>
      </w:r>
    </w:p>
    <w:p w14:paraId="33ED67CD" w14:textId="71A5D518"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 xml:space="preserve">Building a platform around detailed personal profiles </w:t>
      </w:r>
      <w:r w:rsidR="00CC6AAB" w:rsidRPr="008440CF">
        <w:rPr>
          <w:rFonts w:ascii="Amasis MT Pro" w:eastAsia="Arial" w:hAnsi="Amasis MT Pro" w:cs="Arial"/>
          <w:color w:val="1C1C1E"/>
        </w:rPr>
        <w:t>raise</w:t>
      </w:r>
      <w:r w:rsidRPr="008440CF">
        <w:rPr>
          <w:rFonts w:ascii="Amasis MT Pro" w:eastAsia="Arial" w:hAnsi="Amasis MT Pro" w:cs="Arial"/>
          <w:color w:val="1C1C1E"/>
        </w:rPr>
        <w:t xml:space="preserve"> legitimate ethical questions around consent, misuse, and fairness. Researchers have noted that creators of digital twins must address issues of transparency, privacy, and fairness [R11]. The table below sets out the main risks and how Twinlytics addresses each 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358"/>
        <w:gridCol w:w="1300"/>
        <w:gridCol w:w="5526"/>
      </w:tblGrid>
      <w:tr w:rsidR="00620B9E" w:rsidRPr="00035C30" w14:paraId="4B7DF238" w14:textId="77777777" w:rsidTr="00035C30">
        <w:tc>
          <w:tcPr>
            <w:tcW w:w="1842" w:type="dxa"/>
            <w:tcBorders>
              <w:top w:val="single" w:sz="1" w:space="0" w:color="CCCCCC"/>
              <w:left w:val="single" w:sz="1" w:space="0" w:color="CCCCCC"/>
              <w:bottom w:val="single" w:sz="1" w:space="0" w:color="CCCCCC"/>
              <w:right w:val="single" w:sz="1" w:space="0" w:color="CCCCCC"/>
            </w:tcBorders>
            <w:shd w:val="clear" w:color="auto" w:fill="1C1C1E"/>
            <w:tcMar>
              <w:top w:w="100" w:type="dxa"/>
              <w:left w:w="120" w:type="dxa"/>
              <w:bottom w:w="100" w:type="dxa"/>
              <w:right w:w="120" w:type="dxa"/>
            </w:tcMar>
            <w:vAlign w:val="center"/>
          </w:tcPr>
          <w:p w14:paraId="35B3FED0" w14:textId="77777777" w:rsidR="00620B9E" w:rsidRPr="00035C30" w:rsidRDefault="00620B9E" w:rsidP="00A4621E">
            <w:pPr>
              <w:jc w:val="both"/>
              <w:rPr>
                <w:rFonts w:ascii="Amasis MT Pro" w:hAnsi="Amasis MT Pro"/>
                <w:sz w:val="18"/>
                <w:szCs w:val="18"/>
              </w:rPr>
            </w:pPr>
            <w:r w:rsidRPr="00035C30">
              <w:rPr>
                <w:rFonts w:ascii="Amasis MT Pro" w:eastAsia="Arial" w:hAnsi="Amasis MT Pro" w:cs="Arial"/>
                <w:b/>
                <w:bCs/>
                <w:color w:val="FFFFFF"/>
                <w:sz w:val="18"/>
                <w:szCs w:val="18"/>
              </w:rPr>
              <w:t>Risk</w:t>
            </w:r>
          </w:p>
        </w:tc>
        <w:tc>
          <w:tcPr>
            <w:tcW w:w="1658" w:type="dxa"/>
            <w:gridSpan w:val="2"/>
            <w:tcBorders>
              <w:top w:val="single" w:sz="1" w:space="0" w:color="CCCCCC"/>
              <w:left w:val="single" w:sz="1" w:space="0" w:color="CCCCCC"/>
              <w:bottom w:val="single" w:sz="1" w:space="0" w:color="CCCCCC"/>
              <w:right w:val="single" w:sz="1" w:space="0" w:color="CCCCCC"/>
            </w:tcBorders>
            <w:shd w:val="clear" w:color="auto" w:fill="1C1C1E"/>
            <w:tcMar>
              <w:top w:w="100" w:type="dxa"/>
              <w:left w:w="120" w:type="dxa"/>
              <w:bottom w:w="100" w:type="dxa"/>
              <w:right w:w="120" w:type="dxa"/>
            </w:tcMar>
            <w:vAlign w:val="center"/>
          </w:tcPr>
          <w:p w14:paraId="55433526" w14:textId="77777777" w:rsidR="00620B9E" w:rsidRPr="00035C30" w:rsidRDefault="00620B9E" w:rsidP="00A4621E">
            <w:pPr>
              <w:jc w:val="both"/>
              <w:rPr>
                <w:rFonts w:ascii="Amasis MT Pro" w:hAnsi="Amasis MT Pro"/>
                <w:sz w:val="18"/>
                <w:szCs w:val="18"/>
              </w:rPr>
            </w:pPr>
            <w:r w:rsidRPr="00035C30">
              <w:rPr>
                <w:rFonts w:ascii="Amasis MT Pro" w:eastAsia="Arial" w:hAnsi="Amasis MT Pro" w:cs="Arial"/>
                <w:b/>
                <w:bCs/>
                <w:color w:val="FFFFFF"/>
                <w:sz w:val="18"/>
                <w:szCs w:val="18"/>
              </w:rPr>
              <w:t>Priority</w:t>
            </w:r>
          </w:p>
        </w:tc>
        <w:tc>
          <w:tcPr>
            <w:tcW w:w="5526" w:type="dxa"/>
            <w:tcBorders>
              <w:top w:val="single" w:sz="1" w:space="0" w:color="CCCCCC"/>
              <w:left w:val="single" w:sz="1" w:space="0" w:color="CCCCCC"/>
              <w:bottom w:val="single" w:sz="1" w:space="0" w:color="CCCCCC"/>
              <w:right w:val="single" w:sz="1" w:space="0" w:color="CCCCCC"/>
            </w:tcBorders>
            <w:shd w:val="clear" w:color="auto" w:fill="1C1C1E"/>
            <w:tcMar>
              <w:top w:w="100" w:type="dxa"/>
              <w:left w:w="120" w:type="dxa"/>
              <w:bottom w:w="100" w:type="dxa"/>
              <w:right w:w="120" w:type="dxa"/>
            </w:tcMar>
            <w:vAlign w:val="center"/>
          </w:tcPr>
          <w:p w14:paraId="0E5AC681" w14:textId="77777777" w:rsidR="00620B9E" w:rsidRPr="00035C30" w:rsidRDefault="00620B9E" w:rsidP="00A4621E">
            <w:pPr>
              <w:jc w:val="both"/>
              <w:rPr>
                <w:rFonts w:ascii="Amasis MT Pro" w:hAnsi="Amasis MT Pro"/>
                <w:sz w:val="18"/>
                <w:szCs w:val="18"/>
              </w:rPr>
            </w:pPr>
            <w:r w:rsidRPr="00035C30">
              <w:rPr>
                <w:rFonts w:ascii="Amasis MT Pro" w:eastAsia="Arial" w:hAnsi="Amasis MT Pro" w:cs="Arial"/>
                <w:b/>
                <w:bCs/>
                <w:color w:val="FFFFFF"/>
                <w:sz w:val="18"/>
                <w:szCs w:val="18"/>
              </w:rPr>
              <w:t>Mitigation</w:t>
            </w:r>
          </w:p>
        </w:tc>
      </w:tr>
      <w:tr w:rsidR="00620B9E" w:rsidRPr="00035C30" w14:paraId="2219276F" w14:textId="77777777" w:rsidTr="00704D1C">
        <w:tc>
          <w:tcPr>
            <w:tcW w:w="22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C22064" w14:textId="77777777" w:rsidR="00620B9E" w:rsidRPr="00035C30" w:rsidRDefault="00620B9E" w:rsidP="00A4621E">
            <w:pPr>
              <w:jc w:val="both"/>
              <w:rPr>
                <w:rFonts w:ascii="Amasis MT Pro" w:hAnsi="Amasis MT Pro"/>
                <w:sz w:val="18"/>
                <w:szCs w:val="18"/>
              </w:rPr>
            </w:pPr>
            <w:r w:rsidRPr="00035C30">
              <w:rPr>
                <w:rFonts w:ascii="Amasis MT Pro" w:eastAsia="Arial" w:hAnsi="Amasis MT Pro" w:cs="Arial"/>
                <w:color w:val="1C1C1E"/>
                <w:sz w:val="18"/>
                <w:szCs w:val="18"/>
              </w:rPr>
              <w:t>Privacy and consent misuse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617232" w14:textId="77777777" w:rsidR="00620B9E" w:rsidRPr="00035C30" w:rsidRDefault="00620B9E" w:rsidP="00A4621E">
            <w:pPr>
              <w:jc w:val="both"/>
              <w:rPr>
                <w:rFonts w:ascii="Amasis MT Pro" w:hAnsi="Amasis MT Pro"/>
                <w:sz w:val="18"/>
                <w:szCs w:val="18"/>
              </w:rPr>
            </w:pPr>
            <w:r w:rsidRPr="00035C30">
              <w:rPr>
                <w:rFonts w:ascii="Amasis MT Pro" w:eastAsia="Arial" w:hAnsi="Amasis MT Pro" w:cs="Arial"/>
                <w:color w:val="1C1C1E"/>
                <w:sz w:val="18"/>
                <w:szCs w:val="18"/>
              </w:rPr>
              <w:t>High</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6C826" w14:textId="77777777" w:rsidR="00620B9E" w:rsidRPr="00035C30" w:rsidRDefault="00620B9E" w:rsidP="00A4621E">
            <w:pPr>
              <w:jc w:val="both"/>
              <w:rPr>
                <w:rFonts w:ascii="Amasis MT Pro" w:hAnsi="Amasis MT Pro"/>
                <w:sz w:val="18"/>
                <w:szCs w:val="18"/>
              </w:rPr>
            </w:pPr>
            <w:r w:rsidRPr="00035C30">
              <w:rPr>
                <w:rFonts w:ascii="Amasis MT Pro" w:eastAsia="Arial" w:hAnsi="Amasis MT Pro" w:cs="Arial"/>
                <w:color w:val="1C1C1E"/>
                <w:sz w:val="18"/>
                <w:szCs w:val="18"/>
              </w:rPr>
              <w:t>Explicit opt-in for every data use. Full audit log. Kill switch. Privacy Heat Maps. Third-party audits.</w:t>
            </w:r>
          </w:p>
        </w:tc>
      </w:tr>
      <w:tr w:rsidR="00620B9E" w:rsidRPr="00035C30" w14:paraId="2165BA43" w14:textId="77777777" w:rsidTr="00704D1C">
        <w:tc>
          <w:tcPr>
            <w:tcW w:w="22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0A87B2" w14:textId="0A121F7F" w:rsidR="00620B9E" w:rsidRPr="00035C30" w:rsidRDefault="00620B9E" w:rsidP="00A4621E">
            <w:pPr>
              <w:jc w:val="both"/>
              <w:rPr>
                <w:rFonts w:ascii="Amasis MT Pro" w:hAnsi="Amasis MT Pro"/>
                <w:sz w:val="18"/>
                <w:szCs w:val="18"/>
              </w:rPr>
            </w:pPr>
            <w:r w:rsidRPr="00035C30">
              <w:rPr>
                <w:rFonts w:ascii="Amasis MT Pro" w:eastAsia="Arial" w:hAnsi="Amasis MT Pro" w:cs="Arial"/>
                <w:color w:val="1C1C1E"/>
                <w:sz w:val="18"/>
                <w:szCs w:val="18"/>
              </w:rPr>
              <w:t xml:space="preserve">Data </w:t>
            </w:r>
            <w:r w:rsidR="008C2BC6" w:rsidRPr="00035C30">
              <w:rPr>
                <w:rFonts w:ascii="Amasis MT Pro" w:eastAsia="Arial" w:hAnsi="Amasis MT Pro" w:cs="Arial"/>
                <w:color w:val="1C1C1E"/>
                <w:sz w:val="18"/>
                <w:szCs w:val="18"/>
              </w:rPr>
              <w:t>commoditization</w:t>
            </w:r>
            <w:r w:rsidRPr="00035C30">
              <w:rPr>
                <w:rFonts w:ascii="Amasis MT Pro" w:eastAsia="Arial" w:hAnsi="Amasis MT Pro" w:cs="Arial"/>
                <w:color w:val="1C1C1E"/>
                <w:sz w:val="18"/>
                <w:szCs w:val="18"/>
              </w:rPr>
              <w:t xml:space="preserve"> critique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047E3F" w14:textId="77777777" w:rsidR="00620B9E" w:rsidRPr="00035C30" w:rsidRDefault="00620B9E" w:rsidP="00A4621E">
            <w:pPr>
              <w:jc w:val="both"/>
              <w:rPr>
                <w:rFonts w:ascii="Amasis MT Pro" w:hAnsi="Amasis MT Pro"/>
                <w:sz w:val="18"/>
                <w:szCs w:val="18"/>
              </w:rPr>
            </w:pPr>
            <w:r w:rsidRPr="00035C30">
              <w:rPr>
                <w:rFonts w:ascii="Amasis MT Pro" w:eastAsia="Arial" w:hAnsi="Amasis MT Pro" w:cs="Arial"/>
                <w:color w:val="1C1C1E"/>
                <w:sz w:val="18"/>
                <w:szCs w:val="18"/>
              </w:rPr>
              <w:t>Medium</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6C14C5" w14:textId="77777777" w:rsidR="00620B9E" w:rsidRPr="00035C30" w:rsidRDefault="00620B9E" w:rsidP="00A4621E">
            <w:pPr>
              <w:jc w:val="both"/>
              <w:rPr>
                <w:rFonts w:ascii="Amasis MT Pro" w:hAnsi="Amasis MT Pro"/>
                <w:sz w:val="18"/>
                <w:szCs w:val="18"/>
              </w:rPr>
            </w:pPr>
            <w:r w:rsidRPr="00035C30">
              <w:rPr>
                <w:rFonts w:ascii="Amasis MT Pro" w:eastAsia="Arial" w:hAnsi="Amasis MT Pro" w:cs="Arial"/>
                <w:color w:val="1C1C1E"/>
                <w:sz w:val="18"/>
                <w:szCs w:val="18"/>
              </w:rPr>
              <w:t>Privacy is a right, not a commodity. Users are never forced to share data. Participation is voluntary and revocable at any time. The platform offers a fair exchange, not a coerced one [R17].</w:t>
            </w:r>
          </w:p>
        </w:tc>
      </w:tr>
      <w:tr w:rsidR="00620B9E" w:rsidRPr="00035C30" w14:paraId="0FAE263A" w14:textId="77777777" w:rsidTr="00704D1C">
        <w:tc>
          <w:tcPr>
            <w:tcW w:w="22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A75702" w14:textId="77777777" w:rsidR="00620B9E" w:rsidRPr="00035C30" w:rsidRDefault="00620B9E" w:rsidP="00A4621E">
            <w:pPr>
              <w:jc w:val="both"/>
              <w:rPr>
                <w:rFonts w:ascii="Amasis MT Pro" w:hAnsi="Amasis MT Pro"/>
                <w:sz w:val="18"/>
                <w:szCs w:val="18"/>
              </w:rPr>
            </w:pPr>
            <w:r w:rsidRPr="00035C30">
              <w:rPr>
                <w:rFonts w:ascii="Amasis MT Pro" w:eastAsia="Arial" w:hAnsi="Amasis MT Pro" w:cs="Arial"/>
                <w:color w:val="1C1C1E"/>
                <w:sz w:val="18"/>
                <w:szCs w:val="18"/>
              </w:rPr>
              <w:t>Regulatory changes (GDPR, EU AI Act)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C1CA2E" w14:textId="77777777" w:rsidR="00620B9E" w:rsidRPr="00035C30" w:rsidRDefault="00620B9E" w:rsidP="00A4621E">
            <w:pPr>
              <w:jc w:val="both"/>
              <w:rPr>
                <w:rFonts w:ascii="Amasis MT Pro" w:hAnsi="Amasis MT Pro"/>
                <w:sz w:val="18"/>
                <w:szCs w:val="18"/>
              </w:rPr>
            </w:pPr>
            <w:r w:rsidRPr="00035C30">
              <w:rPr>
                <w:rFonts w:ascii="Amasis MT Pro" w:eastAsia="Arial" w:hAnsi="Amasis MT Pro" w:cs="Arial"/>
                <w:color w:val="1C1C1E"/>
                <w:sz w:val="18"/>
                <w:szCs w:val="18"/>
              </w:rPr>
              <w:t>High</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763A79" w14:textId="77777777" w:rsidR="00620B9E" w:rsidRPr="00035C30" w:rsidRDefault="00620B9E" w:rsidP="00A4621E">
            <w:pPr>
              <w:jc w:val="both"/>
              <w:rPr>
                <w:rFonts w:ascii="Amasis MT Pro" w:hAnsi="Amasis MT Pro"/>
                <w:sz w:val="18"/>
                <w:szCs w:val="18"/>
              </w:rPr>
            </w:pPr>
            <w:r w:rsidRPr="00035C30">
              <w:rPr>
                <w:rFonts w:ascii="Amasis MT Pro" w:eastAsia="Arial" w:hAnsi="Amasis MT Pro" w:cs="Arial"/>
                <w:color w:val="1C1C1E"/>
                <w:sz w:val="18"/>
                <w:szCs w:val="18"/>
              </w:rPr>
              <w:t>Consent-by-design architecture. EU AI Act high-risk provisions activate August 2026; Twinlytics is designed around auditability, bias documentation, and traceability from day one [R24].</w:t>
            </w:r>
          </w:p>
        </w:tc>
      </w:tr>
      <w:tr w:rsidR="00620B9E" w:rsidRPr="00035C30" w14:paraId="254CE88A" w14:textId="77777777" w:rsidTr="00704D1C">
        <w:tc>
          <w:tcPr>
            <w:tcW w:w="22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FD329F" w14:textId="77777777" w:rsidR="00620B9E" w:rsidRPr="00035C30" w:rsidRDefault="00620B9E" w:rsidP="00A4621E">
            <w:pPr>
              <w:jc w:val="both"/>
              <w:rPr>
                <w:rFonts w:ascii="Amasis MT Pro" w:hAnsi="Amasis MT Pro"/>
                <w:sz w:val="18"/>
                <w:szCs w:val="18"/>
              </w:rPr>
            </w:pPr>
            <w:r w:rsidRPr="00035C30">
              <w:rPr>
                <w:rFonts w:ascii="Amasis MT Pro" w:eastAsia="Arial" w:hAnsi="Amasis MT Pro" w:cs="Arial"/>
                <w:color w:val="1C1C1E"/>
                <w:sz w:val="18"/>
                <w:szCs w:val="18"/>
              </w:rPr>
              <w:t>Twin behavioural drift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8BD667" w14:textId="77777777" w:rsidR="00620B9E" w:rsidRPr="00035C30" w:rsidRDefault="00620B9E" w:rsidP="00A4621E">
            <w:pPr>
              <w:jc w:val="both"/>
              <w:rPr>
                <w:rFonts w:ascii="Amasis MT Pro" w:hAnsi="Amasis MT Pro"/>
                <w:sz w:val="18"/>
                <w:szCs w:val="18"/>
              </w:rPr>
            </w:pPr>
            <w:r w:rsidRPr="00035C30">
              <w:rPr>
                <w:rFonts w:ascii="Amasis MT Pro" w:eastAsia="Arial" w:hAnsi="Amasis MT Pro" w:cs="Arial"/>
                <w:color w:val="1C1C1E"/>
                <w:sz w:val="18"/>
                <w:szCs w:val="18"/>
              </w:rPr>
              <w:t>Medium</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AD02B0" w14:textId="77777777" w:rsidR="00620B9E" w:rsidRPr="00035C30" w:rsidRDefault="00620B9E" w:rsidP="00A4621E">
            <w:pPr>
              <w:jc w:val="both"/>
              <w:rPr>
                <w:rFonts w:ascii="Amasis MT Pro" w:hAnsi="Amasis MT Pro"/>
                <w:sz w:val="18"/>
                <w:szCs w:val="18"/>
              </w:rPr>
            </w:pPr>
            <w:r w:rsidRPr="00035C30">
              <w:rPr>
                <w:rFonts w:ascii="Amasis MT Pro" w:eastAsia="Arial" w:hAnsi="Amasis MT Pro" w:cs="Arial"/>
                <w:color w:val="1C1C1E"/>
                <w:sz w:val="18"/>
                <w:szCs w:val="18"/>
              </w:rPr>
              <w:t>Longitudinal behavioural embeddings are trained on diary history, not one-off responses. Validation pipelines generate confidence intervals on every output.</w:t>
            </w:r>
          </w:p>
        </w:tc>
      </w:tr>
      <w:tr w:rsidR="00620B9E" w:rsidRPr="00035C30" w14:paraId="2C5E33D1" w14:textId="77777777" w:rsidTr="00704D1C">
        <w:tc>
          <w:tcPr>
            <w:tcW w:w="22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81BE5E" w14:textId="77777777" w:rsidR="00620B9E" w:rsidRPr="00035C30" w:rsidRDefault="00620B9E" w:rsidP="00A4621E">
            <w:pPr>
              <w:jc w:val="both"/>
              <w:rPr>
                <w:rFonts w:ascii="Amasis MT Pro" w:hAnsi="Amasis MT Pro"/>
                <w:sz w:val="18"/>
                <w:szCs w:val="18"/>
              </w:rPr>
            </w:pPr>
            <w:r w:rsidRPr="00035C30">
              <w:rPr>
                <w:rFonts w:ascii="Amasis MT Pro" w:eastAsia="Arial" w:hAnsi="Amasis MT Pro" w:cs="Arial"/>
                <w:color w:val="1C1C1E"/>
                <w:sz w:val="18"/>
                <w:szCs w:val="18"/>
              </w:rPr>
              <w:t>Data security breach</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70D386" w14:textId="77777777" w:rsidR="00620B9E" w:rsidRPr="00035C30" w:rsidRDefault="00620B9E" w:rsidP="00A4621E">
            <w:pPr>
              <w:jc w:val="both"/>
              <w:rPr>
                <w:rFonts w:ascii="Amasis MT Pro" w:hAnsi="Amasis MT Pro"/>
                <w:sz w:val="18"/>
                <w:szCs w:val="18"/>
              </w:rPr>
            </w:pPr>
            <w:r w:rsidRPr="00035C30">
              <w:rPr>
                <w:rFonts w:ascii="Amasis MT Pro" w:eastAsia="Arial" w:hAnsi="Amasis MT Pro" w:cs="Arial"/>
                <w:color w:val="1C1C1E"/>
                <w:sz w:val="18"/>
                <w:szCs w:val="18"/>
              </w:rPr>
              <w:t>High</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6F7813" w14:textId="10A27D13" w:rsidR="00620B9E" w:rsidRPr="00035C30" w:rsidRDefault="00620B9E" w:rsidP="00A4621E">
            <w:pPr>
              <w:jc w:val="both"/>
              <w:rPr>
                <w:rFonts w:ascii="Amasis MT Pro" w:hAnsi="Amasis MT Pro"/>
                <w:sz w:val="18"/>
                <w:szCs w:val="18"/>
              </w:rPr>
            </w:pPr>
            <w:r w:rsidRPr="00035C30">
              <w:rPr>
                <w:rFonts w:ascii="Amasis MT Pro" w:eastAsia="Arial" w:hAnsi="Amasis MT Pro" w:cs="Arial"/>
                <w:color w:val="1C1C1E"/>
                <w:sz w:val="18"/>
                <w:szCs w:val="18"/>
              </w:rPr>
              <w:t xml:space="preserve">TLS encryption, secure enclaves, periodic penetration testing, </w:t>
            </w:r>
            <w:r w:rsidR="008C2BC6" w:rsidRPr="00035C30">
              <w:rPr>
                <w:rFonts w:ascii="Amasis MT Pro" w:eastAsia="Arial" w:hAnsi="Amasis MT Pro" w:cs="Arial"/>
                <w:color w:val="1C1C1E"/>
                <w:sz w:val="18"/>
                <w:szCs w:val="18"/>
              </w:rPr>
              <w:t>anonymization</w:t>
            </w:r>
            <w:r w:rsidRPr="00035C30">
              <w:rPr>
                <w:rFonts w:ascii="Amasis MT Pro" w:eastAsia="Arial" w:hAnsi="Amasis MT Pro" w:cs="Arial"/>
                <w:color w:val="1C1C1E"/>
                <w:sz w:val="18"/>
                <w:szCs w:val="18"/>
              </w:rPr>
              <w:t xml:space="preserve"> of all client-facing outputs, bug bounty </w:t>
            </w:r>
            <w:r w:rsidR="008C2BC6" w:rsidRPr="00035C30">
              <w:rPr>
                <w:rFonts w:ascii="Amasis MT Pro" w:eastAsia="Arial" w:hAnsi="Amasis MT Pro" w:cs="Arial"/>
                <w:color w:val="1C1C1E"/>
                <w:sz w:val="18"/>
                <w:szCs w:val="18"/>
              </w:rPr>
              <w:t>program</w:t>
            </w:r>
            <w:r w:rsidRPr="00035C30">
              <w:rPr>
                <w:rFonts w:ascii="Amasis MT Pro" w:eastAsia="Arial" w:hAnsi="Amasis MT Pro" w:cs="Arial"/>
                <w:color w:val="1C1C1E"/>
                <w:sz w:val="18"/>
                <w:szCs w:val="18"/>
              </w:rPr>
              <w:t>.</w:t>
            </w:r>
          </w:p>
        </w:tc>
      </w:tr>
      <w:tr w:rsidR="00620B9E" w:rsidRPr="00035C30" w14:paraId="0318D529" w14:textId="77777777" w:rsidTr="00704D1C">
        <w:tc>
          <w:tcPr>
            <w:tcW w:w="22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F69445" w14:textId="77777777" w:rsidR="00620B9E" w:rsidRPr="00035C30" w:rsidRDefault="00620B9E" w:rsidP="00A4621E">
            <w:pPr>
              <w:jc w:val="both"/>
              <w:rPr>
                <w:rFonts w:ascii="Amasis MT Pro" w:hAnsi="Amasis MT Pro"/>
                <w:sz w:val="18"/>
                <w:szCs w:val="18"/>
              </w:rPr>
            </w:pPr>
            <w:r w:rsidRPr="00035C30">
              <w:rPr>
                <w:rFonts w:ascii="Amasis MT Pro" w:eastAsia="Arial" w:hAnsi="Amasis MT Pro" w:cs="Arial"/>
                <w:color w:val="1C1C1E"/>
                <w:sz w:val="18"/>
                <w:szCs w:val="18"/>
              </w:rPr>
              <w:lastRenderedPageBreak/>
              <w:t>Competitive pressure from well-funded players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A2FB02" w14:textId="77777777" w:rsidR="00620B9E" w:rsidRPr="00035C30" w:rsidRDefault="00620B9E" w:rsidP="00A4621E">
            <w:pPr>
              <w:jc w:val="both"/>
              <w:rPr>
                <w:rFonts w:ascii="Amasis MT Pro" w:hAnsi="Amasis MT Pro"/>
                <w:sz w:val="18"/>
                <w:szCs w:val="18"/>
              </w:rPr>
            </w:pPr>
            <w:r w:rsidRPr="00035C30">
              <w:rPr>
                <w:rFonts w:ascii="Amasis MT Pro" w:eastAsia="Arial" w:hAnsi="Amasis MT Pro" w:cs="Arial"/>
                <w:color w:val="1C1C1E"/>
                <w:sz w:val="18"/>
                <w:szCs w:val="18"/>
              </w:rPr>
              <w:t>Medium to high</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847F69" w14:textId="09C2F8B2" w:rsidR="00620B9E" w:rsidRPr="00035C30" w:rsidRDefault="00620B9E" w:rsidP="00A4621E">
            <w:pPr>
              <w:jc w:val="both"/>
              <w:rPr>
                <w:rFonts w:ascii="Amasis MT Pro" w:hAnsi="Amasis MT Pro"/>
                <w:sz w:val="18"/>
                <w:szCs w:val="18"/>
              </w:rPr>
            </w:pPr>
            <w:r w:rsidRPr="00035C30">
              <w:rPr>
                <w:rFonts w:ascii="Amasis MT Pro" w:eastAsia="Arial" w:hAnsi="Amasis MT Pro" w:cs="Arial"/>
                <w:color w:val="1C1C1E"/>
                <w:sz w:val="18"/>
                <w:szCs w:val="18"/>
              </w:rPr>
              <w:t xml:space="preserve">Our moat is </w:t>
            </w:r>
            <w:r w:rsidR="00CC6AAB" w:rsidRPr="00035C30">
              <w:rPr>
                <w:rFonts w:ascii="Amasis MT Pro" w:eastAsia="Arial" w:hAnsi="Amasis MT Pro" w:cs="Arial"/>
                <w:color w:val="1C1C1E"/>
                <w:sz w:val="18"/>
                <w:szCs w:val="18"/>
              </w:rPr>
              <w:t>to be user</w:t>
            </w:r>
            <w:r w:rsidRPr="00035C30">
              <w:rPr>
                <w:rFonts w:ascii="Amasis MT Pro" w:eastAsia="Arial" w:hAnsi="Amasis MT Pro" w:cs="Arial"/>
                <w:color w:val="1C1C1E"/>
                <w:sz w:val="18"/>
                <w:szCs w:val="18"/>
              </w:rPr>
              <w:t xml:space="preserve"> ownership and European compliance. No competitor compensates the real humans whose data they use. That is a structural difference, not just a feature.</w:t>
            </w:r>
          </w:p>
        </w:tc>
      </w:tr>
      <w:tr w:rsidR="00620B9E" w:rsidRPr="00035C30" w14:paraId="1A6BD3AD" w14:textId="77777777" w:rsidTr="00704D1C">
        <w:tc>
          <w:tcPr>
            <w:tcW w:w="22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B63CAA" w14:textId="77777777" w:rsidR="00620B9E" w:rsidRPr="00035C30" w:rsidRDefault="00620B9E" w:rsidP="00A4621E">
            <w:pPr>
              <w:jc w:val="both"/>
              <w:rPr>
                <w:rFonts w:ascii="Amasis MT Pro" w:hAnsi="Amasis MT Pro"/>
                <w:sz w:val="18"/>
                <w:szCs w:val="18"/>
              </w:rPr>
            </w:pPr>
            <w:r w:rsidRPr="00035C30">
              <w:rPr>
                <w:rFonts w:ascii="Amasis MT Pro" w:eastAsia="Arial" w:hAnsi="Amasis MT Pro" w:cs="Arial"/>
                <w:color w:val="1C1C1E"/>
                <w:sz w:val="18"/>
                <w:szCs w:val="18"/>
              </w:rPr>
              <w:t>Platform misuse through false inputs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423D7E" w14:textId="77777777" w:rsidR="00620B9E" w:rsidRPr="00035C30" w:rsidRDefault="00620B9E" w:rsidP="00A4621E">
            <w:pPr>
              <w:jc w:val="both"/>
              <w:rPr>
                <w:rFonts w:ascii="Amasis MT Pro" w:hAnsi="Amasis MT Pro"/>
                <w:sz w:val="18"/>
                <w:szCs w:val="18"/>
              </w:rPr>
            </w:pPr>
            <w:r w:rsidRPr="00035C30">
              <w:rPr>
                <w:rFonts w:ascii="Amasis MT Pro" w:eastAsia="Arial" w:hAnsi="Amasis MT Pro" w:cs="Arial"/>
                <w:color w:val="1C1C1E"/>
                <w:sz w:val="18"/>
                <w:szCs w:val="18"/>
              </w:rPr>
              <w:t>Medium</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3E05A8" w14:textId="09FB7E2B" w:rsidR="00620B9E" w:rsidRPr="00035C30" w:rsidRDefault="00620B9E" w:rsidP="00A4621E">
            <w:pPr>
              <w:jc w:val="both"/>
              <w:rPr>
                <w:rFonts w:ascii="Amasis MT Pro" w:hAnsi="Amasis MT Pro"/>
                <w:sz w:val="18"/>
                <w:szCs w:val="18"/>
              </w:rPr>
            </w:pPr>
            <w:r w:rsidRPr="00035C30">
              <w:rPr>
                <w:rFonts w:ascii="Amasis MT Pro" w:eastAsia="Arial" w:hAnsi="Amasis MT Pro" w:cs="Arial"/>
                <w:color w:val="1C1C1E"/>
                <w:sz w:val="18"/>
                <w:szCs w:val="18"/>
              </w:rPr>
              <w:t xml:space="preserve">Community moderation and cross-validation of key inputs through verification prompts. User agreements set consequences for malicious use. Identities remain </w:t>
            </w:r>
            <w:r w:rsidR="008C2BC6" w:rsidRPr="00035C30">
              <w:rPr>
                <w:rFonts w:ascii="Amasis MT Pro" w:eastAsia="Arial" w:hAnsi="Amasis MT Pro" w:cs="Arial"/>
                <w:color w:val="1C1C1E"/>
                <w:sz w:val="18"/>
                <w:szCs w:val="18"/>
              </w:rPr>
              <w:t>anonymized</w:t>
            </w:r>
            <w:r w:rsidRPr="00035C30">
              <w:rPr>
                <w:rFonts w:ascii="Amasis MT Pro" w:eastAsia="Arial" w:hAnsi="Amasis MT Pro" w:cs="Arial"/>
                <w:color w:val="1C1C1E"/>
                <w:sz w:val="18"/>
                <w:szCs w:val="18"/>
              </w:rPr>
              <w:t xml:space="preserve"> on the client side.</w:t>
            </w:r>
          </w:p>
        </w:tc>
      </w:tr>
    </w:tbl>
    <w:p w14:paraId="35A45EED" w14:textId="77777777" w:rsidR="00620B9E" w:rsidRPr="008440CF" w:rsidRDefault="00620B9E" w:rsidP="00A4621E">
      <w:pPr>
        <w:spacing w:after="80"/>
        <w:jc w:val="both"/>
        <w:rPr>
          <w:rFonts w:ascii="Amasis MT Pro" w:hAnsi="Amasis MT Pro"/>
        </w:rPr>
      </w:pPr>
    </w:p>
    <w:p w14:paraId="430A1F9A" w14:textId="30565919"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 xml:space="preserve">It is worth addressing one concern directly. The Electronic Frontier Foundation has argued that getting paid for your personal data is ultimately a bad deal, because it frames privacy as a commodity rather than a right [R17]. This is a serious argument. Our response is that Twinlytics does not require users to sell their privacy. Participation is entirely voluntary, terms are fully transparent, and users can withdraw at any time. We are not proposing that people </w:t>
      </w:r>
      <w:r w:rsidR="008C2BC6" w:rsidRPr="008440CF">
        <w:rPr>
          <w:rFonts w:ascii="Amasis MT Pro" w:eastAsia="Arial" w:hAnsi="Amasis MT Pro" w:cs="Arial"/>
          <w:color w:val="1C1C1E"/>
        </w:rPr>
        <w:t>monetize</w:t>
      </w:r>
      <w:r w:rsidRPr="008440CF">
        <w:rPr>
          <w:rFonts w:ascii="Amasis MT Pro" w:eastAsia="Arial" w:hAnsi="Amasis MT Pro" w:cs="Arial"/>
          <w:color w:val="1C1C1E"/>
        </w:rPr>
        <w:t xml:space="preserve"> their privacy. We are proposing that people receive fair compensation for the deliberate, conscious sharing of insights they choose to contribute. When handled responsibly, digital twins can complement traditional research methods and open new forms of faster, more adaptive inquiry, rather than creating unacceptable </w:t>
      </w:r>
      <w:r w:rsidR="00E84667" w:rsidRPr="008440CF">
        <w:rPr>
          <w:rFonts w:ascii="Amasis MT Pro" w:eastAsia="Arial" w:hAnsi="Amasis MT Pro" w:cs="Arial"/>
          <w:color w:val="1C1C1E"/>
        </w:rPr>
        <w:t>harm</w:t>
      </w:r>
      <w:r w:rsidRPr="008440CF">
        <w:rPr>
          <w:rFonts w:ascii="Amasis MT Pro" w:eastAsia="Arial" w:hAnsi="Amasis MT Pro" w:cs="Arial"/>
          <w:color w:val="1C1C1E"/>
        </w:rPr>
        <w:t xml:space="preserve"> [R11].</w:t>
      </w:r>
    </w:p>
    <w:p w14:paraId="07EDEFB2" w14:textId="178F4798" w:rsidR="00620B9E" w:rsidRPr="008440CF" w:rsidRDefault="00620B9E" w:rsidP="00A4621E">
      <w:pPr>
        <w:pStyle w:val="Heading1"/>
        <w:jc w:val="both"/>
        <w:rPr>
          <w:rFonts w:ascii="Amasis MT Pro" w:hAnsi="Amasis MT Pro"/>
          <w:sz w:val="20"/>
          <w:szCs w:val="20"/>
        </w:rPr>
      </w:pPr>
      <w:r w:rsidRPr="008440CF">
        <w:rPr>
          <w:rFonts w:ascii="Amasis MT Pro" w:eastAsia="Arial" w:hAnsi="Amasis MT Pro" w:cs="Arial"/>
          <w:b/>
          <w:bCs/>
          <w:color w:val="000000"/>
          <w:sz w:val="20"/>
          <w:szCs w:val="20"/>
        </w:rPr>
        <w:t>11. ROI Framework</w:t>
      </w:r>
    </w:p>
    <w:p w14:paraId="4E114486" w14:textId="77777777" w:rsidR="00620B9E" w:rsidRPr="008440CF" w:rsidRDefault="00620B9E" w:rsidP="00A4621E">
      <w:pPr>
        <w:pStyle w:val="Heading2"/>
        <w:jc w:val="both"/>
        <w:rPr>
          <w:rFonts w:ascii="Amasis MT Pro" w:hAnsi="Amasis MT Pro"/>
          <w:sz w:val="20"/>
          <w:szCs w:val="20"/>
        </w:rPr>
      </w:pPr>
      <w:r w:rsidRPr="008440CF">
        <w:rPr>
          <w:rFonts w:ascii="Amasis MT Pro" w:eastAsia="Arial" w:hAnsi="Amasis MT Pro" w:cs="Arial"/>
          <w:b/>
          <w:bCs/>
          <w:color w:val="1C1C1E"/>
          <w:sz w:val="20"/>
          <w:szCs w:val="20"/>
        </w:rPr>
        <w:t>11.1 For Enterprise Clients</w:t>
      </w:r>
    </w:p>
    <w:p w14:paraId="077E9FC0" w14:textId="77777777" w:rsidR="00620B9E" w:rsidRPr="008440CF" w:rsidRDefault="00620B9E" w:rsidP="00A4621E">
      <w:pPr>
        <w:pStyle w:val="ListParagraph"/>
        <w:numPr>
          <w:ilvl w:val="0"/>
          <w:numId w:val="2"/>
        </w:numPr>
        <w:spacing w:after="100"/>
        <w:jc w:val="both"/>
        <w:rPr>
          <w:rFonts w:ascii="Amasis MT Pro" w:hAnsi="Amasis MT Pro"/>
        </w:rPr>
      </w:pPr>
      <w:r w:rsidRPr="008440CF">
        <w:rPr>
          <w:rFonts w:ascii="Amasis MT Pro" w:eastAsia="Arial" w:hAnsi="Amasis MT Pro" w:cs="Arial"/>
          <w:color w:val="1C1C1E"/>
        </w:rPr>
        <w:t>Reduced cycle time: a traditional research cycle takes three to eight weeks. Twinlytics delivers results within hours.</w:t>
      </w:r>
    </w:p>
    <w:p w14:paraId="1FC33EC7" w14:textId="0E212663" w:rsidR="00620B9E" w:rsidRPr="008440CF" w:rsidRDefault="00620B9E" w:rsidP="00A4621E">
      <w:pPr>
        <w:pStyle w:val="ListParagraph"/>
        <w:numPr>
          <w:ilvl w:val="0"/>
          <w:numId w:val="2"/>
        </w:numPr>
        <w:spacing w:after="100"/>
        <w:jc w:val="both"/>
        <w:rPr>
          <w:rFonts w:ascii="Amasis MT Pro" w:hAnsi="Amasis MT Pro"/>
        </w:rPr>
      </w:pPr>
      <w:r w:rsidRPr="008440CF">
        <w:rPr>
          <w:rFonts w:ascii="Amasis MT Pro" w:eastAsia="Arial" w:hAnsi="Amasis MT Pro" w:cs="Arial"/>
          <w:color w:val="1C1C1E"/>
        </w:rPr>
        <w:t xml:space="preserve">Lower cost per insight: a single focus group costs EUR 5,000 to EUR 20,000. A Twinlytics simulation of 500 </w:t>
      </w:r>
      <w:r w:rsidR="00E84667" w:rsidRPr="008440CF">
        <w:rPr>
          <w:rFonts w:ascii="Amasis MT Pro" w:eastAsia="Arial" w:hAnsi="Amasis MT Pro" w:cs="Arial"/>
          <w:color w:val="1C1C1E"/>
        </w:rPr>
        <w:t>twins’</w:t>
      </w:r>
      <w:r w:rsidRPr="008440CF">
        <w:rPr>
          <w:rFonts w:ascii="Amasis MT Pro" w:eastAsia="Arial" w:hAnsi="Amasis MT Pro" w:cs="Arial"/>
          <w:color w:val="1C1C1E"/>
        </w:rPr>
        <w:t xml:space="preserve"> costs EUR 500 to EUR 2,500 at pay-per-use rates.</w:t>
      </w:r>
    </w:p>
    <w:p w14:paraId="204C0A59" w14:textId="77777777" w:rsidR="00620B9E" w:rsidRPr="008440CF" w:rsidRDefault="00620B9E" w:rsidP="00A4621E">
      <w:pPr>
        <w:pStyle w:val="ListParagraph"/>
        <w:numPr>
          <w:ilvl w:val="0"/>
          <w:numId w:val="2"/>
        </w:numPr>
        <w:spacing w:after="100"/>
        <w:jc w:val="both"/>
        <w:rPr>
          <w:rFonts w:ascii="Amasis MT Pro" w:hAnsi="Amasis MT Pro"/>
        </w:rPr>
      </w:pPr>
      <w:r w:rsidRPr="008440CF">
        <w:rPr>
          <w:rFonts w:ascii="Amasis MT Pro" w:eastAsia="Arial" w:hAnsi="Amasis MT Pro" w:cs="Arial"/>
          <w:color w:val="1C1C1E"/>
        </w:rPr>
        <w:t>Higher iteration speed: clients can test ten scenario variants in the time it takes to brief a traditional panel agency. This is the practical advantage that drives adoption.</w:t>
      </w:r>
    </w:p>
    <w:p w14:paraId="2035B8B3" w14:textId="77777777" w:rsidR="00620B9E" w:rsidRPr="008440CF" w:rsidRDefault="00620B9E" w:rsidP="00A4621E">
      <w:pPr>
        <w:pStyle w:val="ListParagraph"/>
        <w:numPr>
          <w:ilvl w:val="0"/>
          <w:numId w:val="2"/>
        </w:numPr>
        <w:spacing w:after="100"/>
        <w:jc w:val="both"/>
        <w:rPr>
          <w:rFonts w:ascii="Amasis MT Pro" w:hAnsi="Amasis MT Pro"/>
        </w:rPr>
      </w:pPr>
      <w:r w:rsidRPr="008440CF">
        <w:rPr>
          <w:rFonts w:ascii="Amasis MT Pro" w:eastAsia="Arial" w:hAnsi="Amasis MT Pro" w:cs="Arial"/>
          <w:color w:val="1C1C1E"/>
        </w:rPr>
        <w:t>Enterprise digital twin deployments have been associated with productivity gains of 15 to 30% and in some cases annual savings exceeding EUR 10 million [R25].</w:t>
      </w:r>
    </w:p>
    <w:p w14:paraId="11906A99" w14:textId="0E12FB03" w:rsidR="00620B9E" w:rsidRPr="008440CF" w:rsidRDefault="00620B9E" w:rsidP="00A4621E">
      <w:pPr>
        <w:pStyle w:val="ListParagraph"/>
        <w:numPr>
          <w:ilvl w:val="0"/>
          <w:numId w:val="2"/>
        </w:numPr>
        <w:spacing w:after="100"/>
        <w:jc w:val="both"/>
        <w:rPr>
          <w:rFonts w:ascii="Amasis MT Pro" w:hAnsi="Amasis MT Pro"/>
        </w:rPr>
      </w:pPr>
      <w:r w:rsidRPr="008440CF">
        <w:rPr>
          <w:rFonts w:ascii="Amasis MT Pro" w:eastAsia="Arial" w:hAnsi="Amasis MT Pro" w:cs="Arial"/>
          <w:color w:val="1C1C1E"/>
        </w:rPr>
        <w:t>Analogous pilots in consumer goods have demonstrated that identifying the actual drivers of purchase decisions, rather than relying on assumptions, meaningfully improves go-to-market outcomes [R8].</w:t>
      </w:r>
    </w:p>
    <w:p w14:paraId="6C563184" w14:textId="77777777" w:rsidR="00620B9E" w:rsidRPr="008440CF" w:rsidRDefault="00620B9E" w:rsidP="00A4621E">
      <w:pPr>
        <w:pStyle w:val="Heading2"/>
        <w:jc w:val="both"/>
        <w:rPr>
          <w:rFonts w:ascii="Amasis MT Pro" w:hAnsi="Amasis MT Pro"/>
          <w:sz w:val="20"/>
          <w:szCs w:val="20"/>
        </w:rPr>
      </w:pPr>
      <w:r w:rsidRPr="008440CF">
        <w:rPr>
          <w:rFonts w:ascii="Amasis MT Pro" w:eastAsia="Arial" w:hAnsi="Amasis MT Pro" w:cs="Arial"/>
          <w:b/>
          <w:bCs/>
          <w:color w:val="1C1C1E"/>
          <w:sz w:val="20"/>
          <w:szCs w:val="20"/>
        </w:rPr>
        <w:t>11.2 For Users</w:t>
      </w:r>
    </w:p>
    <w:p w14:paraId="41B68F29" w14:textId="11A572B0" w:rsidR="00620B9E" w:rsidRPr="008440CF" w:rsidRDefault="00620B9E" w:rsidP="00A4621E">
      <w:pPr>
        <w:pStyle w:val="ListParagraph"/>
        <w:numPr>
          <w:ilvl w:val="0"/>
          <w:numId w:val="2"/>
        </w:numPr>
        <w:spacing w:after="100"/>
        <w:jc w:val="both"/>
        <w:rPr>
          <w:rFonts w:ascii="Amasis MT Pro" w:hAnsi="Amasis MT Pro"/>
        </w:rPr>
      </w:pPr>
      <w:r w:rsidRPr="008440CF">
        <w:rPr>
          <w:rFonts w:ascii="Amasis MT Pro" w:eastAsia="Arial" w:hAnsi="Amasis MT Pro" w:cs="Arial"/>
          <w:color w:val="1C1C1E"/>
        </w:rPr>
        <w:t xml:space="preserve">Earnings </w:t>
      </w:r>
      <w:r w:rsidR="00987352" w:rsidRPr="008440CF">
        <w:rPr>
          <w:rFonts w:ascii="Amasis MT Pro" w:eastAsia="Arial" w:hAnsi="Amasis MT Pro" w:cs="Arial"/>
          <w:color w:val="1C1C1E"/>
        </w:rPr>
        <w:t>compared</w:t>
      </w:r>
      <w:r w:rsidRPr="008440CF">
        <w:rPr>
          <w:rFonts w:ascii="Amasis MT Pro" w:eastAsia="Arial" w:hAnsi="Amasis MT Pro" w:cs="Arial"/>
          <w:color w:val="1C1C1E"/>
        </w:rPr>
        <w:t xml:space="preserve"> to time: active users contributing 30 to 60 minutes of diary content per week are estimated to earn EUR 8 to EUR 30 per month as the platform scales.</w:t>
      </w:r>
    </w:p>
    <w:p w14:paraId="139EFBA1" w14:textId="77777777" w:rsidR="00620B9E" w:rsidRPr="008440CF" w:rsidRDefault="00620B9E" w:rsidP="00A4621E">
      <w:pPr>
        <w:pStyle w:val="ListParagraph"/>
        <w:numPr>
          <w:ilvl w:val="0"/>
          <w:numId w:val="2"/>
        </w:numPr>
        <w:spacing w:after="100"/>
        <w:jc w:val="both"/>
        <w:rPr>
          <w:rFonts w:ascii="Amasis MT Pro" w:hAnsi="Amasis MT Pro"/>
        </w:rPr>
      </w:pPr>
      <w:r w:rsidRPr="008440CF">
        <w:rPr>
          <w:rFonts w:ascii="Amasis MT Pro" w:eastAsia="Arial" w:hAnsi="Amasis MT Pro" w:cs="Arial"/>
          <w:color w:val="1C1C1E"/>
        </w:rPr>
        <w:t>Personal development: structured journaling and self-reflection have documented psychological benefits independent of any financial return.</w:t>
      </w:r>
    </w:p>
    <w:p w14:paraId="5527F9E6" w14:textId="77777777" w:rsidR="00620B9E" w:rsidRPr="008440CF" w:rsidRDefault="00620B9E" w:rsidP="00A4621E">
      <w:pPr>
        <w:pStyle w:val="ListParagraph"/>
        <w:numPr>
          <w:ilvl w:val="0"/>
          <w:numId w:val="2"/>
        </w:numPr>
        <w:spacing w:after="100"/>
        <w:jc w:val="both"/>
        <w:rPr>
          <w:rFonts w:ascii="Amasis MT Pro" w:hAnsi="Amasis MT Pro"/>
        </w:rPr>
      </w:pPr>
      <w:r w:rsidRPr="008440CF">
        <w:rPr>
          <w:rFonts w:ascii="Amasis MT Pro" w:eastAsia="Arial" w:hAnsi="Amasis MT Pro" w:cs="Arial"/>
          <w:color w:val="1C1C1E"/>
        </w:rPr>
        <w:t>Community engagement: TwinMatch and Local Pulse Maps generate social capital for users interested in connecting with others around shared values and interests.</w:t>
      </w:r>
    </w:p>
    <w:p w14:paraId="26702F0A" w14:textId="7438D514" w:rsidR="00620B9E" w:rsidRPr="008440CF" w:rsidRDefault="00620B9E" w:rsidP="00A4621E">
      <w:pPr>
        <w:pStyle w:val="ListParagraph"/>
        <w:numPr>
          <w:ilvl w:val="0"/>
          <w:numId w:val="2"/>
        </w:numPr>
        <w:spacing w:after="100"/>
        <w:jc w:val="both"/>
        <w:rPr>
          <w:rFonts w:ascii="Amasis MT Pro" w:hAnsi="Amasis MT Pro"/>
        </w:rPr>
      </w:pPr>
      <w:r w:rsidRPr="008440CF">
        <w:rPr>
          <w:rFonts w:ascii="Amasis MT Pro" w:eastAsia="Arial" w:hAnsi="Amasis MT Pro" w:cs="Arial"/>
          <w:color w:val="1C1C1E"/>
        </w:rPr>
        <w:t>Key metrics tracked by the platform include average earnings per active user, retention rate, NPS, and TwinMatch connections per user.</w:t>
      </w:r>
    </w:p>
    <w:p w14:paraId="1F8A4FB4" w14:textId="68A8B056" w:rsidR="00620B9E" w:rsidRPr="008440CF" w:rsidRDefault="00620B9E" w:rsidP="00A4621E">
      <w:pPr>
        <w:pStyle w:val="Heading1"/>
        <w:jc w:val="both"/>
        <w:rPr>
          <w:rFonts w:ascii="Amasis MT Pro" w:hAnsi="Amasis MT Pro"/>
          <w:sz w:val="20"/>
          <w:szCs w:val="20"/>
        </w:rPr>
      </w:pPr>
      <w:r w:rsidRPr="008440CF">
        <w:rPr>
          <w:rFonts w:ascii="Amasis MT Pro" w:eastAsia="Arial" w:hAnsi="Amasis MT Pro" w:cs="Arial"/>
          <w:b/>
          <w:bCs/>
          <w:color w:val="000000"/>
          <w:sz w:val="20"/>
          <w:szCs w:val="20"/>
        </w:rPr>
        <w:t xml:space="preserve">12. Development Timeline </w:t>
      </w:r>
      <w:commentRangeStart w:id="2"/>
      <w:r w:rsidRPr="008440CF">
        <w:rPr>
          <w:rFonts w:ascii="Amasis MT Pro" w:eastAsia="Arial" w:hAnsi="Amasis MT Pro" w:cs="Arial"/>
          <w:b/>
          <w:bCs/>
          <w:color w:val="000000"/>
          <w:sz w:val="20"/>
          <w:szCs w:val="20"/>
        </w:rPr>
        <w:t>and</w:t>
      </w:r>
      <w:commentRangeEnd w:id="2"/>
      <w:r w:rsidR="00A4621E" w:rsidRPr="008440CF">
        <w:rPr>
          <w:rStyle w:val="CommentReference"/>
          <w:rFonts w:ascii="Amasis MT Pro" w:eastAsia="Arial" w:hAnsi="Amasis MT Pro" w:cs="Arial"/>
          <w:b/>
          <w:bCs/>
          <w:color w:val="000000"/>
          <w:sz w:val="20"/>
          <w:szCs w:val="20"/>
        </w:rPr>
        <w:commentReference w:id="2"/>
      </w:r>
      <w:r w:rsidRPr="008440CF">
        <w:rPr>
          <w:rFonts w:ascii="Amasis MT Pro" w:eastAsia="Arial" w:hAnsi="Amasis MT Pro" w:cs="Arial"/>
          <w:b/>
          <w:bCs/>
          <w:color w:val="000000"/>
          <w:sz w:val="20"/>
          <w:szCs w:val="20"/>
        </w:rPr>
        <w:t xml:space="preserve"> Budget</w:t>
      </w:r>
    </w:p>
    <w:p w14:paraId="182077FF" w14:textId="77777777" w:rsidR="00620B9E" w:rsidRPr="008440CF" w:rsidRDefault="00620B9E" w:rsidP="00A4621E">
      <w:pPr>
        <w:pStyle w:val="Heading2"/>
        <w:jc w:val="both"/>
        <w:rPr>
          <w:rFonts w:ascii="Amasis MT Pro" w:hAnsi="Amasis MT Pro"/>
          <w:sz w:val="20"/>
          <w:szCs w:val="20"/>
        </w:rPr>
      </w:pPr>
      <w:r w:rsidRPr="008440CF">
        <w:rPr>
          <w:rFonts w:ascii="Amasis MT Pro" w:eastAsia="Arial" w:hAnsi="Amasis MT Pro" w:cs="Arial"/>
          <w:b/>
          <w:bCs/>
          <w:color w:val="1C1C1E"/>
          <w:sz w:val="20"/>
          <w:szCs w:val="20"/>
        </w:rPr>
        <w:t>12.1 Phased Roadmap</w:t>
      </w:r>
    </w:p>
    <w:tbl>
      <w:tblPr>
        <w:tblW w:w="9026" w:type="dxa"/>
        <w:tblCellSpacing w:w="15" w:type="dxa"/>
        <w:tblCellMar>
          <w:top w:w="15" w:type="dxa"/>
          <w:left w:w="15" w:type="dxa"/>
          <w:bottom w:w="15" w:type="dxa"/>
          <w:right w:w="15" w:type="dxa"/>
        </w:tblCellMar>
        <w:tblLook w:val="04A0" w:firstRow="1" w:lastRow="0" w:firstColumn="1" w:lastColumn="0" w:noHBand="0" w:noVBand="1"/>
      </w:tblPr>
      <w:tblGrid>
        <w:gridCol w:w="1639"/>
        <w:gridCol w:w="1227"/>
        <w:gridCol w:w="3961"/>
        <w:gridCol w:w="2199"/>
      </w:tblGrid>
      <w:tr w:rsidR="00851059" w14:paraId="02843994" w14:textId="77777777">
        <w:trPr>
          <w:tblCellSpacing w:w="15" w:type="dxa"/>
        </w:trPr>
        <w:tc>
          <w:tcPr>
            <w:tcW w:w="1600" w:type="dxa"/>
            <w:tcBorders>
              <w:top w:val="single" w:sz="8" w:space="0" w:color="CCCCCC"/>
              <w:left w:val="single" w:sz="8" w:space="0" w:color="CCCCCC"/>
              <w:bottom w:val="single" w:sz="8" w:space="0" w:color="CCCCCC"/>
              <w:right w:val="single" w:sz="8" w:space="0" w:color="CCCCCC"/>
            </w:tcBorders>
            <w:shd w:val="clear" w:color="auto" w:fill="1C1C1E"/>
            <w:tcMar>
              <w:top w:w="100" w:type="dxa"/>
              <w:left w:w="120" w:type="dxa"/>
              <w:bottom w:w="100" w:type="dxa"/>
              <w:right w:w="120" w:type="dxa"/>
            </w:tcMar>
            <w:vAlign w:val="center"/>
            <w:hideMark/>
          </w:tcPr>
          <w:p w14:paraId="3CC1F9DC" w14:textId="77777777" w:rsidR="00851059" w:rsidRDefault="00851059" w:rsidP="00A4621E">
            <w:pPr>
              <w:jc w:val="both"/>
              <w:rPr>
                <w:kern w:val="2"/>
                <w14:ligatures w14:val="standardContextual"/>
              </w:rPr>
            </w:pPr>
            <w:r>
              <w:rPr>
                <w:rFonts w:ascii="Amasis MT Pro" w:hAnsi="Amasis MT Pro"/>
                <w:b/>
                <w:bCs/>
                <w:color w:val="FFFFFF"/>
              </w:rPr>
              <w:t>Phase</w:t>
            </w:r>
          </w:p>
        </w:tc>
        <w:tc>
          <w:tcPr>
            <w:tcW w:w="1200" w:type="dxa"/>
            <w:tcBorders>
              <w:top w:val="single" w:sz="8" w:space="0" w:color="CCCCCC"/>
              <w:left w:val="nil"/>
              <w:bottom w:val="single" w:sz="8" w:space="0" w:color="CCCCCC"/>
              <w:right w:val="single" w:sz="8" w:space="0" w:color="CCCCCC"/>
            </w:tcBorders>
            <w:shd w:val="clear" w:color="auto" w:fill="1C1C1E"/>
            <w:tcMar>
              <w:top w:w="100" w:type="dxa"/>
              <w:left w:w="120" w:type="dxa"/>
              <w:bottom w:w="100" w:type="dxa"/>
              <w:right w:w="120" w:type="dxa"/>
            </w:tcMar>
            <w:vAlign w:val="center"/>
            <w:hideMark/>
          </w:tcPr>
          <w:p w14:paraId="789B3334" w14:textId="77777777" w:rsidR="00851059" w:rsidRDefault="00851059" w:rsidP="00A4621E">
            <w:pPr>
              <w:jc w:val="both"/>
            </w:pPr>
            <w:r>
              <w:rPr>
                <w:rFonts w:ascii="Amasis MT Pro" w:hAnsi="Amasis MT Pro"/>
                <w:b/>
                <w:bCs/>
                <w:color w:val="FFFFFF"/>
              </w:rPr>
              <w:t>Timeline</w:t>
            </w:r>
          </w:p>
        </w:tc>
        <w:tc>
          <w:tcPr>
            <w:tcW w:w="4026" w:type="dxa"/>
            <w:tcBorders>
              <w:top w:val="single" w:sz="8" w:space="0" w:color="CCCCCC"/>
              <w:left w:val="nil"/>
              <w:bottom w:val="single" w:sz="8" w:space="0" w:color="CCCCCC"/>
              <w:right w:val="single" w:sz="8" w:space="0" w:color="CCCCCC"/>
            </w:tcBorders>
            <w:shd w:val="clear" w:color="auto" w:fill="1C1C1E"/>
            <w:tcMar>
              <w:top w:w="100" w:type="dxa"/>
              <w:left w:w="120" w:type="dxa"/>
              <w:bottom w:w="100" w:type="dxa"/>
              <w:right w:w="120" w:type="dxa"/>
            </w:tcMar>
            <w:vAlign w:val="center"/>
            <w:hideMark/>
          </w:tcPr>
          <w:p w14:paraId="750845BA" w14:textId="77777777" w:rsidR="00851059" w:rsidRDefault="00851059" w:rsidP="00A4621E">
            <w:pPr>
              <w:jc w:val="both"/>
            </w:pPr>
            <w:r>
              <w:rPr>
                <w:rFonts w:ascii="Amasis MT Pro" w:hAnsi="Amasis MT Pro"/>
                <w:b/>
                <w:bCs/>
                <w:color w:val="FFFFFF"/>
              </w:rPr>
              <w:t>Key Milestones</w:t>
            </w:r>
          </w:p>
        </w:tc>
        <w:tc>
          <w:tcPr>
            <w:tcW w:w="2200" w:type="dxa"/>
            <w:tcBorders>
              <w:top w:val="single" w:sz="8" w:space="0" w:color="CCCCCC"/>
              <w:left w:val="nil"/>
              <w:bottom w:val="single" w:sz="8" w:space="0" w:color="CCCCCC"/>
              <w:right w:val="single" w:sz="8" w:space="0" w:color="CCCCCC"/>
            </w:tcBorders>
            <w:shd w:val="clear" w:color="auto" w:fill="1C1C1E"/>
            <w:tcMar>
              <w:top w:w="100" w:type="dxa"/>
              <w:left w:w="120" w:type="dxa"/>
              <w:bottom w:w="100" w:type="dxa"/>
              <w:right w:w="120" w:type="dxa"/>
            </w:tcMar>
            <w:vAlign w:val="center"/>
            <w:hideMark/>
          </w:tcPr>
          <w:p w14:paraId="5967E9E1" w14:textId="77777777" w:rsidR="00851059" w:rsidRDefault="00851059" w:rsidP="00A4621E">
            <w:pPr>
              <w:jc w:val="both"/>
            </w:pPr>
            <w:r>
              <w:rPr>
                <w:rFonts w:ascii="Amasis MT Pro" w:hAnsi="Amasis MT Pro"/>
                <w:b/>
                <w:bCs/>
                <w:color w:val="FFFFFF"/>
              </w:rPr>
              <w:t>Budget (EUR)</w:t>
            </w:r>
          </w:p>
        </w:tc>
      </w:tr>
      <w:tr w:rsidR="00851059" w14:paraId="04DA9CB7" w14:textId="77777777">
        <w:trPr>
          <w:tblCellSpacing w:w="15" w:type="dxa"/>
        </w:trPr>
        <w:tc>
          <w:tcPr>
            <w:tcW w:w="1600" w:type="dxa"/>
            <w:tcBorders>
              <w:top w:val="nil"/>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25A19844" w14:textId="77777777" w:rsidR="00851059" w:rsidRDefault="00851059" w:rsidP="00A4621E">
            <w:pPr>
              <w:jc w:val="both"/>
            </w:pPr>
            <w:r>
              <w:rPr>
                <w:rFonts w:ascii="Amasis MT Pro" w:hAnsi="Amasis MT Pro"/>
                <w:color w:val="1C1C1E"/>
              </w:rPr>
              <w:t>Discovery and Design</w:t>
            </w:r>
          </w:p>
        </w:tc>
        <w:tc>
          <w:tcPr>
            <w:tcW w:w="120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435B36B5" w14:textId="77777777" w:rsidR="00851059" w:rsidRDefault="00851059" w:rsidP="00A4621E">
            <w:pPr>
              <w:jc w:val="both"/>
            </w:pPr>
            <w:r>
              <w:rPr>
                <w:rFonts w:ascii="Amasis MT Pro" w:hAnsi="Amasis MT Pro"/>
                <w:color w:val="1C1C1E"/>
              </w:rPr>
              <w:t>Months 1 to 3</w:t>
            </w:r>
          </w:p>
        </w:tc>
        <w:tc>
          <w:tcPr>
            <w:tcW w:w="4026"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1D4E8B9B" w14:textId="506CCC3D" w:rsidR="00851059" w:rsidRDefault="00851059" w:rsidP="00A4621E">
            <w:pPr>
              <w:jc w:val="both"/>
            </w:pPr>
            <w:r>
              <w:rPr>
                <w:rFonts w:ascii="Amasis MT Pro" w:hAnsi="Amasis MT Pro"/>
                <w:color w:val="1C1C1E"/>
              </w:rPr>
              <w:t xml:space="preserve">User research, UX design, architecture, academic partnership agreements, IRB-compliant seed twin </w:t>
            </w:r>
            <w:r w:rsidR="00E84667">
              <w:rPr>
                <w:rFonts w:ascii="Amasis MT Pro" w:hAnsi="Amasis MT Pro"/>
                <w:color w:val="1C1C1E"/>
              </w:rPr>
              <w:t>datasets</w:t>
            </w:r>
            <w:r>
              <w:rPr>
                <w:rFonts w:ascii="Amasis MT Pro" w:hAnsi="Amasis MT Pro"/>
                <w:color w:val="1C1C1E"/>
              </w:rPr>
              <w:t xml:space="preserve"> from SozioMimic and MindsetTwin projects</w:t>
            </w:r>
          </w:p>
        </w:tc>
        <w:tc>
          <w:tcPr>
            <w:tcW w:w="220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694E8895" w14:textId="77777777" w:rsidR="00851059" w:rsidRDefault="00851059" w:rsidP="00A4621E">
            <w:pPr>
              <w:jc w:val="both"/>
            </w:pPr>
            <w:r>
              <w:rPr>
                <w:rFonts w:ascii="Amasis MT Pro" w:hAnsi="Amasis MT Pro"/>
                <w:color w:val="1C1C1E"/>
              </w:rPr>
              <w:t>EUR XX to EUR XX</w:t>
            </w:r>
          </w:p>
        </w:tc>
      </w:tr>
      <w:tr w:rsidR="00851059" w14:paraId="3C5E712E" w14:textId="77777777">
        <w:trPr>
          <w:tblCellSpacing w:w="15" w:type="dxa"/>
        </w:trPr>
        <w:tc>
          <w:tcPr>
            <w:tcW w:w="1600" w:type="dxa"/>
            <w:tcBorders>
              <w:top w:val="nil"/>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51BAD120" w14:textId="77777777" w:rsidR="00851059" w:rsidRDefault="00851059" w:rsidP="00A4621E">
            <w:pPr>
              <w:jc w:val="both"/>
            </w:pPr>
            <w:r>
              <w:rPr>
                <w:rFonts w:ascii="Amasis MT Pro" w:hAnsi="Amasis MT Pro"/>
                <w:color w:val="1C1C1E"/>
              </w:rPr>
              <w:lastRenderedPageBreak/>
              <w:t>MVP Development</w:t>
            </w:r>
          </w:p>
        </w:tc>
        <w:tc>
          <w:tcPr>
            <w:tcW w:w="120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06F59EC2" w14:textId="77777777" w:rsidR="00851059" w:rsidRDefault="00851059" w:rsidP="00A4621E">
            <w:pPr>
              <w:jc w:val="both"/>
            </w:pPr>
            <w:r>
              <w:rPr>
                <w:rFonts w:ascii="Amasis MT Pro" w:hAnsi="Amasis MT Pro"/>
                <w:color w:val="1C1C1E"/>
              </w:rPr>
              <w:t>Months 4 to 8</w:t>
            </w:r>
          </w:p>
        </w:tc>
        <w:tc>
          <w:tcPr>
            <w:tcW w:w="4026"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17D81BB2" w14:textId="77777777" w:rsidR="00851059" w:rsidRDefault="00851059" w:rsidP="00A4621E">
            <w:pPr>
              <w:jc w:val="both"/>
            </w:pPr>
            <w:r>
              <w:rPr>
                <w:rFonts w:ascii="Amasis MT Pro" w:hAnsi="Amasis MT Pro"/>
                <w:color w:val="1C1C1E"/>
              </w:rPr>
              <w:t>Core diary app and backend, basic twin generator, RAG pipeline, Privacy Heat Map, first institutional user cohort of 200 to 500 users</w:t>
            </w:r>
          </w:p>
        </w:tc>
        <w:tc>
          <w:tcPr>
            <w:tcW w:w="220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58AB3D60" w14:textId="77777777" w:rsidR="00851059" w:rsidRDefault="00851059" w:rsidP="00A4621E">
            <w:pPr>
              <w:jc w:val="both"/>
            </w:pPr>
            <w:r>
              <w:rPr>
                <w:rFonts w:ascii="Amasis MT Pro" w:hAnsi="Amasis MT Pro"/>
                <w:color w:val="1C1C1E"/>
              </w:rPr>
              <w:t>EUR XX to EUR XX</w:t>
            </w:r>
          </w:p>
        </w:tc>
      </w:tr>
      <w:tr w:rsidR="00851059" w14:paraId="71F2801B" w14:textId="77777777">
        <w:trPr>
          <w:tblCellSpacing w:w="15" w:type="dxa"/>
        </w:trPr>
        <w:tc>
          <w:tcPr>
            <w:tcW w:w="1600" w:type="dxa"/>
            <w:tcBorders>
              <w:top w:val="nil"/>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0E28BB5E" w14:textId="77777777" w:rsidR="00851059" w:rsidRDefault="00851059" w:rsidP="00A4621E">
            <w:pPr>
              <w:jc w:val="both"/>
            </w:pPr>
            <w:r>
              <w:rPr>
                <w:rFonts w:ascii="Amasis MT Pro" w:hAnsi="Amasis MT Pro"/>
                <w:color w:val="1C1C1E"/>
              </w:rPr>
              <w:t>Pilot and Testing</w:t>
            </w:r>
          </w:p>
        </w:tc>
        <w:tc>
          <w:tcPr>
            <w:tcW w:w="120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4BA8CDD4" w14:textId="77777777" w:rsidR="00851059" w:rsidRDefault="00851059" w:rsidP="00A4621E">
            <w:pPr>
              <w:jc w:val="both"/>
            </w:pPr>
            <w:r>
              <w:rPr>
                <w:rFonts w:ascii="Amasis MT Pro" w:hAnsi="Amasis MT Pro"/>
                <w:color w:val="1C1C1E"/>
              </w:rPr>
              <w:t>Months 9 to 12</w:t>
            </w:r>
          </w:p>
        </w:tc>
        <w:tc>
          <w:tcPr>
            <w:tcW w:w="4026"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25ED1F33" w14:textId="77777777" w:rsidR="00851059" w:rsidRDefault="00851059" w:rsidP="00A4621E">
            <w:pPr>
              <w:jc w:val="both"/>
            </w:pPr>
            <w:r>
              <w:rPr>
                <w:rFonts w:ascii="Amasis MT Pro" w:hAnsi="Amasis MT Pro"/>
                <w:color w:val="1C1C1E"/>
              </w:rPr>
              <w:t>5 to 10 paid enterprise pilots, concierge matching, accuracy validation, first case studies published, minimum 3 paying business clients</w:t>
            </w:r>
          </w:p>
        </w:tc>
        <w:tc>
          <w:tcPr>
            <w:tcW w:w="220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14D2B18F" w14:textId="77777777" w:rsidR="00851059" w:rsidRDefault="00851059" w:rsidP="00A4621E">
            <w:pPr>
              <w:jc w:val="both"/>
            </w:pPr>
            <w:r>
              <w:rPr>
                <w:rFonts w:ascii="Amasis MT Pro" w:hAnsi="Amasis MT Pro"/>
                <w:color w:val="1C1C1E"/>
              </w:rPr>
              <w:t>EUR XX to EUR XX</w:t>
            </w:r>
          </w:p>
        </w:tc>
      </w:tr>
      <w:tr w:rsidR="00851059" w14:paraId="5221D400" w14:textId="77777777">
        <w:trPr>
          <w:tblCellSpacing w:w="15" w:type="dxa"/>
        </w:trPr>
        <w:tc>
          <w:tcPr>
            <w:tcW w:w="1600" w:type="dxa"/>
            <w:tcBorders>
              <w:top w:val="nil"/>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7F297EBF" w14:textId="77777777" w:rsidR="00851059" w:rsidRDefault="00851059" w:rsidP="00A4621E">
            <w:pPr>
              <w:jc w:val="both"/>
            </w:pPr>
            <w:r>
              <w:rPr>
                <w:rFonts w:ascii="Amasis MT Pro" w:hAnsi="Amasis MT Pro"/>
                <w:color w:val="1C1C1E"/>
              </w:rPr>
              <w:t>Public Beta Launch</w:t>
            </w:r>
          </w:p>
        </w:tc>
        <w:tc>
          <w:tcPr>
            <w:tcW w:w="120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75F057CD" w14:textId="77777777" w:rsidR="00851059" w:rsidRDefault="00851059" w:rsidP="00A4621E">
            <w:pPr>
              <w:jc w:val="both"/>
            </w:pPr>
            <w:r>
              <w:rPr>
                <w:rFonts w:ascii="Amasis MT Pro" w:hAnsi="Amasis MT Pro"/>
                <w:color w:val="1C1C1E"/>
              </w:rPr>
              <w:t>Months 13 to 18</w:t>
            </w:r>
          </w:p>
        </w:tc>
        <w:tc>
          <w:tcPr>
            <w:tcW w:w="4026"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20653B67" w14:textId="4357723E" w:rsidR="00851059" w:rsidRDefault="00851059" w:rsidP="00A4621E">
            <w:pPr>
              <w:jc w:val="both"/>
            </w:pPr>
            <w:r>
              <w:rPr>
                <w:rFonts w:ascii="Amasis MT Pro" w:hAnsi="Amasis MT Pro"/>
                <w:color w:val="1C1C1E"/>
              </w:rPr>
              <w:t xml:space="preserve">Open user registration, </w:t>
            </w:r>
            <w:r w:rsidR="008C2BC6">
              <w:rPr>
                <w:rFonts w:ascii="Amasis MT Pro" w:hAnsi="Amasis MT Pro"/>
                <w:color w:val="1C1C1E"/>
              </w:rPr>
              <w:t>Twin Rewards</w:t>
            </w:r>
            <w:r>
              <w:rPr>
                <w:rFonts w:ascii="Amasis MT Pro" w:hAnsi="Amasis MT Pro"/>
                <w:color w:val="1C1C1E"/>
              </w:rPr>
              <w:t xml:space="preserve"> live, Growth subscription launched, 1,000 active twins, 20+ paying clients</w:t>
            </w:r>
          </w:p>
        </w:tc>
        <w:tc>
          <w:tcPr>
            <w:tcW w:w="220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66A48F7E" w14:textId="77777777" w:rsidR="00851059" w:rsidRDefault="00851059" w:rsidP="00A4621E">
            <w:pPr>
              <w:jc w:val="both"/>
            </w:pPr>
            <w:r>
              <w:rPr>
                <w:rFonts w:ascii="Amasis MT Pro" w:hAnsi="Amasis MT Pro"/>
                <w:color w:val="1C1C1E"/>
              </w:rPr>
              <w:t>EUR XX to EUR XX</w:t>
            </w:r>
          </w:p>
        </w:tc>
      </w:tr>
      <w:tr w:rsidR="00851059" w14:paraId="4DD3329C" w14:textId="77777777">
        <w:trPr>
          <w:tblCellSpacing w:w="15" w:type="dxa"/>
        </w:trPr>
        <w:tc>
          <w:tcPr>
            <w:tcW w:w="1600" w:type="dxa"/>
            <w:tcBorders>
              <w:top w:val="nil"/>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76CEEE2C" w14:textId="77777777" w:rsidR="00851059" w:rsidRDefault="00851059" w:rsidP="00A4621E">
            <w:pPr>
              <w:jc w:val="both"/>
            </w:pPr>
            <w:r>
              <w:rPr>
                <w:rFonts w:ascii="Amasis MT Pro" w:hAnsi="Amasis MT Pro"/>
                <w:color w:val="1C1C1E"/>
              </w:rPr>
              <w:t>Scale and Growth</w:t>
            </w:r>
          </w:p>
        </w:tc>
        <w:tc>
          <w:tcPr>
            <w:tcW w:w="120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7B93F695" w14:textId="77777777" w:rsidR="00851059" w:rsidRDefault="00851059" w:rsidP="00A4621E">
            <w:pPr>
              <w:jc w:val="both"/>
            </w:pPr>
            <w:r>
              <w:rPr>
                <w:rFonts w:ascii="Amasis MT Pro" w:hAnsi="Amasis MT Pro"/>
                <w:color w:val="1C1C1E"/>
              </w:rPr>
              <w:t>Months 19 to 30</w:t>
            </w:r>
          </w:p>
        </w:tc>
        <w:tc>
          <w:tcPr>
            <w:tcW w:w="4026"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7667A1D8" w14:textId="77777777" w:rsidR="00851059" w:rsidRDefault="00851059" w:rsidP="00A4621E">
            <w:pPr>
              <w:jc w:val="both"/>
            </w:pPr>
            <w:r>
              <w:rPr>
                <w:rFonts w:ascii="Amasis MT Pro" w:hAnsi="Amasis MT Pro"/>
                <w:color w:val="1C1C1E"/>
              </w:rPr>
              <w:t>Local Pulse Maps, TwinMatch, Enterprise API, expansion to Netherlands and France, 10,000+ active twins, EUR 18M+ ARR run rate</w:t>
            </w:r>
          </w:p>
        </w:tc>
        <w:tc>
          <w:tcPr>
            <w:tcW w:w="220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00B8D515" w14:textId="77777777" w:rsidR="00851059" w:rsidRDefault="00851059" w:rsidP="00A4621E">
            <w:pPr>
              <w:jc w:val="both"/>
            </w:pPr>
            <w:r>
              <w:rPr>
                <w:rFonts w:ascii="Amasis MT Pro" w:hAnsi="Amasis MT Pro"/>
                <w:color w:val="1C1C1E"/>
              </w:rPr>
              <w:t>EUR XX to EUR XX</w:t>
            </w:r>
          </w:p>
        </w:tc>
      </w:tr>
      <w:tr w:rsidR="00851059" w14:paraId="12986062" w14:textId="77777777">
        <w:trPr>
          <w:tblCellSpacing w:w="15" w:type="dxa"/>
        </w:trPr>
        <w:tc>
          <w:tcPr>
            <w:tcW w:w="1600" w:type="dxa"/>
            <w:tcBorders>
              <w:top w:val="nil"/>
              <w:left w:val="single" w:sz="8" w:space="0" w:color="CCCCCC"/>
              <w:bottom w:val="single" w:sz="8" w:space="0" w:color="CCCCCC"/>
              <w:right w:val="single" w:sz="8" w:space="0" w:color="CCCCCC"/>
            </w:tcBorders>
            <w:shd w:val="clear" w:color="auto" w:fill="F2F2F2"/>
            <w:tcMar>
              <w:top w:w="80" w:type="dxa"/>
              <w:left w:w="120" w:type="dxa"/>
              <w:bottom w:w="80" w:type="dxa"/>
              <w:right w:w="120" w:type="dxa"/>
            </w:tcMar>
            <w:vAlign w:val="center"/>
            <w:hideMark/>
          </w:tcPr>
          <w:p w14:paraId="3A497C6A" w14:textId="77777777" w:rsidR="00851059" w:rsidRDefault="00851059" w:rsidP="00A4621E">
            <w:pPr>
              <w:jc w:val="both"/>
            </w:pPr>
            <w:r>
              <w:rPr>
                <w:rFonts w:ascii="Amasis MT Pro" w:hAnsi="Amasis MT Pro"/>
                <w:b/>
                <w:bCs/>
                <w:color w:val="1C1C1E"/>
              </w:rPr>
              <w:t>TOTAL (30 months)</w:t>
            </w:r>
          </w:p>
        </w:tc>
        <w:tc>
          <w:tcPr>
            <w:tcW w:w="1200" w:type="dxa"/>
            <w:tcBorders>
              <w:top w:val="nil"/>
              <w:left w:val="nil"/>
              <w:bottom w:val="single" w:sz="8" w:space="0" w:color="CCCCCC"/>
              <w:right w:val="single" w:sz="8" w:space="0" w:color="CCCCCC"/>
            </w:tcBorders>
            <w:shd w:val="clear" w:color="auto" w:fill="F2F2F2"/>
            <w:tcMar>
              <w:top w:w="80" w:type="dxa"/>
              <w:left w:w="120" w:type="dxa"/>
              <w:bottom w:w="80" w:type="dxa"/>
              <w:right w:w="120" w:type="dxa"/>
            </w:tcMar>
            <w:vAlign w:val="center"/>
            <w:hideMark/>
          </w:tcPr>
          <w:p w14:paraId="3036C979" w14:textId="77777777" w:rsidR="00851059" w:rsidRDefault="00851059" w:rsidP="00A4621E">
            <w:pPr>
              <w:jc w:val="both"/>
            </w:pPr>
          </w:p>
        </w:tc>
        <w:tc>
          <w:tcPr>
            <w:tcW w:w="4026" w:type="dxa"/>
            <w:tcBorders>
              <w:top w:val="nil"/>
              <w:left w:val="nil"/>
              <w:bottom w:val="single" w:sz="8" w:space="0" w:color="CCCCCC"/>
              <w:right w:val="single" w:sz="8" w:space="0" w:color="CCCCCC"/>
            </w:tcBorders>
            <w:shd w:val="clear" w:color="auto" w:fill="F2F2F2"/>
            <w:tcMar>
              <w:top w:w="80" w:type="dxa"/>
              <w:left w:w="120" w:type="dxa"/>
              <w:bottom w:w="80" w:type="dxa"/>
              <w:right w:w="120" w:type="dxa"/>
            </w:tcMar>
            <w:vAlign w:val="center"/>
            <w:hideMark/>
          </w:tcPr>
          <w:p w14:paraId="40DBEE10" w14:textId="77777777" w:rsidR="00851059" w:rsidRDefault="00851059" w:rsidP="00A4621E">
            <w:pPr>
              <w:jc w:val="both"/>
            </w:pPr>
          </w:p>
        </w:tc>
        <w:tc>
          <w:tcPr>
            <w:tcW w:w="2200" w:type="dxa"/>
            <w:tcBorders>
              <w:top w:val="nil"/>
              <w:left w:val="nil"/>
              <w:bottom w:val="single" w:sz="8" w:space="0" w:color="CCCCCC"/>
              <w:right w:val="single" w:sz="8" w:space="0" w:color="CCCCCC"/>
            </w:tcBorders>
            <w:shd w:val="clear" w:color="auto" w:fill="F2F2F2"/>
            <w:tcMar>
              <w:top w:w="80" w:type="dxa"/>
              <w:left w:w="120" w:type="dxa"/>
              <w:bottom w:w="80" w:type="dxa"/>
              <w:right w:w="120" w:type="dxa"/>
            </w:tcMar>
            <w:vAlign w:val="center"/>
            <w:hideMark/>
          </w:tcPr>
          <w:p w14:paraId="5048C41D" w14:textId="77777777" w:rsidR="00851059" w:rsidRDefault="00851059" w:rsidP="00A4621E">
            <w:pPr>
              <w:jc w:val="both"/>
            </w:pPr>
            <w:r>
              <w:rPr>
                <w:rFonts w:ascii="Amasis MT Pro" w:hAnsi="Amasis MT Pro"/>
                <w:b/>
                <w:bCs/>
                <w:color w:val="1C1C1E"/>
              </w:rPr>
              <w:t>EUR XX to EUR XX</w:t>
            </w:r>
          </w:p>
        </w:tc>
      </w:tr>
    </w:tbl>
    <w:p w14:paraId="01C719AC" w14:textId="77777777" w:rsidR="00620B9E" w:rsidRPr="008440CF" w:rsidRDefault="00620B9E" w:rsidP="00A4621E">
      <w:pPr>
        <w:spacing w:after="80"/>
        <w:jc w:val="both"/>
        <w:rPr>
          <w:rFonts w:ascii="Amasis MT Pro" w:hAnsi="Amasis MT Pro"/>
        </w:rPr>
      </w:pPr>
    </w:p>
    <w:p w14:paraId="4E309D0C" w14:textId="77777777" w:rsidR="00620B9E" w:rsidRPr="008440CF" w:rsidRDefault="00620B9E" w:rsidP="00A4621E">
      <w:pPr>
        <w:pStyle w:val="Heading2"/>
        <w:jc w:val="both"/>
        <w:rPr>
          <w:rFonts w:ascii="Amasis MT Pro" w:hAnsi="Amasis MT Pro"/>
          <w:sz w:val="20"/>
          <w:szCs w:val="20"/>
        </w:rPr>
      </w:pPr>
      <w:r w:rsidRPr="008440CF">
        <w:rPr>
          <w:rFonts w:ascii="Amasis MT Pro" w:eastAsia="Arial" w:hAnsi="Amasis MT Pro" w:cs="Arial"/>
          <w:b/>
          <w:bCs/>
          <w:color w:val="1C1C1E"/>
          <w:sz w:val="20"/>
          <w:szCs w:val="20"/>
        </w:rPr>
        <w:t>12.2 Budget Allocation</w:t>
      </w:r>
    </w:p>
    <w:tbl>
      <w:tblPr>
        <w:tblW w:w="9026" w:type="dxa"/>
        <w:tblCellSpacing w:w="15" w:type="dxa"/>
        <w:tblCellMar>
          <w:top w:w="15" w:type="dxa"/>
          <w:left w:w="15" w:type="dxa"/>
          <w:bottom w:w="15" w:type="dxa"/>
          <w:right w:w="15" w:type="dxa"/>
        </w:tblCellMar>
        <w:tblLook w:val="04A0" w:firstRow="1" w:lastRow="0" w:firstColumn="1" w:lastColumn="0" w:noHBand="0" w:noVBand="1"/>
      </w:tblPr>
      <w:tblGrid>
        <w:gridCol w:w="2801"/>
        <w:gridCol w:w="1442"/>
        <w:gridCol w:w="1417"/>
        <w:gridCol w:w="3366"/>
      </w:tblGrid>
      <w:tr w:rsidR="00E806B4" w:rsidRPr="007A56D6" w14:paraId="4B3AB456" w14:textId="77777777" w:rsidTr="007A56D6">
        <w:trPr>
          <w:tblCellSpacing w:w="15" w:type="dxa"/>
        </w:trPr>
        <w:tc>
          <w:tcPr>
            <w:tcW w:w="2756" w:type="dxa"/>
            <w:tcBorders>
              <w:top w:val="single" w:sz="8" w:space="0" w:color="CCCCCC"/>
              <w:left w:val="single" w:sz="8" w:space="0" w:color="CCCCCC"/>
              <w:bottom w:val="single" w:sz="8" w:space="0" w:color="CCCCCC"/>
              <w:right w:val="single" w:sz="8" w:space="0" w:color="CCCCCC"/>
            </w:tcBorders>
            <w:shd w:val="clear" w:color="auto" w:fill="1C1C1E"/>
            <w:tcMar>
              <w:top w:w="100" w:type="dxa"/>
              <w:left w:w="120" w:type="dxa"/>
              <w:bottom w:w="100" w:type="dxa"/>
              <w:right w:w="120" w:type="dxa"/>
            </w:tcMar>
            <w:vAlign w:val="center"/>
            <w:hideMark/>
          </w:tcPr>
          <w:p w14:paraId="5A5878D9" w14:textId="77777777" w:rsidR="00E806B4" w:rsidRPr="007A56D6" w:rsidRDefault="00E806B4" w:rsidP="00A4621E">
            <w:pPr>
              <w:jc w:val="both"/>
              <w:rPr>
                <w:color w:val="FFFFFF" w:themeColor="background1"/>
                <w:kern w:val="2"/>
                <w:sz w:val="18"/>
                <w:szCs w:val="18"/>
                <w14:ligatures w14:val="standardContextual"/>
              </w:rPr>
            </w:pPr>
            <w:r w:rsidRPr="007A56D6">
              <w:rPr>
                <w:rFonts w:ascii="Amasis MT Pro" w:hAnsi="Amasis MT Pro"/>
                <w:b/>
                <w:bCs/>
                <w:color w:val="FFFFFF" w:themeColor="background1"/>
                <w:sz w:val="18"/>
                <w:szCs w:val="18"/>
              </w:rPr>
              <w:t>Category</w:t>
            </w:r>
          </w:p>
        </w:tc>
        <w:tc>
          <w:tcPr>
            <w:tcW w:w="1412" w:type="dxa"/>
            <w:tcBorders>
              <w:top w:val="single" w:sz="8" w:space="0" w:color="CCCCCC"/>
              <w:left w:val="nil"/>
              <w:bottom w:val="single" w:sz="8" w:space="0" w:color="CCCCCC"/>
              <w:right w:val="single" w:sz="8" w:space="0" w:color="CCCCCC"/>
            </w:tcBorders>
            <w:shd w:val="clear" w:color="auto" w:fill="1C1C1E"/>
            <w:tcMar>
              <w:top w:w="100" w:type="dxa"/>
              <w:left w:w="120" w:type="dxa"/>
              <w:bottom w:w="100" w:type="dxa"/>
              <w:right w:w="120" w:type="dxa"/>
            </w:tcMar>
            <w:vAlign w:val="center"/>
            <w:hideMark/>
          </w:tcPr>
          <w:p w14:paraId="0F21110D" w14:textId="77777777" w:rsidR="00E806B4" w:rsidRPr="007A56D6" w:rsidRDefault="00E806B4" w:rsidP="00A4621E">
            <w:pPr>
              <w:jc w:val="both"/>
              <w:rPr>
                <w:color w:val="FFFFFF" w:themeColor="background1"/>
                <w:sz w:val="18"/>
                <w:szCs w:val="18"/>
              </w:rPr>
            </w:pPr>
            <w:r w:rsidRPr="007A56D6">
              <w:rPr>
                <w:rFonts w:ascii="Amasis MT Pro" w:hAnsi="Amasis MT Pro"/>
                <w:b/>
                <w:bCs/>
                <w:color w:val="FFFFFF" w:themeColor="background1"/>
                <w:sz w:val="18"/>
                <w:szCs w:val="18"/>
              </w:rPr>
              <w:t>Year 1 (EUR)</w:t>
            </w:r>
          </w:p>
        </w:tc>
        <w:tc>
          <w:tcPr>
            <w:tcW w:w="1387" w:type="dxa"/>
            <w:tcBorders>
              <w:top w:val="single" w:sz="8" w:space="0" w:color="CCCCCC"/>
              <w:left w:val="nil"/>
              <w:bottom w:val="single" w:sz="8" w:space="0" w:color="CCCCCC"/>
              <w:right w:val="single" w:sz="8" w:space="0" w:color="CCCCCC"/>
            </w:tcBorders>
            <w:shd w:val="clear" w:color="auto" w:fill="1C1C1E"/>
            <w:tcMar>
              <w:top w:w="100" w:type="dxa"/>
              <w:left w:w="120" w:type="dxa"/>
              <w:bottom w:w="100" w:type="dxa"/>
              <w:right w:w="120" w:type="dxa"/>
            </w:tcMar>
            <w:vAlign w:val="center"/>
            <w:hideMark/>
          </w:tcPr>
          <w:p w14:paraId="0297C8A3" w14:textId="77777777" w:rsidR="00E806B4" w:rsidRPr="007A56D6" w:rsidRDefault="00E806B4" w:rsidP="00A4621E">
            <w:pPr>
              <w:jc w:val="both"/>
              <w:rPr>
                <w:color w:val="FFFFFF" w:themeColor="background1"/>
                <w:sz w:val="18"/>
                <w:szCs w:val="18"/>
              </w:rPr>
            </w:pPr>
            <w:r w:rsidRPr="007A56D6">
              <w:rPr>
                <w:rFonts w:ascii="Amasis MT Pro" w:hAnsi="Amasis MT Pro"/>
                <w:b/>
                <w:bCs/>
                <w:color w:val="FFFFFF" w:themeColor="background1"/>
                <w:sz w:val="18"/>
                <w:szCs w:val="18"/>
              </w:rPr>
              <w:t>Year 2 (EUR)</w:t>
            </w:r>
          </w:p>
        </w:tc>
        <w:tc>
          <w:tcPr>
            <w:tcW w:w="3321" w:type="dxa"/>
            <w:tcBorders>
              <w:top w:val="single" w:sz="8" w:space="0" w:color="CCCCCC"/>
              <w:left w:val="nil"/>
              <w:bottom w:val="single" w:sz="8" w:space="0" w:color="CCCCCC"/>
              <w:right w:val="single" w:sz="8" w:space="0" w:color="CCCCCC"/>
            </w:tcBorders>
            <w:shd w:val="clear" w:color="auto" w:fill="1C1C1E"/>
            <w:tcMar>
              <w:top w:w="100" w:type="dxa"/>
              <w:left w:w="120" w:type="dxa"/>
              <w:bottom w:w="100" w:type="dxa"/>
              <w:right w:w="120" w:type="dxa"/>
            </w:tcMar>
            <w:vAlign w:val="center"/>
            <w:hideMark/>
          </w:tcPr>
          <w:p w14:paraId="13F8CF70" w14:textId="77777777" w:rsidR="00E806B4" w:rsidRPr="007A56D6" w:rsidRDefault="00E806B4" w:rsidP="00A4621E">
            <w:pPr>
              <w:jc w:val="both"/>
              <w:rPr>
                <w:color w:val="FFFFFF" w:themeColor="background1"/>
                <w:sz w:val="18"/>
                <w:szCs w:val="18"/>
              </w:rPr>
            </w:pPr>
            <w:r w:rsidRPr="007A56D6">
              <w:rPr>
                <w:rFonts w:ascii="Amasis MT Pro" w:hAnsi="Amasis MT Pro"/>
                <w:b/>
                <w:bCs/>
                <w:color w:val="FFFFFF" w:themeColor="background1"/>
                <w:sz w:val="18"/>
                <w:szCs w:val="18"/>
              </w:rPr>
              <w:t>Notes</w:t>
            </w:r>
          </w:p>
        </w:tc>
      </w:tr>
      <w:tr w:rsidR="00E806B4" w:rsidRPr="007A56D6" w14:paraId="4A5145B7" w14:textId="77777777" w:rsidTr="007A56D6">
        <w:trPr>
          <w:tblCellSpacing w:w="15" w:type="dxa"/>
        </w:trPr>
        <w:tc>
          <w:tcPr>
            <w:tcW w:w="2756" w:type="dxa"/>
            <w:tcBorders>
              <w:top w:val="nil"/>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26251E03" w14:textId="77777777" w:rsidR="00E806B4" w:rsidRPr="007A56D6" w:rsidRDefault="00E806B4" w:rsidP="00A4621E">
            <w:pPr>
              <w:jc w:val="both"/>
              <w:rPr>
                <w:sz w:val="18"/>
                <w:szCs w:val="18"/>
              </w:rPr>
            </w:pPr>
            <w:r w:rsidRPr="007A56D6">
              <w:rPr>
                <w:rFonts w:ascii="Amasis MT Pro" w:hAnsi="Amasis MT Pro"/>
                <w:color w:val="1C1C1E"/>
                <w:sz w:val="18"/>
                <w:szCs w:val="18"/>
              </w:rPr>
              <w:t>Engineering (salaries and cloud infrastructure)</w:t>
            </w:r>
          </w:p>
        </w:tc>
        <w:tc>
          <w:tcPr>
            <w:tcW w:w="1412"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78FD199A" w14:textId="77777777" w:rsidR="00E806B4" w:rsidRPr="007A56D6" w:rsidRDefault="00E806B4" w:rsidP="00A4621E">
            <w:pPr>
              <w:jc w:val="both"/>
              <w:rPr>
                <w:sz w:val="18"/>
                <w:szCs w:val="18"/>
              </w:rPr>
            </w:pPr>
            <w:r w:rsidRPr="007A56D6">
              <w:rPr>
                <w:rFonts w:ascii="Amasis MT Pro" w:hAnsi="Amasis MT Pro"/>
                <w:color w:val="1C1C1E"/>
                <w:sz w:val="18"/>
                <w:szCs w:val="18"/>
              </w:rPr>
              <w:t>XX to XX</w:t>
            </w:r>
          </w:p>
        </w:tc>
        <w:tc>
          <w:tcPr>
            <w:tcW w:w="1387"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20CC11D9" w14:textId="77777777" w:rsidR="00E806B4" w:rsidRPr="007A56D6" w:rsidRDefault="00E806B4" w:rsidP="00A4621E">
            <w:pPr>
              <w:jc w:val="both"/>
              <w:rPr>
                <w:sz w:val="18"/>
                <w:szCs w:val="18"/>
              </w:rPr>
            </w:pPr>
            <w:r w:rsidRPr="007A56D6">
              <w:rPr>
                <w:rFonts w:ascii="Amasis MT Pro" w:hAnsi="Amasis MT Pro"/>
                <w:color w:val="1C1C1E"/>
                <w:sz w:val="18"/>
                <w:szCs w:val="18"/>
              </w:rPr>
              <w:t>XX to XX</w:t>
            </w:r>
          </w:p>
        </w:tc>
        <w:tc>
          <w:tcPr>
            <w:tcW w:w="3321"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4FD570B2" w14:textId="77777777" w:rsidR="00E806B4" w:rsidRPr="007A56D6" w:rsidRDefault="00E806B4" w:rsidP="00A4621E">
            <w:pPr>
              <w:jc w:val="both"/>
              <w:rPr>
                <w:sz w:val="18"/>
                <w:szCs w:val="18"/>
              </w:rPr>
            </w:pPr>
            <w:r w:rsidRPr="007A56D6">
              <w:rPr>
                <w:rFonts w:ascii="Amasis MT Pro" w:hAnsi="Amasis MT Pro"/>
                <w:color w:val="1C1C1E"/>
                <w:sz w:val="18"/>
                <w:szCs w:val="18"/>
              </w:rPr>
              <w:t>2 to 3 engineers in Year 1; 4 to 5 in Year 2</w:t>
            </w:r>
          </w:p>
        </w:tc>
      </w:tr>
      <w:tr w:rsidR="00E806B4" w:rsidRPr="007A56D6" w14:paraId="04573471" w14:textId="77777777" w:rsidTr="007A56D6">
        <w:trPr>
          <w:tblCellSpacing w:w="15" w:type="dxa"/>
        </w:trPr>
        <w:tc>
          <w:tcPr>
            <w:tcW w:w="2756" w:type="dxa"/>
            <w:tcBorders>
              <w:top w:val="nil"/>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2AEC4A49" w14:textId="77777777" w:rsidR="00E806B4" w:rsidRPr="007A56D6" w:rsidRDefault="00E806B4" w:rsidP="00A4621E">
            <w:pPr>
              <w:jc w:val="both"/>
              <w:rPr>
                <w:sz w:val="18"/>
                <w:szCs w:val="18"/>
              </w:rPr>
            </w:pPr>
            <w:r w:rsidRPr="007A56D6">
              <w:rPr>
                <w:rFonts w:ascii="Amasis MT Pro" w:hAnsi="Amasis MT Pro"/>
                <w:color w:val="1C1C1E"/>
                <w:sz w:val="18"/>
                <w:szCs w:val="18"/>
              </w:rPr>
              <w:t>AI and ML Research and Development</w:t>
            </w:r>
          </w:p>
        </w:tc>
        <w:tc>
          <w:tcPr>
            <w:tcW w:w="1412"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45EA8CF7" w14:textId="77777777" w:rsidR="00E806B4" w:rsidRPr="007A56D6" w:rsidRDefault="00E806B4" w:rsidP="00A4621E">
            <w:pPr>
              <w:jc w:val="both"/>
              <w:rPr>
                <w:sz w:val="18"/>
                <w:szCs w:val="18"/>
              </w:rPr>
            </w:pPr>
            <w:r w:rsidRPr="007A56D6">
              <w:rPr>
                <w:rFonts w:ascii="Amasis MT Pro" w:hAnsi="Amasis MT Pro"/>
                <w:color w:val="1C1C1E"/>
                <w:sz w:val="18"/>
                <w:szCs w:val="18"/>
              </w:rPr>
              <w:t>XX to XX</w:t>
            </w:r>
          </w:p>
        </w:tc>
        <w:tc>
          <w:tcPr>
            <w:tcW w:w="1387"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522EAD48" w14:textId="77777777" w:rsidR="00E806B4" w:rsidRPr="007A56D6" w:rsidRDefault="00E806B4" w:rsidP="00A4621E">
            <w:pPr>
              <w:jc w:val="both"/>
              <w:rPr>
                <w:sz w:val="18"/>
                <w:szCs w:val="18"/>
              </w:rPr>
            </w:pPr>
            <w:r w:rsidRPr="007A56D6">
              <w:rPr>
                <w:rFonts w:ascii="Amasis MT Pro" w:hAnsi="Amasis MT Pro"/>
                <w:color w:val="1C1C1E"/>
                <w:sz w:val="18"/>
                <w:szCs w:val="18"/>
              </w:rPr>
              <w:t>XX to XX</w:t>
            </w:r>
          </w:p>
        </w:tc>
        <w:tc>
          <w:tcPr>
            <w:tcW w:w="3321"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63BA7CEB" w14:textId="77777777" w:rsidR="00E806B4" w:rsidRPr="007A56D6" w:rsidRDefault="00E806B4" w:rsidP="00A4621E">
            <w:pPr>
              <w:jc w:val="both"/>
              <w:rPr>
                <w:sz w:val="18"/>
                <w:szCs w:val="18"/>
              </w:rPr>
            </w:pPr>
            <w:r w:rsidRPr="007A56D6">
              <w:rPr>
                <w:rFonts w:ascii="Amasis MT Pro" w:hAnsi="Amasis MT Pro"/>
                <w:color w:val="1C1C1E"/>
                <w:sz w:val="18"/>
                <w:szCs w:val="18"/>
              </w:rPr>
              <w:t>Open-source LLM stack reduces licensing costs; RAG infrastructure build</w:t>
            </w:r>
          </w:p>
        </w:tc>
      </w:tr>
      <w:tr w:rsidR="00E806B4" w:rsidRPr="007A56D6" w14:paraId="18046CBD" w14:textId="77777777" w:rsidTr="007A56D6">
        <w:trPr>
          <w:tblCellSpacing w:w="15" w:type="dxa"/>
        </w:trPr>
        <w:tc>
          <w:tcPr>
            <w:tcW w:w="2756" w:type="dxa"/>
            <w:tcBorders>
              <w:top w:val="nil"/>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20838A33" w14:textId="77777777" w:rsidR="00E806B4" w:rsidRPr="007A56D6" w:rsidRDefault="00E806B4" w:rsidP="00A4621E">
            <w:pPr>
              <w:jc w:val="both"/>
              <w:rPr>
                <w:sz w:val="18"/>
                <w:szCs w:val="18"/>
              </w:rPr>
            </w:pPr>
            <w:r w:rsidRPr="007A56D6">
              <w:rPr>
                <w:rFonts w:ascii="Amasis MT Pro" w:hAnsi="Amasis MT Pro"/>
                <w:color w:val="1C1C1E"/>
                <w:sz w:val="18"/>
                <w:szCs w:val="18"/>
              </w:rPr>
              <w:t>Design and UX</w:t>
            </w:r>
          </w:p>
        </w:tc>
        <w:tc>
          <w:tcPr>
            <w:tcW w:w="1412"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71599460" w14:textId="77777777" w:rsidR="00E806B4" w:rsidRPr="007A56D6" w:rsidRDefault="00E806B4" w:rsidP="00A4621E">
            <w:pPr>
              <w:jc w:val="both"/>
              <w:rPr>
                <w:sz w:val="18"/>
                <w:szCs w:val="18"/>
              </w:rPr>
            </w:pPr>
            <w:r w:rsidRPr="007A56D6">
              <w:rPr>
                <w:rFonts w:ascii="Amasis MT Pro" w:hAnsi="Amasis MT Pro"/>
                <w:color w:val="1C1C1E"/>
                <w:sz w:val="18"/>
                <w:szCs w:val="18"/>
              </w:rPr>
              <w:t>XX to XX</w:t>
            </w:r>
          </w:p>
        </w:tc>
        <w:tc>
          <w:tcPr>
            <w:tcW w:w="1387"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149E1C84" w14:textId="77777777" w:rsidR="00E806B4" w:rsidRPr="007A56D6" w:rsidRDefault="00E806B4" w:rsidP="00A4621E">
            <w:pPr>
              <w:jc w:val="both"/>
              <w:rPr>
                <w:sz w:val="18"/>
                <w:szCs w:val="18"/>
              </w:rPr>
            </w:pPr>
            <w:r w:rsidRPr="007A56D6">
              <w:rPr>
                <w:rFonts w:ascii="Amasis MT Pro" w:hAnsi="Amasis MT Pro"/>
                <w:color w:val="1C1C1E"/>
                <w:sz w:val="18"/>
                <w:szCs w:val="18"/>
              </w:rPr>
              <w:t>XX to XX</w:t>
            </w:r>
          </w:p>
        </w:tc>
        <w:tc>
          <w:tcPr>
            <w:tcW w:w="3321"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10B8AE53" w14:textId="77777777" w:rsidR="00E806B4" w:rsidRPr="007A56D6" w:rsidRDefault="00E806B4" w:rsidP="00A4621E">
            <w:pPr>
              <w:jc w:val="both"/>
              <w:rPr>
                <w:sz w:val="18"/>
                <w:szCs w:val="18"/>
              </w:rPr>
            </w:pPr>
            <w:r w:rsidRPr="007A56D6">
              <w:rPr>
                <w:rFonts w:ascii="Amasis MT Pro" w:hAnsi="Amasis MT Pro"/>
                <w:color w:val="1C1C1E"/>
                <w:sz w:val="18"/>
                <w:szCs w:val="18"/>
              </w:rPr>
              <w:t>Freelance UX contractor in Year 1; in-house designer in Year 2</w:t>
            </w:r>
          </w:p>
        </w:tc>
      </w:tr>
      <w:tr w:rsidR="00E806B4" w:rsidRPr="007A56D6" w14:paraId="357FD033" w14:textId="77777777" w:rsidTr="007A56D6">
        <w:trPr>
          <w:tblCellSpacing w:w="15" w:type="dxa"/>
        </w:trPr>
        <w:tc>
          <w:tcPr>
            <w:tcW w:w="2756" w:type="dxa"/>
            <w:tcBorders>
              <w:top w:val="nil"/>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7CCC462E" w14:textId="77777777" w:rsidR="00E806B4" w:rsidRPr="007A56D6" w:rsidRDefault="00E806B4" w:rsidP="00A4621E">
            <w:pPr>
              <w:jc w:val="both"/>
              <w:rPr>
                <w:sz w:val="18"/>
                <w:szCs w:val="18"/>
              </w:rPr>
            </w:pPr>
            <w:r w:rsidRPr="007A56D6">
              <w:rPr>
                <w:rFonts w:ascii="Amasis MT Pro" w:hAnsi="Amasis MT Pro"/>
                <w:color w:val="1C1C1E"/>
                <w:sz w:val="18"/>
                <w:szCs w:val="18"/>
              </w:rPr>
              <w:t>Marketing and Outreach</w:t>
            </w:r>
          </w:p>
        </w:tc>
        <w:tc>
          <w:tcPr>
            <w:tcW w:w="1412"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43AD4367" w14:textId="77777777" w:rsidR="00E806B4" w:rsidRPr="007A56D6" w:rsidRDefault="00E806B4" w:rsidP="00A4621E">
            <w:pPr>
              <w:jc w:val="both"/>
              <w:rPr>
                <w:sz w:val="18"/>
                <w:szCs w:val="18"/>
              </w:rPr>
            </w:pPr>
            <w:r w:rsidRPr="007A56D6">
              <w:rPr>
                <w:rFonts w:ascii="Amasis MT Pro" w:hAnsi="Amasis MT Pro"/>
                <w:color w:val="1C1C1E"/>
                <w:sz w:val="18"/>
                <w:szCs w:val="18"/>
              </w:rPr>
              <w:t>XX to XX</w:t>
            </w:r>
          </w:p>
        </w:tc>
        <w:tc>
          <w:tcPr>
            <w:tcW w:w="1387"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68FFA773" w14:textId="77777777" w:rsidR="00E806B4" w:rsidRPr="007A56D6" w:rsidRDefault="00E806B4" w:rsidP="00A4621E">
            <w:pPr>
              <w:jc w:val="both"/>
              <w:rPr>
                <w:sz w:val="18"/>
                <w:szCs w:val="18"/>
              </w:rPr>
            </w:pPr>
            <w:r w:rsidRPr="007A56D6">
              <w:rPr>
                <w:rFonts w:ascii="Amasis MT Pro" w:hAnsi="Amasis MT Pro"/>
                <w:color w:val="1C1C1E"/>
                <w:sz w:val="18"/>
                <w:szCs w:val="18"/>
              </w:rPr>
              <w:t>XX to XX</w:t>
            </w:r>
          </w:p>
        </w:tc>
        <w:tc>
          <w:tcPr>
            <w:tcW w:w="3321"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32C7C93C" w14:textId="77777777" w:rsidR="00E806B4" w:rsidRPr="007A56D6" w:rsidRDefault="00E806B4" w:rsidP="00A4621E">
            <w:pPr>
              <w:jc w:val="both"/>
              <w:rPr>
                <w:sz w:val="18"/>
                <w:szCs w:val="18"/>
              </w:rPr>
            </w:pPr>
            <w:r w:rsidRPr="007A56D6">
              <w:rPr>
                <w:rFonts w:ascii="Amasis MT Pro" w:hAnsi="Amasis MT Pro"/>
                <w:color w:val="1C1C1E"/>
                <w:sz w:val="18"/>
                <w:szCs w:val="18"/>
              </w:rPr>
              <w:t>Community building, academic conference presence, content marketing</w:t>
            </w:r>
          </w:p>
        </w:tc>
      </w:tr>
      <w:tr w:rsidR="00E806B4" w:rsidRPr="007A56D6" w14:paraId="323D8970" w14:textId="77777777" w:rsidTr="007A56D6">
        <w:trPr>
          <w:tblCellSpacing w:w="15" w:type="dxa"/>
        </w:trPr>
        <w:tc>
          <w:tcPr>
            <w:tcW w:w="2756" w:type="dxa"/>
            <w:tcBorders>
              <w:top w:val="nil"/>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0363005C" w14:textId="77777777" w:rsidR="00E806B4" w:rsidRPr="007A56D6" w:rsidRDefault="00E806B4" w:rsidP="00A4621E">
            <w:pPr>
              <w:jc w:val="both"/>
              <w:rPr>
                <w:sz w:val="18"/>
                <w:szCs w:val="18"/>
              </w:rPr>
            </w:pPr>
            <w:r w:rsidRPr="007A56D6">
              <w:rPr>
                <w:rFonts w:ascii="Amasis MT Pro" w:hAnsi="Amasis MT Pro"/>
                <w:color w:val="1C1C1E"/>
                <w:sz w:val="18"/>
                <w:szCs w:val="18"/>
              </w:rPr>
              <w:t>Legal, Operations, and Compliance</w:t>
            </w:r>
          </w:p>
        </w:tc>
        <w:tc>
          <w:tcPr>
            <w:tcW w:w="1412"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08117602" w14:textId="77777777" w:rsidR="00E806B4" w:rsidRPr="007A56D6" w:rsidRDefault="00E806B4" w:rsidP="00A4621E">
            <w:pPr>
              <w:jc w:val="both"/>
              <w:rPr>
                <w:sz w:val="18"/>
                <w:szCs w:val="18"/>
              </w:rPr>
            </w:pPr>
            <w:r w:rsidRPr="007A56D6">
              <w:rPr>
                <w:rFonts w:ascii="Amasis MT Pro" w:hAnsi="Amasis MT Pro"/>
                <w:color w:val="1C1C1E"/>
                <w:sz w:val="18"/>
                <w:szCs w:val="18"/>
              </w:rPr>
              <w:t>XX to XX</w:t>
            </w:r>
          </w:p>
        </w:tc>
        <w:tc>
          <w:tcPr>
            <w:tcW w:w="1387"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20E8E120" w14:textId="77777777" w:rsidR="00E806B4" w:rsidRPr="007A56D6" w:rsidRDefault="00E806B4" w:rsidP="00A4621E">
            <w:pPr>
              <w:jc w:val="both"/>
              <w:rPr>
                <w:sz w:val="18"/>
                <w:szCs w:val="18"/>
              </w:rPr>
            </w:pPr>
            <w:r w:rsidRPr="007A56D6">
              <w:rPr>
                <w:rFonts w:ascii="Amasis MT Pro" w:hAnsi="Amasis MT Pro"/>
                <w:color w:val="1C1C1E"/>
                <w:sz w:val="18"/>
                <w:szCs w:val="18"/>
              </w:rPr>
              <w:t>XX to XX</w:t>
            </w:r>
          </w:p>
        </w:tc>
        <w:tc>
          <w:tcPr>
            <w:tcW w:w="3321"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21115D85" w14:textId="77777777" w:rsidR="00E806B4" w:rsidRPr="007A56D6" w:rsidRDefault="00E806B4" w:rsidP="00A4621E">
            <w:pPr>
              <w:jc w:val="both"/>
              <w:rPr>
                <w:sz w:val="18"/>
                <w:szCs w:val="18"/>
              </w:rPr>
            </w:pPr>
            <w:r w:rsidRPr="007A56D6">
              <w:rPr>
                <w:rFonts w:ascii="Amasis MT Pro" w:hAnsi="Amasis MT Pro"/>
                <w:color w:val="1C1C1E"/>
                <w:sz w:val="18"/>
                <w:szCs w:val="18"/>
              </w:rPr>
              <w:t>GDPR legal advice, IP registration, administrative costs</w:t>
            </w:r>
          </w:p>
        </w:tc>
      </w:tr>
      <w:tr w:rsidR="00E806B4" w:rsidRPr="007A56D6" w14:paraId="238F7F54" w14:textId="77777777" w:rsidTr="007A56D6">
        <w:trPr>
          <w:tblCellSpacing w:w="15" w:type="dxa"/>
        </w:trPr>
        <w:tc>
          <w:tcPr>
            <w:tcW w:w="2756" w:type="dxa"/>
            <w:tcBorders>
              <w:top w:val="nil"/>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7DCE6A85" w14:textId="77777777" w:rsidR="00E806B4" w:rsidRPr="007A56D6" w:rsidRDefault="00E806B4" w:rsidP="00A4621E">
            <w:pPr>
              <w:jc w:val="both"/>
              <w:rPr>
                <w:sz w:val="18"/>
                <w:szCs w:val="18"/>
              </w:rPr>
            </w:pPr>
            <w:r w:rsidRPr="007A56D6">
              <w:rPr>
                <w:rFonts w:ascii="Amasis MT Pro" w:hAnsi="Amasis MT Pro"/>
                <w:color w:val="1C1C1E"/>
                <w:sz w:val="18"/>
                <w:szCs w:val="18"/>
              </w:rPr>
              <w:t>Contingency (10%)</w:t>
            </w:r>
          </w:p>
        </w:tc>
        <w:tc>
          <w:tcPr>
            <w:tcW w:w="1412"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72D9728A" w14:textId="77777777" w:rsidR="00E806B4" w:rsidRPr="007A56D6" w:rsidRDefault="00E806B4" w:rsidP="00A4621E">
            <w:pPr>
              <w:jc w:val="both"/>
              <w:rPr>
                <w:sz w:val="18"/>
                <w:szCs w:val="18"/>
              </w:rPr>
            </w:pPr>
            <w:r w:rsidRPr="007A56D6">
              <w:rPr>
                <w:rFonts w:ascii="Amasis MT Pro" w:hAnsi="Amasis MT Pro"/>
                <w:color w:val="1C1C1E"/>
                <w:sz w:val="18"/>
                <w:szCs w:val="18"/>
              </w:rPr>
              <w:t>XX to XX</w:t>
            </w:r>
          </w:p>
        </w:tc>
        <w:tc>
          <w:tcPr>
            <w:tcW w:w="1387"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1B0C0CA6" w14:textId="77777777" w:rsidR="00E806B4" w:rsidRPr="007A56D6" w:rsidRDefault="00E806B4" w:rsidP="00A4621E">
            <w:pPr>
              <w:jc w:val="both"/>
              <w:rPr>
                <w:sz w:val="18"/>
                <w:szCs w:val="18"/>
              </w:rPr>
            </w:pPr>
            <w:r w:rsidRPr="007A56D6">
              <w:rPr>
                <w:rFonts w:ascii="Amasis MT Pro" w:hAnsi="Amasis MT Pro"/>
                <w:color w:val="1C1C1E"/>
                <w:sz w:val="18"/>
                <w:szCs w:val="18"/>
              </w:rPr>
              <w:t>XX to XX</w:t>
            </w:r>
          </w:p>
        </w:tc>
        <w:tc>
          <w:tcPr>
            <w:tcW w:w="3321"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384E012A" w14:textId="77777777" w:rsidR="00E806B4" w:rsidRPr="007A56D6" w:rsidRDefault="00E806B4" w:rsidP="00A4621E">
            <w:pPr>
              <w:jc w:val="both"/>
              <w:rPr>
                <w:sz w:val="18"/>
                <w:szCs w:val="18"/>
              </w:rPr>
            </w:pPr>
            <w:r w:rsidRPr="007A56D6">
              <w:rPr>
                <w:rFonts w:ascii="Amasis MT Pro" w:hAnsi="Amasis MT Pro"/>
                <w:color w:val="1C1C1E"/>
                <w:sz w:val="18"/>
                <w:szCs w:val="18"/>
              </w:rPr>
              <w:t>Buffer for overruns and unexpected regulatory requirements</w:t>
            </w:r>
          </w:p>
        </w:tc>
      </w:tr>
      <w:tr w:rsidR="00E806B4" w:rsidRPr="007A56D6" w14:paraId="7BF8169C" w14:textId="77777777" w:rsidTr="007A56D6">
        <w:trPr>
          <w:tblCellSpacing w:w="15" w:type="dxa"/>
        </w:trPr>
        <w:tc>
          <w:tcPr>
            <w:tcW w:w="2756" w:type="dxa"/>
            <w:tcBorders>
              <w:top w:val="nil"/>
              <w:left w:val="single" w:sz="8" w:space="0" w:color="CCCCCC"/>
              <w:bottom w:val="single" w:sz="8" w:space="0" w:color="CCCCCC"/>
              <w:right w:val="single" w:sz="8" w:space="0" w:color="CCCCCC"/>
            </w:tcBorders>
            <w:shd w:val="clear" w:color="auto" w:fill="F2F2F2"/>
            <w:tcMar>
              <w:top w:w="80" w:type="dxa"/>
              <w:left w:w="120" w:type="dxa"/>
              <w:bottom w:w="80" w:type="dxa"/>
              <w:right w:w="120" w:type="dxa"/>
            </w:tcMar>
            <w:vAlign w:val="center"/>
            <w:hideMark/>
          </w:tcPr>
          <w:p w14:paraId="53146F8A" w14:textId="77777777" w:rsidR="00E806B4" w:rsidRPr="007A56D6" w:rsidRDefault="00E806B4" w:rsidP="00A4621E">
            <w:pPr>
              <w:jc w:val="both"/>
              <w:rPr>
                <w:sz w:val="18"/>
                <w:szCs w:val="18"/>
              </w:rPr>
            </w:pPr>
            <w:r w:rsidRPr="007A56D6">
              <w:rPr>
                <w:rFonts w:ascii="Amasis MT Pro" w:hAnsi="Amasis MT Pro"/>
                <w:b/>
                <w:bCs/>
                <w:color w:val="1C1C1E"/>
                <w:sz w:val="18"/>
                <w:szCs w:val="18"/>
              </w:rPr>
              <w:t>TOTAL</w:t>
            </w:r>
          </w:p>
        </w:tc>
        <w:tc>
          <w:tcPr>
            <w:tcW w:w="1412" w:type="dxa"/>
            <w:tcBorders>
              <w:top w:val="nil"/>
              <w:left w:val="nil"/>
              <w:bottom w:val="single" w:sz="8" w:space="0" w:color="CCCCCC"/>
              <w:right w:val="single" w:sz="8" w:space="0" w:color="CCCCCC"/>
            </w:tcBorders>
            <w:shd w:val="clear" w:color="auto" w:fill="F2F2F2"/>
            <w:tcMar>
              <w:top w:w="80" w:type="dxa"/>
              <w:left w:w="120" w:type="dxa"/>
              <w:bottom w:w="80" w:type="dxa"/>
              <w:right w:w="120" w:type="dxa"/>
            </w:tcMar>
            <w:vAlign w:val="center"/>
            <w:hideMark/>
          </w:tcPr>
          <w:p w14:paraId="5207D98C" w14:textId="77777777" w:rsidR="00E806B4" w:rsidRPr="007A56D6" w:rsidRDefault="00E806B4" w:rsidP="00A4621E">
            <w:pPr>
              <w:jc w:val="both"/>
              <w:rPr>
                <w:sz w:val="18"/>
                <w:szCs w:val="18"/>
              </w:rPr>
            </w:pPr>
            <w:r w:rsidRPr="007A56D6">
              <w:rPr>
                <w:rFonts w:ascii="Amasis MT Pro" w:hAnsi="Amasis MT Pro"/>
                <w:b/>
                <w:bCs/>
                <w:color w:val="1C1C1E"/>
                <w:sz w:val="18"/>
                <w:szCs w:val="18"/>
              </w:rPr>
              <w:t>XX to XX</w:t>
            </w:r>
          </w:p>
        </w:tc>
        <w:tc>
          <w:tcPr>
            <w:tcW w:w="1387" w:type="dxa"/>
            <w:tcBorders>
              <w:top w:val="nil"/>
              <w:left w:val="nil"/>
              <w:bottom w:val="single" w:sz="8" w:space="0" w:color="CCCCCC"/>
              <w:right w:val="single" w:sz="8" w:space="0" w:color="CCCCCC"/>
            </w:tcBorders>
            <w:shd w:val="clear" w:color="auto" w:fill="F2F2F2"/>
            <w:tcMar>
              <w:top w:w="80" w:type="dxa"/>
              <w:left w:w="120" w:type="dxa"/>
              <w:bottom w:w="80" w:type="dxa"/>
              <w:right w:w="120" w:type="dxa"/>
            </w:tcMar>
            <w:vAlign w:val="center"/>
            <w:hideMark/>
          </w:tcPr>
          <w:p w14:paraId="1231B697" w14:textId="77777777" w:rsidR="00E806B4" w:rsidRPr="007A56D6" w:rsidRDefault="00E806B4" w:rsidP="00A4621E">
            <w:pPr>
              <w:jc w:val="both"/>
              <w:rPr>
                <w:sz w:val="18"/>
                <w:szCs w:val="18"/>
              </w:rPr>
            </w:pPr>
            <w:r w:rsidRPr="007A56D6">
              <w:rPr>
                <w:rFonts w:ascii="Amasis MT Pro" w:hAnsi="Amasis MT Pro"/>
                <w:b/>
                <w:bCs/>
                <w:color w:val="1C1C1E"/>
                <w:sz w:val="18"/>
                <w:szCs w:val="18"/>
              </w:rPr>
              <w:t>XX to XX</w:t>
            </w:r>
          </w:p>
        </w:tc>
        <w:tc>
          <w:tcPr>
            <w:tcW w:w="3321" w:type="dxa"/>
            <w:tcBorders>
              <w:top w:val="nil"/>
              <w:left w:val="nil"/>
              <w:bottom w:val="single" w:sz="8" w:space="0" w:color="CCCCCC"/>
              <w:right w:val="single" w:sz="8" w:space="0" w:color="CCCCCC"/>
            </w:tcBorders>
            <w:shd w:val="clear" w:color="auto" w:fill="F2F2F2"/>
            <w:tcMar>
              <w:top w:w="80" w:type="dxa"/>
              <w:left w:w="120" w:type="dxa"/>
              <w:bottom w:w="80" w:type="dxa"/>
              <w:right w:w="120" w:type="dxa"/>
            </w:tcMar>
            <w:vAlign w:val="center"/>
            <w:hideMark/>
          </w:tcPr>
          <w:p w14:paraId="18367375" w14:textId="77777777" w:rsidR="00E806B4" w:rsidRPr="007A56D6" w:rsidRDefault="00E806B4" w:rsidP="00A4621E">
            <w:pPr>
              <w:jc w:val="both"/>
              <w:rPr>
                <w:sz w:val="18"/>
                <w:szCs w:val="18"/>
              </w:rPr>
            </w:pPr>
          </w:p>
        </w:tc>
      </w:tr>
    </w:tbl>
    <w:p w14:paraId="1DC011DC" w14:textId="77777777" w:rsidR="00620B9E" w:rsidRPr="008440CF" w:rsidRDefault="00620B9E" w:rsidP="00A4621E">
      <w:pPr>
        <w:spacing w:after="80"/>
        <w:jc w:val="both"/>
        <w:rPr>
          <w:rFonts w:ascii="Amasis MT Pro" w:hAnsi="Amasis MT Pro"/>
        </w:rPr>
      </w:pPr>
    </w:p>
    <w:p w14:paraId="6C79F398" w14:textId="3FC04523" w:rsidR="00620B9E" w:rsidRPr="007A56D6" w:rsidRDefault="00620B9E" w:rsidP="00A4621E">
      <w:pPr>
        <w:spacing w:after="140"/>
        <w:jc w:val="both"/>
        <w:rPr>
          <w:rFonts w:ascii="Amasis MT Pro" w:hAnsi="Amasis MT Pro"/>
          <w:strike/>
        </w:rPr>
      </w:pPr>
      <w:r w:rsidRPr="008440CF">
        <w:rPr>
          <w:rFonts w:ascii="Amasis MT Pro" w:eastAsia="Arial" w:hAnsi="Amasis MT Pro" w:cs="Arial"/>
          <w:color w:val="1C1C1E"/>
        </w:rPr>
        <w:t xml:space="preserve">These estimates are based on a lean startup model using open-source LLM infrastructure where possible, a remote-first team, and shared workspace rather than owned offices. </w:t>
      </w:r>
      <w:commentRangeStart w:id="3"/>
      <w:r w:rsidRPr="007A56D6">
        <w:rPr>
          <w:rFonts w:ascii="Amasis MT Pro" w:eastAsia="Arial" w:hAnsi="Amasis MT Pro" w:cs="Arial"/>
          <w:strike/>
          <w:color w:val="1C1C1E"/>
        </w:rPr>
        <w:t xml:space="preserve">Grant funding from Fraunhofer, BMBF, or Horizon Europe </w:t>
      </w:r>
      <w:r w:rsidR="008C2BC6" w:rsidRPr="007A56D6">
        <w:rPr>
          <w:rFonts w:ascii="Amasis MT Pro" w:eastAsia="Arial" w:hAnsi="Amasis MT Pro" w:cs="Arial"/>
          <w:strike/>
          <w:color w:val="1C1C1E"/>
        </w:rPr>
        <w:t>programs</w:t>
      </w:r>
      <w:r w:rsidRPr="007A56D6">
        <w:rPr>
          <w:rFonts w:ascii="Amasis MT Pro" w:eastAsia="Arial" w:hAnsi="Amasis MT Pro" w:cs="Arial"/>
          <w:strike/>
          <w:color w:val="1C1C1E"/>
        </w:rPr>
        <w:t xml:space="preserve"> for AI and data sovereignty research could reduce the Year 1 cash </w:t>
      </w:r>
      <w:r w:rsidRPr="007A56D6">
        <w:rPr>
          <w:rFonts w:ascii="Amasis MT Pro" w:eastAsia="Arial" w:hAnsi="Amasis MT Pro" w:cs="Arial"/>
          <w:strike/>
          <w:color w:val="1C1C1E"/>
        </w:rPr>
        <w:lastRenderedPageBreak/>
        <w:t xml:space="preserve">requirement. The two-year roadmap </w:t>
      </w:r>
      <w:r w:rsidR="00833D94" w:rsidRPr="007A56D6">
        <w:rPr>
          <w:rFonts w:ascii="Amasis MT Pro" w:eastAsia="Arial" w:hAnsi="Amasis MT Pro" w:cs="Arial"/>
          <w:strike/>
          <w:color w:val="1C1C1E"/>
        </w:rPr>
        <w:t>prioritizes</w:t>
      </w:r>
      <w:r w:rsidRPr="007A56D6">
        <w:rPr>
          <w:rFonts w:ascii="Amasis MT Pro" w:eastAsia="Arial" w:hAnsi="Amasis MT Pro" w:cs="Arial"/>
          <w:strike/>
          <w:color w:val="1C1C1E"/>
        </w:rPr>
        <w:t xml:space="preserve"> core functionality first, building on rewards and community features as the user base is validated.</w:t>
      </w:r>
      <w:commentRangeEnd w:id="3"/>
      <w:r w:rsidR="00A4621E" w:rsidRPr="007A56D6">
        <w:rPr>
          <w:rStyle w:val="CommentReference"/>
          <w:rFonts w:ascii="Amasis MT Pro" w:hAnsi="Amasis MT Pro"/>
          <w:strike/>
          <w:sz w:val="20"/>
          <w:szCs w:val="20"/>
        </w:rPr>
        <w:commentReference w:id="3"/>
      </w:r>
    </w:p>
    <w:p w14:paraId="1D8303C9" w14:textId="77777777" w:rsidR="00620B9E" w:rsidRPr="008440CF" w:rsidRDefault="00620B9E" w:rsidP="00A4621E">
      <w:pPr>
        <w:spacing w:after="80"/>
        <w:jc w:val="both"/>
        <w:rPr>
          <w:rFonts w:ascii="Amasis MT Pro" w:hAnsi="Amasis MT Pro"/>
        </w:rPr>
      </w:pPr>
    </w:p>
    <w:p w14:paraId="4634E958" w14:textId="77777777" w:rsidR="00620B9E" w:rsidRPr="008440CF" w:rsidRDefault="00620B9E" w:rsidP="00A4621E">
      <w:pPr>
        <w:pStyle w:val="Heading1"/>
        <w:jc w:val="both"/>
        <w:rPr>
          <w:rFonts w:ascii="Amasis MT Pro" w:hAnsi="Amasis MT Pro"/>
          <w:sz w:val="20"/>
          <w:szCs w:val="20"/>
        </w:rPr>
      </w:pPr>
      <w:r w:rsidRPr="008440CF">
        <w:rPr>
          <w:rFonts w:ascii="Amasis MT Pro" w:eastAsia="Arial" w:hAnsi="Amasis MT Pro" w:cs="Arial"/>
          <w:b/>
          <w:bCs/>
          <w:color w:val="000000"/>
          <w:sz w:val="20"/>
          <w:szCs w:val="20"/>
        </w:rPr>
        <w:t>13. Why Investors Should Care</w:t>
      </w:r>
    </w:p>
    <w:p w14:paraId="59F6D0CE" w14:textId="22B85501"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Four conditions are aligned at this moment in time, and they do not often align together.</w:t>
      </w:r>
    </w:p>
    <w:p w14:paraId="6CB562BF" w14:textId="77777777" w:rsidR="00620B9E" w:rsidRPr="008440CF" w:rsidRDefault="00620B9E" w:rsidP="00A4621E">
      <w:pPr>
        <w:pStyle w:val="Heading2"/>
        <w:jc w:val="both"/>
        <w:rPr>
          <w:rFonts w:ascii="Amasis MT Pro" w:hAnsi="Amasis MT Pro"/>
          <w:sz w:val="20"/>
          <w:szCs w:val="20"/>
        </w:rPr>
      </w:pPr>
      <w:r w:rsidRPr="008440CF">
        <w:rPr>
          <w:rFonts w:ascii="Amasis MT Pro" w:eastAsia="Arial" w:hAnsi="Amasis MT Pro" w:cs="Arial"/>
          <w:b/>
          <w:bCs/>
          <w:color w:val="1C1C1E"/>
          <w:sz w:val="20"/>
          <w:szCs w:val="20"/>
        </w:rPr>
        <w:t>13.1 Two Large Markets Are Growing Simultaneously</w:t>
      </w:r>
    </w:p>
    <w:p w14:paraId="089D47CF" w14:textId="6B90419A"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 xml:space="preserve">The market research industry is valued at approximately EUR 142 billion and is continuing to grow [R6]. The digital twin market is projected to expand from EUR 31.5 billion in 2026 to EUR 356.3 billion by 2034, at a compound annual growth rate of 35.4% [R13]. McKinsey estimates 60% annual growth for digital twin technology, reaching USD 73.5 billion by 2027 [R28]. Gartner estimates that 40% of large firms will be using digital twins by 2027 [R25]. A platform operating at the intersection of these two markets, </w:t>
      </w:r>
      <w:r w:rsidR="00FC1F99" w:rsidRPr="008440CF">
        <w:rPr>
          <w:rFonts w:ascii="Amasis MT Pro" w:eastAsia="Arial" w:hAnsi="Amasis MT Pro" w:cs="Arial"/>
          <w:color w:val="1C1C1E"/>
        </w:rPr>
        <w:t>now</w:t>
      </w:r>
      <w:r w:rsidRPr="008440CF">
        <w:rPr>
          <w:rFonts w:ascii="Amasis MT Pro" w:eastAsia="Arial" w:hAnsi="Amasis MT Pro" w:cs="Arial"/>
          <w:color w:val="1C1C1E"/>
        </w:rPr>
        <w:t xml:space="preserve"> both are in high growth, is well positioned.</w:t>
      </w:r>
    </w:p>
    <w:p w14:paraId="14D89549" w14:textId="77777777" w:rsidR="00620B9E" w:rsidRPr="008440CF" w:rsidRDefault="00620B9E" w:rsidP="00A4621E">
      <w:pPr>
        <w:pStyle w:val="Heading2"/>
        <w:jc w:val="both"/>
        <w:rPr>
          <w:rFonts w:ascii="Amasis MT Pro" w:hAnsi="Amasis MT Pro"/>
          <w:sz w:val="20"/>
          <w:szCs w:val="20"/>
        </w:rPr>
      </w:pPr>
      <w:r w:rsidRPr="008440CF">
        <w:rPr>
          <w:rFonts w:ascii="Amasis MT Pro" w:eastAsia="Arial" w:hAnsi="Amasis MT Pro" w:cs="Arial"/>
          <w:b/>
          <w:bCs/>
          <w:color w:val="1C1C1E"/>
          <w:sz w:val="20"/>
          <w:szCs w:val="20"/>
        </w:rPr>
        <w:t>13.2 No One Has Solved User Ownership</w:t>
      </w:r>
    </w:p>
    <w:p w14:paraId="66C0DD02" w14:textId="24CBF0EA"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Every well-funded competitor takes value from real humans and gives nothing back. Simile, Aaru, Listen Labs, and the enterprise survey platforms all use human behavioural data as raw material without compensating contributors. This is not just an ethical gap. It is a product gap. The 79% of users who say they will share data in exchange for fair benefits [R2] are waiting for a platform that delivers on that promise. Twinlytics is the only platform that does. This creates a structural differentiation that competitors cannot replicate without fundamentally changing their own models.</w:t>
      </w:r>
    </w:p>
    <w:p w14:paraId="5BD81DA6" w14:textId="2ED2C4E9"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This social angle also makes the platform relevant to ESG-oriented investors. Twinlytics treats personal data as property that belongs to its creator, which aligns with the policy direction of the EU and the growing public expectation that data rights should be real and not merely nominal [R10].</w:t>
      </w:r>
    </w:p>
    <w:p w14:paraId="0CF6532F" w14:textId="77777777" w:rsidR="00620B9E" w:rsidRPr="008440CF" w:rsidRDefault="00620B9E" w:rsidP="00A4621E">
      <w:pPr>
        <w:pStyle w:val="Heading2"/>
        <w:jc w:val="both"/>
        <w:rPr>
          <w:rFonts w:ascii="Amasis MT Pro" w:hAnsi="Amasis MT Pro"/>
          <w:sz w:val="20"/>
          <w:szCs w:val="20"/>
        </w:rPr>
      </w:pPr>
      <w:r w:rsidRPr="008440CF">
        <w:rPr>
          <w:rFonts w:ascii="Amasis MT Pro" w:eastAsia="Arial" w:hAnsi="Amasis MT Pro" w:cs="Arial"/>
          <w:b/>
          <w:bCs/>
          <w:color w:val="1C1C1E"/>
          <w:sz w:val="20"/>
          <w:szCs w:val="20"/>
        </w:rPr>
        <w:t>13.3 The Regulatory Environment Favours This Model</w:t>
      </w:r>
    </w:p>
    <w:p w14:paraId="53391A87" w14:textId="20A8BE6F"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 xml:space="preserve">As of early 2026, cumulative GDPR fines have exceeded EUR 6.7 billion [R26]. The EU AI Act's high-risk provisions come into force in August 2026 [R24]. Organisations that built their data businesses on non-consensual extraction are facing increasing regulatory and financial risk. Twinlytics is designed for this environment from the ground up. Consent, auditability, and user control are not features added to </w:t>
      </w:r>
      <w:r w:rsidR="004C1F7D" w:rsidRPr="008440CF">
        <w:rPr>
          <w:rFonts w:ascii="Amasis MT Pro" w:hAnsi="Amasis MT Pro"/>
        </w:rPr>
        <w:t>pre</w:t>
      </w:r>
      <w:r w:rsidRPr="008440CF">
        <w:rPr>
          <w:rFonts w:ascii="Amasis MT Pro" w:eastAsia="Arial" w:hAnsi="Amasis MT Pro" w:cs="Arial"/>
          <w:color w:val="1C1C1E"/>
        </w:rPr>
        <w:t xml:space="preserve">-existing architecture. They are </w:t>
      </w:r>
      <w:r w:rsidR="004C1F7D" w:rsidRPr="008440CF">
        <w:rPr>
          <w:rFonts w:ascii="Amasis MT Pro" w:hAnsi="Amasis MT Pro"/>
        </w:rPr>
        <w:t>architecture</w:t>
      </w:r>
      <w:r w:rsidRPr="008440CF">
        <w:rPr>
          <w:rFonts w:ascii="Amasis MT Pro" w:eastAsia="Arial" w:hAnsi="Amasis MT Pro" w:cs="Arial"/>
          <w:color w:val="1C1C1E"/>
        </w:rPr>
        <w:t>.</w:t>
      </w:r>
    </w:p>
    <w:p w14:paraId="50BB7EB7" w14:textId="77777777" w:rsidR="00620B9E" w:rsidRPr="008440CF" w:rsidRDefault="00620B9E" w:rsidP="00A4621E">
      <w:pPr>
        <w:pStyle w:val="Heading2"/>
        <w:jc w:val="both"/>
        <w:rPr>
          <w:rFonts w:ascii="Amasis MT Pro" w:hAnsi="Amasis MT Pro"/>
          <w:sz w:val="20"/>
          <w:szCs w:val="20"/>
        </w:rPr>
      </w:pPr>
      <w:r w:rsidRPr="008440CF">
        <w:rPr>
          <w:rFonts w:ascii="Amasis MT Pro" w:eastAsia="Arial" w:hAnsi="Amasis MT Pro" w:cs="Arial"/>
          <w:b/>
          <w:bCs/>
          <w:color w:val="1C1C1E"/>
          <w:sz w:val="20"/>
          <w:szCs w:val="20"/>
        </w:rPr>
        <w:t>13.4 The Category Is Validated and the Position Is Distinct</w:t>
      </w:r>
    </w:p>
    <w:p w14:paraId="4449383D" w14:textId="4AE11162"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 xml:space="preserve">The investment community has confirmed that </w:t>
      </w:r>
      <w:r w:rsidR="004C1F7D" w:rsidRPr="008440CF">
        <w:rPr>
          <w:rFonts w:ascii="Amasis MT Pro" w:hAnsi="Amasis MT Pro"/>
        </w:rPr>
        <w:t>behavioral</w:t>
      </w:r>
      <w:r w:rsidRPr="008440CF">
        <w:rPr>
          <w:rFonts w:ascii="Amasis MT Pro" w:eastAsia="Arial" w:hAnsi="Amasis MT Pro" w:cs="Arial"/>
          <w:color w:val="1C1C1E"/>
        </w:rPr>
        <w:t xml:space="preserve"> simulation is a real market. Simile raised EUR 93 million in February 2026. Listen Labs raised EUR 64 million. Aaru reached a EUR 930 million valuation [R16]. Capital is moving in this direction at pace.</w:t>
      </w:r>
    </w:p>
    <w:p w14:paraId="2776A7FD" w14:textId="28B0A425"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 xml:space="preserve">Within this category, Twinlytics holds a distinct and defensible position: consent-first, user-compensated, and designed for European compliance. The </w:t>
      </w:r>
      <w:r w:rsidR="004C1F7D" w:rsidRPr="008440CF">
        <w:rPr>
          <w:rFonts w:ascii="Amasis MT Pro" w:hAnsi="Amasis MT Pro"/>
        </w:rPr>
        <w:t>foundation of the research</w:t>
      </w:r>
      <w:r w:rsidRPr="008440CF">
        <w:rPr>
          <w:rFonts w:ascii="Amasis MT Pro" w:eastAsia="Arial" w:hAnsi="Amasis MT Pro" w:cs="Arial"/>
          <w:color w:val="1C1C1E"/>
        </w:rPr>
        <w:t xml:space="preserve"> is proven through peer-reviewed publications at ACM CHI 2026 and UMAP 2026. The team has institutional backing, an active research network across Europe, and a cold start plan grounded in documented playbooks.</w:t>
      </w:r>
    </w:p>
    <w:p w14:paraId="0E174F6F" w14:textId="77777777" w:rsidR="00620B9E" w:rsidRPr="008440CF" w:rsidRDefault="00620B9E" w:rsidP="00A4621E">
      <w:pPr>
        <w:spacing w:after="140"/>
        <w:jc w:val="both"/>
        <w:rPr>
          <w:rFonts w:ascii="Amasis MT Pro" w:hAnsi="Amasis MT Pro"/>
        </w:rPr>
      </w:pPr>
      <w:r w:rsidRPr="008440CF">
        <w:rPr>
          <w:rFonts w:ascii="Amasis MT Pro" w:eastAsia="Arial" w:hAnsi="Amasis MT Pro" w:cs="Arial"/>
          <w:color w:val="1C1C1E"/>
        </w:rPr>
        <w:t>Twinlytics is not building a data extraction engine. It is building the infrastructure for a fair data economy, one in which the people who generate value are the people who benefit from it.</w:t>
      </w:r>
    </w:p>
    <w:p w14:paraId="2F4F037B" w14:textId="77777777" w:rsidR="00620B9E" w:rsidRPr="008440CF" w:rsidRDefault="00620B9E" w:rsidP="00620B9E">
      <w:pPr>
        <w:spacing w:after="80"/>
        <w:rPr>
          <w:rFonts w:ascii="Amasis MT Pro" w:hAnsi="Amasis MT Pro"/>
        </w:rPr>
      </w:pPr>
    </w:p>
    <w:p w14:paraId="05455B55" w14:textId="77777777" w:rsidR="00620B9E" w:rsidRPr="008440CF" w:rsidRDefault="00620B9E" w:rsidP="00620B9E">
      <w:pPr>
        <w:rPr>
          <w:rFonts w:ascii="Amasis MT Pro" w:hAnsi="Amasis MT Pro"/>
        </w:rPr>
      </w:pPr>
      <w:r w:rsidRPr="008440CF">
        <w:rPr>
          <w:rFonts w:ascii="Amasis MT Pro" w:hAnsi="Amasis MT Pro"/>
        </w:rPr>
        <w:br w:type="page"/>
      </w:r>
    </w:p>
    <w:p w14:paraId="50CD7098" w14:textId="77777777" w:rsidR="00620B9E" w:rsidRPr="008440CF" w:rsidRDefault="00620B9E" w:rsidP="00620B9E">
      <w:pPr>
        <w:pStyle w:val="Heading1"/>
        <w:rPr>
          <w:rFonts w:ascii="Amasis MT Pro" w:hAnsi="Amasis MT Pro"/>
          <w:sz w:val="20"/>
          <w:szCs w:val="20"/>
        </w:rPr>
      </w:pPr>
      <w:r w:rsidRPr="008440CF">
        <w:rPr>
          <w:rFonts w:ascii="Amasis MT Pro" w:eastAsia="Arial" w:hAnsi="Amasis MT Pro" w:cs="Arial"/>
          <w:b/>
          <w:bCs/>
          <w:color w:val="000000"/>
          <w:sz w:val="20"/>
          <w:szCs w:val="20"/>
        </w:rPr>
        <w:lastRenderedPageBreak/>
        <w:t>References</w:t>
      </w:r>
    </w:p>
    <w:p w14:paraId="74655134" w14:textId="60AC9058" w:rsidR="00620B9E" w:rsidRPr="008440CF" w:rsidRDefault="00620B9E" w:rsidP="00620B9E">
      <w:pPr>
        <w:spacing w:after="100"/>
        <w:rPr>
          <w:rFonts w:ascii="Amasis MT Pro" w:hAnsi="Amasis MT Pro"/>
        </w:rPr>
      </w:pPr>
      <w:r w:rsidRPr="008440CF">
        <w:rPr>
          <w:rFonts w:ascii="Amasis MT Pro" w:eastAsia="Arial" w:hAnsi="Amasis MT Pro" w:cs="Arial"/>
          <w:b/>
          <w:bCs/>
          <w:color w:val="1C1C1E"/>
        </w:rPr>
        <w:t>[R1</w:t>
      </w:r>
      <w:r w:rsidR="00E84667" w:rsidRPr="008440CF">
        <w:rPr>
          <w:rFonts w:ascii="Amasis MT Pro" w:eastAsia="Arial" w:hAnsi="Amasis MT Pro" w:cs="Arial"/>
          <w:b/>
          <w:bCs/>
          <w:color w:val="1C1C1E"/>
        </w:rPr>
        <w:t>] NNGroup</w:t>
      </w:r>
      <w:r w:rsidRPr="008440CF">
        <w:rPr>
          <w:rFonts w:ascii="Amasis MT Pro" w:eastAsia="Arial" w:hAnsi="Amasis MT Pro" w:cs="Arial"/>
          <w:b/>
          <w:bCs/>
          <w:color w:val="1C1C1E"/>
        </w:rPr>
        <w:t xml:space="preserve">, 'Digital Twins: Simulating Humans with Generative AI.' </w:t>
      </w:r>
      <w:hyperlink r:id="rId12" w:history="1">
        <w:r w:rsidRPr="008440CF">
          <w:rPr>
            <w:rFonts w:ascii="Amasis MT Pro" w:eastAsia="Arial" w:hAnsi="Amasis MT Pro" w:cs="Arial"/>
            <w:color w:val="1155CC"/>
            <w:u w:val="single"/>
          </w:rPr>
          <w:t>https://www.nngroup.com/articles/digital-twins/</w:t>
        </w:r>
      </w:hyperlink>
    </w:p>
    <w:p w14:paraId="6DE93DDC" w14:textId="11BB09BB" w:rsidR="00620B9E" w:rsidRPr="008440CF" w:rsidRDefault="00620B9E" w:rsidP="00620B9E">
      <w:pPr>
        <w:spacing w:after="100"/>
        <w:rPr>
          <w:rFonts w:ascii="Amasis MT Pro" w:hAnsi="Amasis MT Pro"/>
        </w:rPr>
      </w:pPr>
      <w:r w:rsidRPr="008440CF">
        <w:rPr>
          <w:rFonts w:ascii="Amasis MT Pro" w:eastAsia="Arial" w:hAnsi="Amasis MT Pro" w:cs="Arial"/>
          <w:b/>
          <w:bCs/>
          <w:color w:val="1C1C1E"/>
        </w:rPr>
        <w:t>[R2</w:t>
      </w:r>
      <w:r w:rsidR="00E84667" w:rsidRPr="008440CF">
        <w:rPr>
          <w:rFonts w:ascii="Amasis MT Pro" w:eastAsia="Arial" w:hAnsi="Amasis MT Pro" w:cs="Arial"/>
          <w:b/>
          <w:bCs/>
          <w:color w:val="1C1C1E"/>
        </w:rPr>
        <w:t>] Deloitte</w:t>
      </w:r>
      <w:r w:rsidRPr="008440CF">
        <w:rPr>
          <w:rFonts w:ascii="Amasis MT Pro" w:eastAsia="Arial" w:hAnsi="Amasis MT Pro" w:cs="Arial"/>
          <w:b/>
          <w:bCs/>
          <w:color w:val="1C1C1E"/>
        </w:rPr>
        <w:t xml:space="preserve"> Insights, 'What consumers really think about sharing personal information.' </w:t>
      </w:r>
      <w:hyperlink r:id="rId13" w:history="1">
        <w:r w:rsidRPr="008440CF">
          <w:rPr>
            <w:rFonts w:ascii="Amasis MT Pro" w:eastAsia="Arial" w:hAnsi="Amasis MT Pro" w:cs="Arial"/>
            <w:color w:val="1155CC"/>
            <w:u w:val="single"/>
          </w:rPr>
          <w:t>https://www.deloitte.com/us/en/insights/industry/retail-distribution/sharing-personal-information-consumer-privacy-concerns.html</w:t>
        </w:r>
      </w:hyperlink>
    </w:p>
    <w:p w14:paraId="27F7186F" w14:textId="407A6A2C" w:rsidR="00620B9E" w:rsidRPr="008440CF" w:rsidRDefault="00620B9E" w:rsidP="00620B9E">
      <w:pPr>
        <w:spacing w:after="100"/>
        <w:rPr>
          <w:rFonts w:ascii="Amasis MT Pro" w:hAnsi="Amasis MT Pro"/>
        </w:rPr>
      </w:pPr>
      <w:r w:rsidRPr="008440CF">
        <w:rPr>
          <w:rFonts w:ascii="Amasis MT Pro" w:eastAsia="Arial" w:hAnsi="Amasis MT Pro" w:cs="Arial"/>
          <w:b/>
          <w:bCs/>
          <w:color w:val="1C1C1E"/>
        </w:rPr>
        <w:t>[R3</w:t>
      </w:r>
      <w:r w:rsidR="00E84667" w:rsidRPr="008440CF">
        <w:rPr>
          <w:rFonts w:ascii="Amasis MT Pro" w:eastAsia="Arial" w:hAnsi="Amasis MT Pro" w:cs="Arial"/>
          <w:b/>
          <w:bCs/>
          <w:color w:val="1C1C1E"/>
        </w:rPr>
        <w:t>] DLA</w:t>
      </w:r>
      <w:r w:rsidRPr="008440CF">
        <w:rPr>
          <w:rFonts w:ascii="Amasis MT Pro" w:eastAsia="Arial" w:hAnsi="Amasis MT Pro" w:cs="Arial"/>
          <w:b/>
          <w:bCs/>
          <w:color w:val="1C1C1E"/>
        </w:rPr>
        <w:t xml:space="preserve"> Piper, GDPR Fines and Data Breach Survey, January 2025. </w:t>
      </w:r>
      <w:hyperlink r:id="rId14" w:history="1">
        <w:r w:rsidRPr="008440CF">
          <w:rPr>
            <w:rFonts w:ascii="Amasis MT Pro" w:eastAsia="Arial" w:hAnsi="Amasis MT Pro" w:cs="Arial"/>
            <w:color w:val="1155CC"/>
            <w:u w:val="single"/>
          </w:rPr>
          <w:t>https://www.dlapiper.com/en/insights/publications/2025/01/dla-piper-gdpr-fines-and-data-breach-survey-january-2025</w:t>
        </w:r>
      </w:hyperlink>
    </w:p>
    <w:p w14:paraId="4D712960" w14:textId="6CAC1CF0" w:rsidR="00620B9E" w:rsidRPr="008440CF" w:rsidRDefault="00620B9E" w:rsidP="00620B9E">
      <w:pPr>
        <w:spacing w:after="100"/>
        <w:rPr>
          <w:rFonts w:ascii="Amasis MT Pro" w:hAnsi="Amasis MT Pro"/>
        </w:rPr>
      </w:pPr>
      <w:r w:rsidRPr="008440CF">
        <w:rPr>
          <w:rFonts w:ascii="Amasis MT Pro" w:eastAsia="Arial" w:hAnsi="Amasis MT Pro" w:cs="Arial"/>
          <w:b/>
          <w:bCs/>
          <w:color w:val="1C1C1E"/>
        </w:rPr>
        <w:t>[R4</w:t>
      </w:r>
      <w:r w:rsidR="00E84667" w:rsidRPr="008440CF">
        <w:rPr>
          <w:rFonts w:ascii="Amasis MT Pro" w:eastAsia="Arial" w:hAnsi="Amasis MT Pro" w:cs="Arial"/>
          <w:b/>
          <w:bCs/>
          <w:color w:val="1C1C1E"/>
        </w:rPr>
        <w:t>] CMS</w:t>
      </w:r>
      <w:r w:rsidRPr="008440CF">
        <w:rPr>
          <w:rFonts w:ascii="Amasis MT Pro" w:eastAsia="Arial" w:hAnsi="Amasis MT Pro" w:cs="Arial"/>
          <w:b/>
          <w:bCs/>
          <w:color w:val="1C1C1E"/>
        </w:rPr>
        <w:t xml:space="preserve"> Law, GDPR Enforcement Tracker Report 2025/2026. </w:t>
      </w:r>
      <w:hyperlink r:id="rId15" w:history="1">
        <w:r w:rsidRPr="008440CF">
          <w:rPr>
            <w:rFonts w:ascii="Amasis MT Pro" w:eastAsia="Arial" w:hAnsi="Amasis MT Pro" w:cs="Arial"/>
            <w:color w:val="1155CC"/>
            <w:u w:val="single"/>
          </w:rPr>
          <w:t>https://cms.law/en/int/publication/GDPR-Enforcement-Tracker-Report/numbers-and-figures</w:t>
        </w:r>
      </w:hyperlink>
    </w:p>
    <w:p w14:paraId="094D138E" w14:textId="08CAC02A" w:rsidR="00620B9E" w:rsidRPr="008440CF" w:rsidRDefault="00620B9E" w:rsidP="00620B9E">
      <w:pPr>
        <w:spacing w:after="100"/>
        <w:rPr>
          <w:rFonts w:ascii="Amasis MT Pro" w:hAnsi="Amasis MT Pro"/>
        </w:rPr>
      </w:pPr>
      <w:r w:rsidRPr="008440CF">
        <w:rPr>
          <w:rFonts w:ascii="Amasis MT Pro" w:eastAsia="Arial" w:hAnsi="Amasis MT Pro" w:cs="Arial"/>
          <w:b/>
          <w:bCs/>
          <w:color w:val="1C1C1E"/>
        </w:rPr>
        <w:t>[R5</w:t>
      </w:r>
      <w:r w:rsidR="00E84667" w:rsidRPr="008440CF">
        <w:rPr>
          <w:rFonts w:ascii="Amasis MT Pro" w:eastAsia="Arial" w:hAnsi="Amasis MT Pro" w:cs="Arial"/>
          <w:b/>
          <w:bCs/>
          <w:color w:val="1C1C1E"/>
        </w:rPr>
        <w:t>] CTOL</w:t>
      </w:r>
      <w:r w:rsidRPr="008440CF">
        <w:rPr>
          <w:rFonts w:ascii="Amasis MT Pro" w:eastAsia="Arial" w:hAnsi="Amasis MT Pro" w:cs="Arial"/>
          <w:b/>
          <w:bCs/>
          <w:color w:val="1C1C1E"/>
        </w:rPr>
        <w:t xml:space="preserve"> Digital Solutions, 'Simile AI: The $100M Bet on Synthetic Humanity.' </w:t>
      </w:r>
      <w:hyperlink r:id="rId16" w:history="1">
        <w:r w:rsidRPr="008440CF">
          <w:rPr>
            <w:rFonts w:ascii="Amasis MT Pro" w:eastAsia="Arial" w:hAnsi="Amasis MT Pro" w:cs="Arial"/>
            <w:color w:val="1155CC"/>
            <w:u w:val="single"/>
          </w:rPr>
          <w:t>https://www.ctol.digital/news/simile-ai-100m-series-a-synthetic-humanity/</w:t>
        </w:r>
      </w:hyperlink>
    </w:p>
    <w:p w14:paraId="6CF3F398" w14:textId="1A355E27" w:rsidR="00620B9E" w:rsidRPr="008440CF" w:rsidRDefault="00620B9E" w:rsidP="00620B9E">
      <w:pPr>
        <w:spacing w:after="100"/>
        <w:rPr>
          <w:rFonts w:ascii="Amasis MT Pro" w:hAnsi="Amasis MT Pro"/>
        </w:rPr>
      </w:pPr>
      <w:r w:rsidRPr="008440CF">
        <w:rPr>
          <w:rFonts w:ascii="Amasis MT Pro" w:eastAsia="Arial" w:hAnsi="Amasis MT Pro" w:cs="Arial"/>
          <w:b/>
          <w:bCs/>
          <w:color w:val="1C1C1E"/>
        </w:rPr>
        <w:t>[R6</w:t>
      </w:r>
      <w:r w:rsidR="00E84667" w:rsidRPr="008440CF">
        <w:rPr>
          <w:rFonts w:ascii="Amasis MT Pro" w:eastAsia="Arial" w:hAnsi="Amasis MT Pro" w:cs="Arial"/>
          <w:b/>
          <w:bCs/>
          <w:color w:val="1C1C1E"/>
        </w:rPr>
        <w:t>] Backlinko</w:t>
      </w:r>
      <w:r w:rsidRPr="008440CF">
        <w:rPr>
          <w:rFonts w:ascii="Amasis MT Pro" w:eastAsia="Arial" w:hAnsi="Amasis MT Pro" w:cs="Arial"/>
          <w:b/>
          <w:bCs/>
          <w:color w:val="1C1C1E"/>
        </w:rPr>
        <w:t xml:space="preserve">, '23 Key Market Research Statistics for 2025.' </w:t>
      </w:r>
      <w:hyperlink r:id="rId17" w:history="1">
        <w:r w:rsidRPr="008440CF">
          <w:rPr>
            <w:rFonts w:ascii="Amasis MT Pro" w:eastAsia="Arial" w:hAnsi="Amasis MT Pro" w:cs="Arial"/>
            <w:color w:val="1155CC"/>
            <w:u w:val="single"/>
          </w:rPr>
          <w:t>https://backlinko.com/market-research-statistics</w:t>
        </w:r>
      </w:hyperlink>
    </w:p>
    <w:p w14:paraId="65D4F338" w14:textId="4EB3EE65" w:rsidR="00620B9E" w:rsidRPr="008440CF" w:rsidRDefault="00620B9E" w:rsidP="00620B9E">
      <w:pPr>
        <w:spacing w:after="100"/>
        <w:rPr>
          <w:rFonts w:ascii="Amasis MT Pro" w:hAnsi="Amasis MT Pro"/>
        </w:rPr>
      </w:pPr>
      <w:r w:rsidRPr="008440CF">
        <w:rPr>
          <w:rFonts w:ascii="Amasis MT Pro" w:eastAsia="Arial" w:hAnsi="Amasis MT Pro" w:cs="Arial"/>
          <w:b/>
          <w:bCs/>
          <w:color w:val="1C1C1E"/>
        </w:rPr>
        <w:t>[R7</w:t>
      </w:r>
      <w:r w:rsidR="00E84667" w:rsidRPr="008440CF">
        <w:rPr>
          <w:rFonts w:ascii="Amasis MT Pro" w:eastAsia="Arial" w:hAnsi="Amasis MT Pro" w:cs="Arial"/>
          <w:b/>
          <w:bCs/>
          <w:color w:val="1C1C1E"/>
        </w:rPr>
        <w:t>] NewtonX</w:t>
      </w:r>
      <w:r w:rsidRPr="008440CF">
        <w:rPr>
          <w:rFonts w:ascii="Amasis MT Pro" w:eastAsia="Arial" w:hAnsi="Amasis MT Pro" w:cs="Arial"/>
          <w:b/>
          <w:bCs/>
          <w:color w:val="1C1C1E"/>
        </w:rPr>
        <w:t xml:space="preserve">, 'The AI Frontier: How Digital Twins Are Reshaping Product Marketing.' </w:t>
      </w:r>
      <w:hyperlink r:id="rId18" w:history="1">
        <w:r w:rsidRPr="008440CF">
          <w:rPr>
            <w:rFonts w:ascii="Amasis MT Pro" w:eastAsia="Arial" w:hAnsi="Amasis MT Pro" w:cs="Arial"/>
            <w:color w:val="1155CC"/>
            <w:u w:val="single"/>
          </w:rPr>
          <w:t>https://www.newtonx.com/article/the-ai-frontier-how-digital-twins-are-reshaping-product-marketing/</w:t>
        </w:r>
      </w:hyperlink>
    </w:p>
    <w:p w14:paraId="3583A5DA" w14:textId="52925BD7" w:rsidR="00620B9E" w:rsidRPr="008440CF" w:rsidRDefault="00620B9E" w:rsidP="00620B9E">
      <w:pPr>
        <w:spacing w:after="100"/>
        <w:rPr>
          <w:rFonts w:ascii="Amasis MT Pro" w:hAnsi="Amasis MT Pro"/>
        </w:rPr>
      </w:pPr>
      <w:r w:rsidRPr="008440CF">
        <w:rPr>
          <w:rFonts w:ascii="Amasis MT Pro" w:eastAsia="Arial" w:hAnsi="Amasis MT Pro" w:cs="Arial"/>
          <w:b/>
          <w:bCs/>
          <w:color w:val="1C1C1E"/>
        </w:rPr>
        <w:t>[R8</w:t>
      </w:r>
      <w:r w:rsidR="00E84667" w:rsidRPr="008440CF">
        <w:rPr>
          <w:rFonts w:ascii="Amasis MT Pro" w:eastAsia="Arial" w:hAnsi="Amasis MT Pro" w:cs="Arial"/>
          <w:b/>
          <w:bCs/>
          <w:color w:val="1C1C1E"/>
        </w:rPr>
        <w:t>] Greenbook</w:t>
      </w:r>
      <w:r w:rsidRPr="008440CF">
        <w:rPr>
          <w:rFonts w:ascii="Amasis MT Pro" w:eastAsia="Arial" w:hAnsi="Amasis MT Pro" w:cs="Arial"/>
          <w:b/>
          <w:bCs/>
          <w:color w:val="1C1C1E"/>
        </w:rPr>
        <w:t xml:space="preserve">, 'Digital Twins Are the New A/B Test.' </w:t>
      </w:r>
      <w:hyperlink r:id="rId19" w:history="1">
        <w:r w:rsidRPr="008440CF">
          <w:rPr>
            <w:rFonts w:ascii="Amasis MT Pro" w:eastAsia="Arial" w:hAnsi="Amasis MT Pro" w:cs="Arial"/>
            <w:color w:val="1155CC"/>
            <w:u w:val="single"/>
          </w:rPr>
          <w:t>https://www.greenbook.org/insights/research-methodologies/digital-twins-are-the-new-ab-testbut-most-executives-cant-define-them</w:t>
        </w:r>
      </w:hyperlink>
    </w:p>
    <w:p w14:paraId="167E755D" w14:textId="745F3C5D" w:rsidR="00620B9E" w:rsidRPr="008440CF" w:rsidRDefault="00620B9E" w:rsidP="00620B9E">
      <w:pPr>
        <w:spacing w:after="100"/>
        <w:rPr>
          <w:rFonts w:ascii="Amasis MT Pro" w:hAnsi="Amasis MT Pro"/>
        </w:rPr>
      </w:pPr>
      <w:r w:rsidRPr="008440CF">
        <w:rPr>
          <w:rFonts w:ascii="Amasis MT Pro" w:eastAsia="Arial" w:hAnsi="Amasis MT Pro" w:cs="Arial"/>
          <w:b/>
          <w:bCs/>
          <w:color w:val="1C1C1E"/>
        </w:rPr>
        <w:t>[R9</w:t>
      </w:r>
      <w:r w:rsidR="00E84667" w:rsidRPr="008440CF">
        <w:rPr>
          <w:rFonts w:ascii="Amasis MT Pro" w:eastAsia="Arial" w:hAnsi="Amasis MT Pro" w:cs="Arial"/>
          <w:b/>
          <w:bCs/>
          <w:color w:val="1C1C1E"/>
        </w:rPr>
        <w:t>] AI</w:t>
      </w:r>
      <w:r w:rsidRPr="008440CF">
        <w:rPr>
          <w:rFonts w:ascii="Amasis MT Pro" w:eastAsia="Arial" w:hAnsi="Amasis MT Pro" w:cs="Arial"/>
          <w:b/>
          <w:bCs/>
          <w:color w:val="1C1C1E"/>
        </w:rPr>
        <w:t xml:space="preserve">2Work, 'Simile AI Funding Analysis, February 2026.' </w:t>
      </w:r>
      <w:hyperlink r:id="rId20" w:history="1">
        <w:r w:rsidRPr="008440CF">
          <w:rPr>
            <w:rFonts w:ascii="Amasis MT Pro" w:eastAsia="Arial" w:hAnsi="Amasis MT Pro" w:cs="Arial"/>
            <w:color w:val="1155CC"/>
            <w:u w:val="single"/>
          </w:rPr>
          <w:t>https://ai2.work/startups/simile-raises-100m-to-replace-focus-groups-with-ai-digital-twins-2026/</w:t>
        </w:r>
      </w:hyperlink>
    </w:p>
    <w:p w14:paraId="0C692A1C" w14:textId="77777777" w:rsidR="00620B9E" w:rsidRPr="008440CF" w:rsidRDefault="00620B9E" w:rsidP="00620B9E">
      <w:pPr>
        <w:spacing w:after="100"/>
        <w:rPr>
          <w:rFonts w:ascii="Amasis MT Pro" w:hAnsi="Amasis MT Pro"/>
        </w:rPr>
      </w:pPr>
      <w:r w:rsidRPr="008440CF">
        <w:rPr>
          <w:rFonts w:ascii="Amasis MT Pro" w:eastAsia="Arial" w:hAnsi="Amasis MT Pro" w:cs="Arial"/>
          <w:b/>
          <w:bCs/>
          <w:color w:val="1C1C1E"/>
        </w:rPr>
        <w:t xml:space="preserve">[R10] Wired, 'Personal Data Is Valuable. Give Pricing Power to the People.' </w:t>
      </w:r>
      <w:hyperlink r:id="rId21" w:history="1">
        <w:r w:rsidRPr="008440CF">
          <w:rPr>
            <w:rFonts w:ascii="Amasis MT Pro" w:eastAsia="Arial" w:hAnsi="Amasis MT Pro" w:cs="Arial"/>
            <w:color w:val="1155CC"/>
            <w:u w:val="single"/>
          </w:rPr>
          <w:t>https://www.wired.com/story/opinion-give-data-pricing-power-to-the-people/</w:t>
        </w:r>
      </w:hyperlink>
    </w:p>
    <w:p w14:paraId="398125ED" w14:textId="77777777" w:rsidR="00620B9E" w:rsidRPr="008440CF" w:rsidRDefault="00620B9E" w:rsidP="00620B9E">
      <w:pPr>
        <w:spacing w:after="100"/>
        <w:rPr>
          <w:rFonts w:ascii="Amasis MT Pro" w:hAnsi="Amasis MT Pro"/>
        </w:rPr>
      </w:pPr>
      <w:r w:rsidRPr="008440CF">
        <w:rPr>
          <w:rFonts w:ascii="Amasis MT Pro" w:eastAsia="Arial" w:hAnsi="Amasis MT Pro" w:cs="Arial"/>
          <w:b/>
          <w:bCs/>
          <w:color w:val="1C1C1E"/>
        </w:rPr>
        <w:t xml:space="preserve">[R11] NNGroup, 'Digital Twins: Simulating Humans with Generative AI.' (multiple citations) </w:t>
      </w:r>
      <w:hyperlink r:id="rId22" w:history="1">
        <w:r w:rsidRPr="008440CF">
          <w:rPr>
            <w:rFonts w:ascii="Amasis MT Pro" w:eastAsia="Arial" w:hAnsi="Amasis MT Pro" w:cs="Arial"/>
            <w:color w:val="1155CC"/>
            <w:u w:val="single"/>
          </w:rPr>
          <w:t>https://www.nngroup.com/articles/digital-twins/</w:t>
        </w:r>
      </w:hyperlink>
    </w:p>
    <w:p w14:paraId="2A98BFF4" w14:textId="77777777" w:rsidR="00620B9E" w:rsidRPr="008440CF" w:rsidRDefault="00620B9E" w:rsidP="00620B9E">
      <w:pPr>
        <w:spacing w:after="100"/>
        <w:rPr>
          <w:rFonts w:ascii="Amasis MT Pro" w:hAnsi="Amasis MT Pro"/>
        </w:rPr>
      </w:pPr>
      <w:r w:rsidRPr="008440CF">
        <w:rPr>
          <w:rFonts w:ascii="Amasis MT Pro" w:eastAsia="Arial" w:hAnsi="Amasis MT Pro" w:cs="Arial"/>
          <w:b/>
          <w:bCs/>
          <w:color w:val="1C1C1E"/>
        </w:rPr>
        <w:t xml:space="preserve">[R12] PrecedenceResearch, 'AI-Based Research Services Market Outlook 2025 to 2035.' </w:t>
      </w:r>
      <w:hyperlink r:id="rId23" w:history="1">
        <w:r w:rsidRPr="008440CF">
          <w:rPr>
            <w:rFonts w:ascii="Amasis MT Pro" w:eastAsia="Arial" w:hAnsi="Amasis MT Pro" w:cs="Arial"/>
            <w:color w:val="1155CC"/>
            <w:u w:val="single"/>
          </w:rPr>
          <w:t>https://www.precedenceresearch.com/ai-based-research-services-market</w:t>
        </w:r>
      </w:hyperlink>
    </w:p>
    <w:p w14:paraId="4108B8BA" w14:textId="77777777" w:rsidR="00620B9E" w:rsidRPr="008440CF" w:rsidRDefault="00620B9E" w:rsidP="00620B9E">
      <w:pPr>
        <w:spacing w:after="100"/>
        <w:rPr>
          <w:rFonts w:ascii="Amasis MT Pro" w:hAnsi="Amasis MT Pro"/>
        </w:rPr>
      </w:pPr>
      <w:r w:rsidRPr="008440CF">
        <w:rPr>
          <w:rFonts w:ascii="Amasis MT Pro" w:eastAsia="Arial" w:hAnsi="Amasis MT Pro" w:cs="Arial"/>
          <w:b/>
          <w:bCs/>
          <w:color w:val="1C1C1E"/>
        </w:rPr>
        <w:t xml:space="preserve">[R13] Fortune Business Insights, 'Digital Twin Market Size, Share and Growth Report 2026 to 2034.' </w:t>
      </w:r>
      <w:hyperlink r:id="rId24" w:history="1">
        <w:r w:rsidRPr="008440CF">
          <w:rPr>
            <w:rFonts w:ascii="Amasis MT Pro" w:eastAsia="Arial" w:hAnsi="Amasis MT Pro" w:cs="Arial"/>
            <w:color w:val="1155CC"/>
            <w:u w:val="single"/>
          </w:rPr>
          <w:t>https://www.fortunebusinessinsights.com/digital-twin-market-106246</w:t>
        </w:r>
      </w:hyperlink>
    </w:p>
    <w:p w14:paraId="06A37D2F" w14:textId="77777777" w:rsidR="00620B9E" w:rsidRPr="008440CF" w:rsidRDefault="00620B9E" w:rsidP="00620B9E">
      <w:pPr>
        <w:spacing w:after="100"/>
        <w:rPr>
          <w:rFonts w:ascii="Amasis MT Pro" w:hAnsi="Amasis MT Pro"/>
        </w:rPr>
      </w:pPr>
      <w:r w:rsidRPr="008440CF">
        <w:rPr>
          <w:rFonts w:ascii="Amasis MT Pro" w:eastAsia="Arial" w:hAnsi="Amasis MT Pro" w:cs="Arial"/>
          <w:b/>
          <w:bCs/>
          <w:color w:val="1C1C1E"/>
        </w:rPr>
        <w:t xml:space="preserve">[R14] Mordor Intelligence, 'Synthetic Data Market Size, Share, Trends and Research Report, 2031.' </w:t>
      </w:r>
      <w:hyperlink r:id="rId25" w:history="1">
        <w:r w:rsidRPr="008440CF">
          <w:rPr>
            <w:rFonts w:ascii="Amasis MT Pro" w:eastAsia="Arial" w:hAnsi="Amasis MT Pro" w:cs="Arial"/>
            <w:color w:val="1155CC"/>
            <w:u w:val="single"/>
          </w:rPr>
          <w:t>https://www.mordorintelligence.com/industry-reports/synthetic-data-market</w:t>
        </w:r>
      </w:hyperlink>
    </w:p>
    <w:p w14:paraId="49061DBC" w14:textId="77777777" w:rsidR="00620B9E" w:rsidRPr="008440CF" w:rsidRDefault="00620B9E" w:rsidP="00620B9E">
      <w:pPr>
        <w:spacing w:after="100"/>
        <w:rPr>
          <w:rFonts w:ascii="Amasis MT Pro" w:hAnsi="Amasis MT Pro"/>
        </w:rPr>
      </w:pPr>
      <w:r w:rsidRPr="008440CF">
        <w:rPr>
          <w:rFonts w:ascii="Amasis MT Pro" w:eastAsia="Arial" w:hAnsi="Amasis MT Pro" w:cs="Arial"/>
          <w:b/>
          <w:bCs/>
          <w:color w:val="1C1C1E"/>
        </w:rPr>
        <w:t xml:space="preserve">[R15] MarketsandMarkets, 'Agentic AI Market Research, 2025.' </w:t>
      </w:r>
      <w:hyperlink r:id="rId26" w:history="1">
        <w:r w:rsidRPr="008440CF">
          <w:rPr>
            <w:rFonts w:ascii="Amasis MT Pro" w:eastAsia="Arial" w:hAnsi="Amasis MT Pro" w:cs="Arial"/>
            <w:color w:val="1155CC"/>
            <w:u w:val="single"/>
          </w:rPr>
          <w:t>https://www.marketsandmarkets.com</w:t>
        </w:r>
      </w:hyperlink>
    </w:p>
    <w:p w14:paraId="0AAF8ED7" w14:textId="77777777" w:rsidR="00620B9E" w:rsidRPr="008440CF" w:rsidRDefault="00620B9E" w:rsidP="00620B9E">
      <w:pPr>
        <w:spacing w:after="100"/>
        <w:rPr>
          <w:rFonts w:ascii="Amasis MT Pro" w:hAnsi="Amasis MT Pro"/>
        </w:rPr>
      </w:pPr>
      <w:r w:rsidRPr="008440CF">
        <w:rPr>
          <w:rFonts w:ascii="Amasis MT Pro" w:eastAsia="Arial" w:hAnsi="Amasis MT Pro" w:cs="Arial"/>
          <w:b/>
          <w:bCs/>
          <w:color w:val="1C1C1E"/>
        </w:rPr>
        <w:t xml:space="preserve">[R16] TechFundingNews, '$100M for Stanford Spinout Simile: AI That Simulates Human Decisions.' </w:t>
      </w:r>
      <w:hyperlink r:id="rId27" w:history="1">
        <w:r w:rsidRPr="008440CF">
          <w:rPr>
            <w:rFonts w:ascii="Amasis MT Pro" w:eastAsia="Arial" w:hAnsi="Amasis MT Pro" w:cs="Arial"/>
            <w:color w:val="1155CC"/>
            <w:u w:val="single"/>
          </w:rPr>
          <w:t>https://techfundingnews.com/100m-for-stanford-spinout-simile-ai-that-simulates-human-decisions/</w:t>
        </w:r>
      </w:hyperlink>
    </w:p>
    <w:p w14:paraId="0C0783E8" w14:textId="77777777" w:rsidR="00620B9E" w:rsidRPr="008440CF" w:rsidRDefault="00620B9E" w:rsidP="00620B9E">
      <w:pPr>
        <w:spacing w:after="100"/>
        <w:rPr>
          <w:rFonts w:ascii="Amasis MT Pro" w:hAnsi="Amasis MT Pro"/>
        </w:rPr>
      </w:pPr>
      <w:r w:rsidRPr="008440CF">
        <w:rPr>
          <w:rFonts w:ascii="Amasis MT Pro" w:eastAsia="Arial" w:hAnsi="Amasis MT Pro" w:cs="Arial"/>
          <w:b/>
          <w:bCs/>
          <w:color w:val="1C1C1E"/>
        </w:rPr>
        <w:t xml:space="preserve">[R17] Electronic Frontier Foundation, 'Why Getting Paid for Your Data Is a Bad Deal.' </w:t>
      </w:r>
      <w:hyperlink r:id="rId28" w:history="1">
        <w:r w:rsidRPr="008440CF">
          <w:rPr>
            <w:rFonts w:ascii="Amasis MT Pro" w:eastAsia="Arial" w:hAnsi="Amasis MT Pro" w:cs="Arial"/>
            <w:color w:val="1155CC"/>
            <w:u w:val="single"/>
          </w:rPr>
          <w:t>https://www.eff.org/deeplinks/2020/10/why-getting-paid-your-data-bad-deal</w:t>
        </w:r>
      </w:hyperlink>
    </w:p>
    <w:p w14:paraId="175C1ECB" w14:textId="77777777" w:rsidR="00620B9E" w:rsidRPr="008440CF" w:rsidRDefault="00620B9E" w:rsidP="00620B9E">
      <w:pPr>
        <w:spacing w:after="100"/>
        <w:rPr>
          <w:rFonts w:ascii="Amasis MT Pro" w:hAnsi="Amasis MT Pro"/>
        </w:rPr>
      </w:pPr>
      <w:r w:rsidRPr="008440CF">
        <w:rPr>
          <w:rFonts w:ascii="Amasis MT Pro" w:eastAsia="Arial" w:hAnsi="Amasis MT Pro" w:cs="Arial"/>
          <w:b/>
          <w:bCs/>
          <w:color w:val="1C1C1E"/>
        </w:rPr>
        <w:t xml:space="preserve">[R18] Chen, Andrew, 'The Cold Start Problem.' Andreessen Horowitz / HarperBusiness, 2021. </w:t>
      </w:r>
      <w:hyperlink r:id="rId29" w:history="1">
        <w:r w:rsidRPr="008440CF">
          <w:rPr>
            <w:rFonts w:ascii="Amasis MT Pro" w:eastAsia="Arial" w:hAnsi="Amasis MT Pro" w:cs="Arial"/>
            <w:color w:val="1155CC"/>
            <w:u w:val="single"/>
          </w:rPr>
          <w:t>https://a16z.com/books/the-cold-start-problem/</w:t>
        </w:r>
      </w:hyperlink>
    </w:p>
    <w:p w14:paraId="44161E79" w14:textId="77777777" w:rsidR="00620B9E" w:rsidRPr="008440CF" w:rsidRDefault="00620B9E" w:rsidP="00620B9E">
      <w:pPr>
        <w:spacing w:after="100"/>
        <w:rPr>
          <w:rFonts w:ascii="Amasis MT Pro" w:hAnsi="Amasis MT Pro"/>
        </w:rPr>
      </w:pPr>
      <w:r w:rsidRPr="008440CF">
        <w:rPr>
          <w:rFonts w:ascii="Amasis MT Pro" w:eastAsia="Arial" w:hAnsi="Amasis MT Pro" w:cs="Arial"/>
          <w:b/>
          <w:bCs/>
          <w:color w:val="1C1C1E"/>
        </w:rPr>
        <w:t xml:space="preserve">[R19] Open Scout, 'The Marketplace Cold Start: How Airbnb Hacked Craigslist.' </w:t>
      </w:r>
      <w:hyperlink r:id="rId30" w:history="1">
        <w:r w:rsidRPr="008440CF">
          <w:rPr>
            <w:rFonts w:ascii="Amasis MT Pro" w:eastAsia="Arial" w:hAnsi="Amasis MT Pro" w:cs="Arial"/>
            <w:color w:val="1155CC"/>
            <w:u w:val="single"/>
          </w:rPr>
          <w:t>https://openscout.substack.com/p/the-marketplace-cold-start</w:t>
        </w:r>
      </w:hyperlink>
    </w:p>
    <w:p w14:paraId="1F9BE1CC" w14:textId="77777777" w:rsidR="00620B9E" w:rsidRPr="008440CF" w:rsidRDefault="00620B9E" w:rsidP="00620B9E">
      <w:pPr>
        <w:spacing w:after="100"/>
        <w:rPr>
          <w:rFonts w:ascii="Amasis MT Pro" w:hAnsi="Amasis MT Pro"/>
        </w:rPr>
      </w:pPr>
      <w:r w:rsidRPr="008440CF">
        <w:rPr>
          <w:rFonts w:ascii="Amasis MT Pro" w:eastAsia="Arial" w:hAnsi="Amasis MT Pro" w:cs="Arial"/>
          <w:b/>
          <w:bCs/>
          <w:color w:val="1C1C1E"/>
        </w:rPr>
        <w:lastRenderedPageBreak/>
        <w:t xml:space="preserve">[R20] Medium (Balci), 'How Uber Solved the Cold Start Problem.' </w:t>
      </w:r>
      <w:hyperlink r:id="rId31" w:history="1">
        <w:r w:rsidRPr="008440CF">
          <w:rPr>
            <w:rFonts w:ascii="Amasis MT Pro" w:eastAsia="Arial" w:hAnsi="Amasis MT Pro" w:cs="Arial"/>
            <w:color w:val="1155CC"/>
            <w:u w:val="single"/>
          </w:rPr>
          <w:t>https://medium.com/@cagdasbalci0/how-uber-solved-the-cold-start-problem-a-masterclass-in-network-effects-5315d2292166</w:t>
        </w:r>
      </w:hyperlink>
    </w:p>
    <w:p w14:paraId="3A3220C8" w14:textId="77777777" w:rsidR="00620B9E" w:rsidRPr="008440CF" w:rsidRDefault="00620B9E" w:rsidP="00620B9E">
      <w:pPr>
        <w:spacing w:after="100"/>
        <w:rPr>
          <w:rFonts w:ascii="Amasis MT Pro" w:hAnsi="Amasis MT Pro"/>
        </w:rPr>
      </w:pPr>
      <w:r w:rsidRPr="008440CF">
        <w:rPr>
          <w:rFonts w:ascii="Amasis MT Pro" w:eastAsia="Arial" w:hAnsi="Amasis MT Pro" w:cs="Arial"/>
          <w:b/>
          <w:bCs/>
          <w:color w:val="1C1C1E"/>
        </w:rPr>
        <w:t xml:space="preserve">[R21] Entrepreneur, 'How to Overcome the Challenges and Reap the Benefits of Two-Sided Marketplaces.' </w:t>
      </w:r>
      <w:hyperlink r:id="rId32" w:history="1">
        <w:r w:rsidRPr="008440CF">
          <w:rPr>
            <w:rFonts w:ascii="Amasis MT Pro" w:eastAsia="Arial" w:hAnsi="Amasis MT Pro" w:cs="Arial"/>
            <w:color w:val="1155CC"/>
            <w:u w:val="single"/>
          </w:rPr>
          <w:t>https://www.entrepreneur.com/growing-a-business/how-to-overcome-the-challenges-and-reap-the-benefits-of/334975</w:t>
        </w:r>
      </w:hyperlink>
    </w:p>
    <w:p w14:paraId="3020720C" w14:textId="77777777" w:rsidR="00620B9E" w:rsidRPr="008440CF" w:rsidRDefault="00620B9E" w:rsidP="00620B9E">
      <w:pPr>
        <w:spacing w:after="100"/>
        <w:rPr>
          <w:rFonts w:ascii="Amasis MT Pro" w:hAnsi="Amasis MT Pro"/>
        </w:rPr>
      </w:pPr>
      <w:r w:rsidRPr="008440CF">
        <w:rPr>
          <w:rFonts w:ascii="Amasis MT Pro" w:eastAsia="Arial" w:hAnsi="Amasis MT Pro" w:cs="Arial"/>
          <w:b/>
          <w:bCs/>
          <w:color w:val="1C1C1E"/>
        </w:rPr>
        <w:t xml:space="preserve">[R22] FORKOFF, 'Two-Sided Marketplace Cold Start: 2026 Playbook.' </w:t>
      </w:r>
      <w:hyperlink r:id="rId33" w:history="1">
        <w:r w:rsidRPr="008440CF">
          <w:rPr>
            <w:rFonts w:ascii="Amasis MT Pro" w:eastAsia="Arial" w:hAnsi="Amasis MT Pro" w:cs="Arial"/>
            <w:color w:val="1155CC"/>
            <w:u w:val="single"/>
          </w:rPr>
          <w:t>https://forkoff.xyz/blog/founder-growth/two-sided-marketplace-cold-start-2026</w:t>
        </w:r>
      </w:hyperlink>
    </w:p>
    <w:p w14:paraId="67C40495" w14:textId="77777777" w:rsidR="00620B9E" w:rsidRPr="008440CF" w:rsidRDefault="00620B9E" w:rsidP="00620B9E">
      <w:pPr>
        <w:spacing w:after="100"/>
        <w:rPr>
          <w:rFonts w:ascii="Amasis MT Pro" w:hAnsi="Amasis MT Pro"/>
        </w:rPr>
      </w:pPr>
      <w:r w:rsidRPr="008440CF">
        <w:rPr>
          <w:rFonts w:ascii="Amasis MT Pro" w:eastAsia="Arial" w:hAnsi="Amasis MT Pro" w:cs="Arial"/>
          <w:b/>
          <w:bCs/>
          <w:color w:val="1C1C1E"/>
        </w:rPr>
        <w:t xml:space="preserve">[R23] GrowthHackers, 'Airbnb: The Growth Story You Didn't Know.' </w:t>
      </w:r>
      <w:hyperlink r:id="rId34" w:history="1">
        <w:r w:rsidRPr="008440CF">
          <w:rPr>
            <w:rFonts w:ascii="Amasis MT Pro" w:eastAsia="Arial" w:hAnsi="Amasis MT Pro" w:cs="Arial"/>
            <w:color w:val="1155CC"/>
            <w:u w:val="single"/>
          </w:rPr>
          <w:t>https://growthhackers.com/growth-studies/airbnb/</w:t>
        </w:r>
      </w:hyperlink>
    </w:p>
    <w:p w14:paraId="65F0BA3E" w14:textId="77777777" w:rsidR="00620B9E" w:rsidRPr="008440CF" w:rsidRDefault="00620B9E" w:rsidP="00620B9E">
      <w:pPr>
        <w:spacing w:after="100"/>
        <w:rPr>
          <w:rFonts w:ascii="Amasis MT Pro" w:hAnsi="Amasis MT Pro"/>
        </w:rPr>
      </w:pPr>
      <w:r w:rsidRPr="008440CF">
        <w:rPr>
          <w:rFonts w:ascii="Amasis MT Pro" w:eastAsia="Arial" w:hAnsi="Amasis MT Pro" w:cs="Arial"/>
          <w:b/>
          <w:bCs/>
          <w:color w:val="1C1C1E"/>
        </w:rPr>
        <w:t xml:space="preserve">[R24] Kiteworks, 'GDPR Fines Hit EUR 7.1 Billion: Data Privacy Enforcement Trends in 2026.' </w:t>
      </w:r>
      <w:hyperlink r:id="rId35" w:history="1">
        <w:r w:rsidRPr="008440CF">
          <w:rPr>
            <w:rFonts w:ascii="Amasis MT Pro" w:eastAsia="Arial" w:hAnsi="Amasis MT Pro" w:cs="Arial"/>
            <w:color w:val="1155CC"/>
            <w:u w:val="single"/>
          </w:rPr>
          <w:t>https://www.kiteworks.com/gdpr-compliance/gdpr-fines-data-privacy-enforcement-2026/</w:t>
        </w:r>
      </w:hyperlink>
    </w:p>
    <w:p w14:paraId="5F25CEDD" w14:textId="77777777" w:rsidR="00620B9E" w:rsidRPr="008440CF" w:rsidRDefault="00620B9E" w:rsidP="00620B9E">
      <w:pPr>
        <w:spacing w:after="100"/>
        <w:rPr>
          <w:rFonts w:ascii="Amasis MT Pro" w:hAnsi="Amasis MT Pro"/>
        </w:rPr>
      </w:pPr>
      <w:r w:rsidRPr="008440CF">
        <w:rPr>
          <w:rFonts w:ascii="Amasis MT Pro" w:eastAsia="Arial" w:hAnsi="Amasis MT Pro" w:cs="Arial"/>
          <w:b/>
          <w:bCs/>
          <w:color w:val="1C1C1E"/>
        </w:rPr>
        <w:t xml:space="preserve">[R25] Skan.AI, 'How Enterprise Digital Twins Elevate Efficiency and ROI.' </w:t>
      </w:r>
      <w:hyperlink r:id="rId36" w:history="1">
        <w:r w:rsidRPr="008440CF">
          <w:rPr>
            <w:rFonts w:ascii="Amasis MT Pro" w:eastAsia="Arial" w:hAnsi="Amasis MT Pro" w:cs="Arial"/>
            <w:color w:val="1155CC"/>
            <w:u w:val="single"/>
          </w:rPr>
          <w:t>https://www.skan.ai/blogs/redefining-success-how-digital-twins-elevate-enterprise-business-metrics</w:t>
        </w:r>
      </w:hyperlink>
    </w:p>
    <w:p w14:paraId="487DD52B" w14:textId="77777777" w:rsidR="00620B9E" w:rsidRPr="008440CF" w:rsidRDefault="00620B9E" w:rsidP="00620B9E">
      <w:pPr>
        <w:spacing w:after="100"/>
        <w:rPr>
          <w:rFonts w:ascii="Amasis MT Pro" w:hAnsi="Amasis MT Pro"/>
        </w:rPr>
      </w:pPr>
      <w:r w:rsidRPr="008440CF">
        <w:rPr>
          <w:rFonts w:ascii="Amasis MT Pro" w:eastAsia="Arial" w:hAnsi="Amasis MT Pro" w:cs="Arial"/>
          <w:b/>
          <w:bCs/>
          <w:color w:val="1C1C1E"/>
        </w:rPr>
        <w:t xml:space="preserve">[R26] CookieYes, '60 Data Privacy Statistics and What They Mean for Your Business in 2026.' </w:t>
      </w:r>
      <w:hyperlink r:id="rId37" w:history="1">
        <w:r w:rsidRPr="008440CF">
          <w:rPr>
            <w:rFonts w:ascii="Amasis MT Pro" w:eastAsia="Arial" w:hAnsi="Amasis MT Pro" w:cs="Arial"/>
            <w:color w:val="1155CC"/>
            <w:u w:val="single"/>
          </w:rPr>
          <w:t>https://www.cookieyes.com/blog/data-privacy-statistics/</w:t>
        </w:r>
      </w:hyperlink>
    </w:p>
    <w:p w14:paraId="1E67A725" w14:textId="77777777" w:rsidR="00620B9E" w:rsidRPr="008440CF" w:rsidRDefault="00620B9E" w:rsidP="00620B9E">
      <w:pPr>
        <w:spacing w:after="100"/>
        <w:rPr>
          <w:rFonts w:ascii="Amasis MT Pro" w:hAnsi="Amasis MT Pro"/>
        </w:rPr>
      </w:pPr>
      <w:r w:rsidRPr="008440CF">
        <w:rPr>
          <w:rFonts w:ascii="Amasis MT Pro" w:eastAsia="Arial" w:hAnsi="Amasis MT Pro" w:cs="Arial"/>
          <w:b/>
          <w:bCs/>
          <w:color w:val="1C1C1E"/>
        </w:rPr>
        <w:t xml:space="preserve">[R27] flowres, 'How Digital Diaries Deliver Authentic Consumer Insights.' </w:t>
      </w:r>
      <w:hyperlink r:id="rId38" w:history="1">
        <w:r w:rsidRPr="008440CF">
          <w:rPr>
            <w:rFonts w:ascii="Amasis MT Pro" w:eastAsia="Arial" w:hAnsi="Amasis MT Pro" w:cs="Arial"/>
            <w:color w:val="1155CC"/>
            <w:u w:val="single"/>
          </w:rPr>
          <w:t>https://flowres.io/blog/Digital-Diaries</w:t>
        </w:r>
      </w:hyperlink>
    </w:p>
    <w:p w14:paraId="0983E5BA" w14:textId="77777777" w:rsidR="00620B9E" w:rsidRPr="008440CF" w:rsidRDefault="00620B9E" w:rsidP="00620B9E">
      <w:pPr>
        <w:spacing w:after="100"/>
        <w:rPr>
          <w:rFonts w:ascii="Amasis MT Pro" w:hAnsi="Amasis MT Pro"/>
        </w:rPr>
      </w:pPr>
      <w:r w:rsidRPr="008440CF">
        <w:rPr>
          <w:rFonts w:ascii="Amasis MT Pro" w:eastAsia="Arial" w:hAnsi="Amasis MT Pro" w:cs="Arial"/>
          <w:b/>
          <w:bCs/>
          <w:color w:val="1C1C1E"/>
        </w:rPr>
        <w:t xml:space="preserve">[R28] McKinsey, 'What is digital-twin technology?' </w:t>
      </w:r>
      <w:hyperlink r:id="rId39" w:history="1">
        <w:r w:rsidRPr="008440CF">
          <w:rPr>
            <w:rFonts w:ascii="Amasis MT Pro" w:eastAsia="Arial" w:hAnsi="Amasis MT Pro" w:cs="Arial"/>
            <w:color w:val="1155CC"/>
            <w:u w:val="single"/>
          </w:rPr>
          <w:t>https://www.mckinsey.com/featured-insights/mckinsey-explainers/what-is-digital-twin-technology</w:t>
        </w:r>
      </w:hyperlink>
    </w:p>
    <w:p w14:paraId="2410B54A" w14:textId="77777777" w:rsidR="00620B9E" w:rsidRPr="008440CF" w:rsidRDefault="00620B9E" w:rsidP="00620B9E">
      <w:pPr>
        <w:spacing w:after="80"/>
        <w:rPr>
          <w:rFonts w:ascii="Amasis MT Pro" w:hAnsi="Amasis MT Pro"/>
        </w:rPr>
      </w:pPr>
    </w:p>
    <w:p w14:paraId="30078B82" w14:textId="4A9F93B6" w:rsidR="00620B9E" w:rsidRPr="008440CF" w:rsidRDefault="00E84667" w:rsidP="00620B9E">
      <w:pPr>
        <w:pBdr>
          <w:top w:val="single" w:sz="4" w:space="0" w:color="CCCCCC"/>
        </w:pBdr>
        <w:spacing w:before="400"/>
        <w:jc w:val="center"/>
        <w:rPr>
          <w:rFonts w:ascii="Amasis MT Pro" w:hAnsi="Amasis MT Pro"/>
        </w:rPr>
      </w:pPr>
      <w:r w:rsidRPr="008440CF">
        <w:rPr>
          <w:rFonts w:ascii="Amasis MT Pro" w:eastAsia="Arial" w:hAnsi="Amasis MT Pro" w:cs="Arial"/>
          <w:color w:val="4A4A4A"/>
        </w:rPr>
        <w:t>Twinlytics | Fraunhofer</w:t>
      </w:r>
      <w:r w:rsidR="00620B9E" w:rsidRPr="008440CF">
        <w:rPr>
          <w:rFonts w:ascii="Amasis MT Pro" w:eastAsia="Arial" w:hAnsi="Amasis MT Pro" w:cs="Arial"/>
          <w:color w:val="4A4A4A"/>
        </w:rPr>
        <w:t xml:space="preserve"> IAO, Stuttgart, </w:t>
      </w:r>
      <w:r w:rsidRPr="008440CF">
        <w:rPr>
          <w:rFonts w:ascii="Amasis MT Pro" w:eastAsia="Arial" w:hAnsi="Amasis MT Pro" w:cs="Arial"/>
          <w:color w:val="4A4A4A"/>
        </w:rPr>
        <w:t xml:space="preserve">Germany </w:t>
      </w:r>
      <w:r w:rsidR="00FC1F99" w:rsidRPr="008440CF">
        <w:rPr>
          <w:rFonts w:ascii="Amasis MT Pro" w:eastAsia="Arial" w:hAnsi="Amasis MT Pro" w:cs="Arial"/>
          <w:color w:val="4A4A4A"/>
        </w:rPr>
        <w:t>| May</w:t>
      </w:r>
      <w:r w:rsidR="00620B9E" w:rsidRPr="008440CF">
        <w:rPr>
          <w:rFonts w:ascii="Amasis MT Pro" w:eastAsia="Arial" w:hAnsi="Amasis MT Pro" w:cs="Arial"/>
          <w:color w:val="4A4A4A"/>
        </w:rPr>
        <w:t xml:space="preserve"> 2026</w:t>
      </w:r>
    </w:p>
    <w:p w14:paraId="038E7E84" w14:textId="2AF254B5" w:rsidR="00F315DA" w:rsidRPr="008440CF" w:rsidRDefault="00F315DA" w:rsidP="007104DD">
      <w:pPr>
        <w:rPr>
          <w:rFonts w:ascii="Amasis MT Pro" w:hAnsi="Amasis MT Pro"/>
        </w:rPr>
      </w:pPr>
    </w:p>
    <w:sectPr w:rsidR="00F315DA" w:rsidRPr="008440CF" w:rsidSect="00620B9E">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ini, Bhupender Kumar" w:date="2026-06-15T15:41:00Z" w:initials="BS">
    <w:p w14:paraId="7EE0E1FB" w14:textId="77777777" w:rsidR="00842A4D" w:rsidRDefault="00842A4D" w:rsidP="00842A4D">
      <w:pPr>
        <w:pStyle w:val="CommentText"/>
      </w:pPr>
      <w:r>
        <w:rPr>
          <w:rStyle w:val="CommentReference"/>
        </w:rPr>
        <w:annotationRef/>
      </w:r>
      <w:r>
        <w:rPr>
          <w:lang w:val="en-IN"/>
        </w:rPr>
        <w:t>Need to calculate this</w:t>
      </w:r>
    </w:p>
  </w:comment>
  <w:comment w:id="1" w:author="Saini, Bhupender Kumar" w:date="2026-06-18T21:20:00Z" w:initials="BS">
    <w:p w14:paraId="646AA51F" w14:textId="77777777" w:rsidR="00363236" w:rsidRDefault="00363236" w:rsidP="00363236">
      <w:pPr>
        <w:pStyle w:val="CommentText"/>
      </w:pPr>
      <w:r>
        <w:rPr>
          <w:rStyle w:val="CommentReference"/>
        </w:rPr>
        <w:annotationRef/>
      </w:r>
      <w:r>
        <w:rPr>
          <w:lang w:val="en-IN"/>
        </w:rPr>
        <w:t xml:space="preserve">Need to calculate and fix it </w:t>
      </w:r>
    </w:p>
  </w:comment>
  <w:comment w:id="2" w:author="Saini, Bhupender Kumar" w:date="2026-06-15T15:51:00Z" w:initials="BS">
    <w:p w14:paraId="66DB3C77" w14:textId="77777777" w:rsidR="00A4621E" w:rsidRDefault="00A4621E" w:rsidP="00A4621E">
      <w:pPr>
        <w:pStyle w:val="CommentText"/>
      </w:pPr>
      <w:r>
        <w:rPr>
          <w:rStyle w:val="CommentReference"/>
        </w:rPr>
        <w:annotationRef/>
      </w:r>
      <w:r>
        <w:rPr>
          <w:lang w:val="en-IN"/>
        </w:rPr>
        <w:t>Need to calculate it</w:t>
      </w:r>
    </w:p>
  </w:comment>
  <w:comment w:id="3" w:author="Saini, Bhupender Kumar" w:date="2026-06-15T15:50:00Z" w:initials="BS">
    <w:p w14:paraId="0B5EFD45" w14:textId="77777777" w:rsidR="007A56D6" w:rsidRDefault="007A56D6" w:rsidP="007A56D6">
      <w:pPr>
        <w:pStyle w:val="CommentText"/>
      </w:pPr>
      <w:r>
        <w:rPr>
          <w:rStyle w:val="CommentReference"/>
        </w:rPr>
        <w:annotationRef/>
      </w:r>
      <w:r>
        <w:rPr>
          <w:lang w:val="en-IN"/>
        </w:rPr>
        <w:t xml:space="preserve">Need to update this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E0E1FB" w15:done="0"/>
  <w15:commentEx w15:paraId="646AA51F" w15:done="0"/>
  <w15:commentEx w15:paraId="66DB3C77" w15:done="0"/>
  <w15:commentEx w15:paraId="0B5EFD4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905172" w16cex:dateUtc="2026-06-15T13:41:00Z"/>
  <w16cex:commentExtensible w16cex:durableId="0301036D" w16cex:dateUtc="2026-06-18T19:20:00Z"/>
  <w16cex:commentExtensible w16cex:durableId="07EEE36B" w16cex:dateUtc="2026-06-15T13:51:00Z"/>
  <w16cex:commentExtensible w16cex:durableId="0CFEF9F7" w16cex:dateUtc="2026-06-15T13: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E0E1FB" w16cid:durableId="10905172"/>
  <w16cid:commentId w16cid:paraId="646AA51F" w16cid:durableId="0301036D"/>
  <w16cid:commentId w16cid:paraId="66DB3C77" w16cid:durableId="07EEE36B"/>
  <w16cid:commentId w16cid:paraId="0B5EFD45" w16cid:durableId="0CFEF9F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masis MT Pro">
    <w:charset w:val="00"/>
    <w:family w:val="roman"/>
    <w:pitch w:val="variable"/>
    <w:sig w:usb0="A00000AF" w:usb1="4000205B"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5706A"/>
    <w:multiLevelType w:val="hybridMultilevel"/>
    <w:tmpl w:val="60565F6A"/>
    <w:lvl w:ilvl="0" w:tplc="D28E276E">
      <w:start w:val="1"/>
      <w:numFmt w:val="bullet"/>
      <w:lvlText w:val="●"/>
      <w:lvlJc w:val="left"/>
      <w:pPr>
        <w:ind w:left="720" w:hanging="360"/>
      </w:pPr>
    </w:lvl>
    <w:lvl w:ilvl="1" w:tplc="E9420D02">
      <w:start w:val="1"/>
      <w:numFmt w:val="bullet"/>
      <w:lvlText w:val="○"/>
      <w:lvlJc w:val="left"/>
      <w:pPr>
        <w:ind w:left="1440" w:hanging="360"/>
      </w:pPr>
    </w:lvl>
    <w:lvl w:ilvl="2" w:tplc="852C51B6">
      <w:start w:val="1"/>
      <w:numFmt w:val="bullet"/>
      <w:lvlText w:val="■"/>
      <w:lvlJc w:val="left"/>
      <w:pPr>
        <w:ind w:left="2160" w:hanging="360"/>
      </w:pPr>
    </w:lvl>
    <w:lvl w:ilvl="3" w:tplc="28E4043A">
      <w:start w:val="1"/>
      <w:numFmt w:val="bullet"/>
      <w:lvlText w:val="●"/>
      <w:lvlJc w:val="left"/>
      <w:pPr>
        <w:ind w:left="2880" w:hanging="360"/>
      </w:pPr>
    </w:lvl>
    <w:lvl w:ilvl="4" w:tplc="9F36505C">
      <w:start w:val="1"/>
      <w:numFmt w:val="bullet"/>
      <w:lvlText w:val="○"/>
      <w:lvlJc w:val="left"/>
      <w:pPr>
        <w:ind w:left="3600" w:hanging="360"/>
      </w:pPr>
    </w:lvl>
    <w:lvl w:ilvl="5" w:tplc="5B509B86">
      <w:start w:val="1"/>
      <w:numFmt w:val="bullet"/>
      <w:lvlText w:val="■"/>
      <w:lvlJc w:val="left"/>
      <w:pPr>
        <w:ind w:left="4320" w:hanging="360"/>
      </w:pPr>
    </w:lvl>
    <w:lvl w:ilvl="6" w:tplc="144C2478">
      <w:start w:val="1"/>
      <w:numFmt w:val="bullet"/>
      <w:lvlText w:val="●"/>
      <w:lvlJc w:val="left"/>
      <w:pPr>
        <w:ind w:left="5040" w:hanging="360"/>
      </w:pPr>
    </w:lvl>
    <w:lvl w:ilvl="7" w:tplc="72C44CBC">
      <w:start w:val="1"/>
      <w:numFmt w:val="bullet"/>
      <w:lvlText w:val="●"/>
      <w:lvlJc w:val="left"/>
      <w:pPr>
        <w:ind w:left="5760" w:hanging="360"/>
      </w:pPr>
    </w:lvl>
    <w:lvl w:ilvl="8" w:tplc="49803CBE">
      <w:start w:val="1"/>
      <w:numFmt w:val="bullet"/>
      <w:lvlText w:val="●"/>
      <w:lvlJc w:val="left"/>
      <w:pPr>
        <w:ind w:left="6480" w:hanging="360"/>
      </w:pPr>
    </w:lvl>
  </w:abstractNum>
  <w:abstractNum w:abstractNumId="1" w15:restartNumberingAfterBreak="0">
    <w:nsid w:val="7C9B14D7"/>
    <w:multiLevelType w:val="hybridMultilevel"/>
    <w:tmpl w:val="6F1622DC"/>
    <w:lvl w:ilvl="0" w:tplc="CC020A50">
      <w:start w:val="1"/>
      <w:numFmt w:val="bullet"/>
      <w:lvlText w:val="•"/>
      <w:lvlJc w:val="left"/>
      <w:pPr>
        <w:ind w:left="720" w:hanging="360"/>
      </w:pPr>
    </w:lvl>
    <w:lvl w:ilvl="1" w:tplc="01F0D602">
      <w:start w:val="1"/>
      <w:numFmt w:val="bullet"/>
      <w:lvlText w:val="◦"/>
      <w:lvlJc w:val="left"/>
      <w:pPr>
        <w:ind w:left="1080" w:hanging="360"/>
      </w:pPr>
    </w:lvl>
    <w:lvl w:ilvl="2" w:tplc="8C088DD8">
      <w:numFmt w:val="decimal"/>
      <w:lvlText w:val=""/>
      <w:lvlJc w:val="left"/>
    </w:lvl>
    <w:lvl w:ilvl="3" w:tplc="21181ACE">
      <w:numFmt w:val="decimal"/>
      <w:lvlText w:val=""/>
      <w:lvlJc w:val="left"/>
    </w:lvl>
    <w:lvl w:ilvl="4" w:tplc="B4967646">
      <w:numFmt w:val="decimal"/>
      <w:lvlText w:val=""/>
      <w:lvlJc w:val="left"/>
    </w:lvl>
    <w:lvl w:ilvl="5" w:tplc="BBB6A82A">
      <w:numFmt w:val="decimal"/>
      <w:lvlText w:val=""/>
      <w:lvlJc w:val="left"/>
    </w:lvl>
    <w:lvl w:ilvl="6" w:tplc="F9FA9BE4">
      <w:numFmt w:val="decimal"/>
      <w:lvlText w:val=""/>
      <w:lvlJc w:val="left"/>
    </w:lvl>
    <w:lvl w:ilvl="7" w:tplc="117AF2C0">
      <w:numFmt w:val="decimal"/>
      <w:lvlText w:val=""/>
      <w:lvlJc w:val="left"/>
    </w:lvl>
    <w:lvl w:ilvl="8" w:tplc="5772142E">
      <w:numFmt w:val="decimal"/>
      <w:lvlText w:val=""/>
      <w:lvlJc w:val="left"/>
    </w:lvl>
  </w:abstractNum>
  <w:num w:numId="1" w16cid:durableId="396321557">
    <w:abstractNumId w:val="0"/>
    <w:lvlOverride w:ilvl="0">
      <w:startOverride w:val="1"/>
    </w:lvlOverride>
  </w:num>
  <w:num w:numId="2" w16cid:durableId="1785803227">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ini, Bhupender Kumar">
    <w15:presenceInfo w15:providerId="AD" w15:userId="S::bhupender-kumar.saini@iao.fraunhofer.de::7d4daf4c-459c-4d67-8375-d1d7729108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5DA"/>
    <w:rsid w:val="00035C30"/>
    <w:rsid w:val="00274DF7"/>
    <w:rsid w:val="002F1348"/>
    <w:rsid w:val="00350524"/>
    <w:rsid w:val="00363236"/>
    <w:rsid w:val="00490075"/>
    <w:rsid w:val="004C1F7D"/>
    <w:rsid w:val="00620B9E"/>
    <w:rsid w:val="00640944"/>
    <w:rsid w:val="006A1D49"/>
    <w:rsid w:val="007104DD"/>
    <w:rsid w:val="007A56D6"/>
    <w:rsid w:val="008252DD"/>
    <w:rsid w:val="00833D94"/>
    <w:rsid w:val="00840D42"/>
    <w:rsid w:val="00842A4D"/>
    <w:rsid w:val="008440CF"/>
    <w:rsid w:val="00851059"/>
    <w:rsid w:val="00856A17"/>
    <w:rsid w:val="008C2BC6"/>
    <w:rsid w:val="00903199"/>
    <w:rsid w:val="00964F4A"/>
    <w:rsid w:val="00987352"/>
    <w:rsid w:val="00A4621E"/>
    <w:rsid w:val="00A85894"/>
    <w:rsid w:val="00AA0D0B"/>
    <w:rsid w:val="00AC1547"/>
    <w:rsid w:val="00B64A56"/>
    <w:rsid w:val="00B91014"/>
    <w:rsid w:val="00CC6AAB"/>
    <w:rsid w:val="00E051E1"/>
    <w:rsid w:val="00E05D05"/>
    <w:rsid w:val="00E806B4"/>
    <w:rsid w:val="00E84667"/>
    <w:rsid w:val="00EB1439"/>
    <w:rsid w:val="00F315DA"/>
    <w:rsid w:val="00FC1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E7C5E"/>
  <w15:docId w15:val="{B64F3975-3B43-4316-A796-80CE13D2D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014"/>
  </w:style>
  <w:style w:type="paragraph" w:styleId="Heading1">
    <w:name w:val="heading 1"/>
    <w:basedOn w:val="Normal"/>
    <w:next w:val="Normal"/>
    <w:link w:val="Heading1Char"/>
    <w:uiPriority w:val="9"/>
    <w:qFormat/>
    <w:rsid w:val="00B91014"/>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B91014"/>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B91014"/>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semiHidden/>
    <w:unhideWhenUsed/>
    <w:qFormat/>
    <w:rsid w:val="00B91014"/>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B91014"/>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B91014"/>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B91014"/>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B91014"/>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B91014"/>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91014"/>
    <w:pPr>
      <w:spacing w:after="0" w:line="240" w:lineRule="auto"/>
      <w:contextualSpacing/>
    </w:pPr>
    <w:rPr>
      <w:rFonts w:asciiTheme="majorHAnsi" w:eastAsiaTheme="majorEastAsia" w:hAnsiTheme="majorHAnsi" w:cstheme="majorBidi"/>
      <w:color w:val="156082" w:themeColor="accent1"/>
      <w:spacing w:val="-10"/>
      <w:sz w:val="56"/>
      <w:szCs w:val="56"/>
    </w:rPr>
  </w:style>
  <w:style w:type="paragraph" w:customStyle="1" w:styleId="Strong1">
    <w:name w:val="Strong1"/>
    <w:rPr>
      <w:b/>
      <w:bCs/>
    </w:rPr>
  </w:style>
  <w:style w:type="paragraph" w:styleId="ListParagraph">
    <w:name w:val="List Paragraph"/>
    <w:uiPriority w:val="34"/>
    <w:qFormat/>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B91014"/>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B91014"/>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B91014"/>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rsid w:val="00B91014"/>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B91014"/>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B91014"/>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B91014"/>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B91014"/>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B91014"/>
    <w:rPr>
      <w:rFonts w:asciiTheme="majorHAnsi" w:eastAsiaTheme="majorEastAsia" w:hAnsiTheme="majorHAnsi" w:cstheme="majorBidi"/>
      <w:b/>
      <w:bCs/>
      <w:i/>
      <w:iCs/>
      <w:color w:val="0E2841" w:themeColor="text2"/>
    </w:rPr>
  </w:style>
  <w:style w:type="paragraph" w:styleId="Caption">
    <w:name w:val="caption"/>
    <w:basedOn w:val="Normal"/>
    <w:next w:val="Normal"/>
    <w:uiPriority w:val="35"/>
    <w:semiHidden/>
    <w:unhideWhenUsed/>
    <w:qFormat/>
    <w:rsid w:val="00B91014"/>
    <w:pPr>
      <w:spacing w:line="240" w:lineRule="auto"/>
    </w:pPr>
    <w:rPr>
      <w:b/>
      <w:bCs/>
      <w:smallCaps/>
      <w:color w:val="595959" w:themeColor="text1" w:themeTint="A6"/>
      <w:spacing w:val="6"/>
    </w:rPr>
  </w:style>
  <w:style w:type="character" w:customStyle="1" w:styleId="TitleChar">
    <w:name w:val="Title Char"/>
    <w:basedOn w:val="DefaultParagraphFont"/>
    <w:link w:val="Title"/>
    <w:uiPriority w:val="10"/>
    <w:rsid w:val="00B91014"/>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B91014"/>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B91014"/>
    <w:rPr>
      <w:rFonts w:asciiTheme="majorHAnsi" w:eastAsiaTheme="majorEastAsia" w:hAnsiTheme="majorHAnsi" w:cstheme="majorBidi"/>
      <w:sz w:val="24"/>
      <w:szCs w:val="24"/>
    </w:rPr>
  </w:style>
  <w:style w:type="character" w:styleId="Strong">
    <w:name w:val="Strong"/>
    <w:basedOn w:val="DefaultParagraphFont"/>
    <w:uiPriority w:val="22"/>
    <w:qFormat/>
    <w:rsid w:val="00B91014"/>
    <w:rPr>
      <w:b/>
      <w:bCs/>
    </w:rPr>
  </w:style>
  <w:style w:type="character" w:styleId="Emphasis">
    <w:name w:val="Emphasis"/>
    <w:basedOn w:val="DefaultParagraphFont"/>
    <w:uiPriority w:val="20"/>
    <w:qFormat/>
    <w:rsid w:val="00B91014"/>
    <w:rPr>
      <w:i/>
      <w:iCs/>
    </w:rPr>
  </w:style>
  <w:style w:type="paragraph" w:styleId="NoSpacing">
    <w:name w:val="No Spacing"/>
    <w:uiPriority w:val="1"/>
    <w:qFormat/>
    <w:rsid w:val="00B91014"/>
    <w:pPr>
      <w:spacing w:after="0" w:line="240" w:lineRule="auto"/>
    </w:pPr>
  </w:style>
  <w:style w:type="paragraph" w:styleId="Quote">
    <w:name w:val="Quote"/>
    <w:basedOn w:val="Normal"/>
    <w:next w:val="Normal"/>
    <w:link w:val="QuoteChar"/>
    <w:uiPriority w:val="29"/>
    <w:qFormat/>
    <w:rsid w:val="00B91014"/>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B91014"/>
    <w:rPr>
      <w:i/>
      <w:iCs/>
      <w:color w:val="404040" w:themeColor="text1" w:themeTint="BF"/>
    </w:rPr>
  </w:style>
  <w:style w:type="paragraph" w:styleId="IntenseQuote">
    <w:name w:val="Intense Quote"/>
    <w:basedOn w:val="Normal"/>
    <w:next w:val="Normal"/>
    <w:link w:val="IntenseQuoteChar"/>
    <w:uiPriority w:val="30"/>
    <w:qFormat/>
    <w:rsid w:val="00B91014"/>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B91014"/>
    <w:rPr>
      <w:rFonts w:asciiTheme="majorHAnsi" w:eastAsiaTheme="majorEastAsia" w:hAnsiTheme="majorHAnsi" w:cstheme="majorBidi"/>
      <w:color w:val="156082" w:themeColor="accent1"/>
      <w:sz w:val="28"/>
      <w:szCs w:val="28"/>
    </w:rPr>
  </w:style>
  <w:style w:type="character" w:styleId="SubtleEmphasis">
    <w:name w:val="Subtle Emphasis"/>
    <w:basedOn w:val="DefaultParagraphFont"/>
    <w:uiPriority w:val="19"/>
    <w:qFormat/>
    <w:rsid w:val="00B91014"/>
    <w:rPr>
      <w:i/>
      <w:iCs/>
      <w:color w:val="404040" w:themeColor="text1" w:themeTint="BF"/>
    </w:rPr>
  </w:style>
  <w:style w:type="character" w:styleId="IntenseEmphasis">
    <w:name w:val="Intense Emphasis"/>
    <w:basedOn w:val="DefaultParagraphFont"/>
    <w:uiPriority w:val="21"/>
    <w:qFormat/>
    <w:rsid w:val="00B91014"/>
    <w:rPr>
      <w:b/>
      <w:bCs/>
      <w:i/>
      <w:iCs/>
    </w:rPr>
  </w:style>
  <w:style w:type="character" w:styleId="SubtleReference">
    <w:name w:val="Subtle Reference"/>
    <w:basedOn w:val="DefaultParagraphFont"/>
    <w:uiPriority w:val="31"/>
    <w:qFormat/>
    <w:rsid w:val="00B91014"/>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B91014"/>
    <w:rPr>
      <w:b/>
      <w:bCs/>
      <w:smallCaps/>
      <w:spacing w:val="5"/>
      <w:u w:val="single"/>
    </w:rPr>
  </w:style>
  <w:style w:type="character" w:styleId="BookTitle">
    <w:name w:val="Book Title"/>
    <w:basedOn w:val="DefaultParagraphFont"/>
    <w:uiPriority w:val="33"/>
    <w:qFormat/>
    <w:rsid w:val="00B91014"/>
    <w:rPr>
      <w:b/>
      <w:bCs/>
      <w:smallCaps/>
    </w:rPr>
  </w:style>
  <w:style w:type="paragraph" w:styleId="TOCHeading">
    <w:name w:val="TOC Heading"/>
    <w:basedOn w:val="Heading1"/>
    <w:next w:val="Normal"/>
    <w:uiPriority w:val="39"/>
    <w:semiHidden/>
    <w:unhideWhenUsed/>
    <w:qFormat/>
    <w:rsid w:val="00B91014"/>
    <w:pPr>
      <w:outlineLvl w:val="9"/>
    </w:pPr>
  </w:style>
  <w:style w:type="character" w:styleId="CommentReference">
    <w:name w:val="annotation reference"/>
    <w:basedOn w:val="DefaultParagraphFont"/>
    <w:uiPriority w:val="99"/>
    <w:semiHidden/>
    <w:unhideWhenUsed/>
    <w:rsid w:val="00842A4D"/>
    <w:rPr>
      <w:sz w:val="16"/>
      <w:szCs w:val="16"/>
    </w:rPr>
  </w:style>
  <w:style w:type="paragraph" w:styleId="CommentText">
    <w:name w:val="annotation text"/>
    <w:basedOn w:val="Normal"/>
    <w:link w:val="CommentTextChar"/>
    <w:uiPriority w:val="99"/>
    <w:unhideWhenUsed/>
    <w:rsid w:val="00842A4D"/>
    <w:pPr>
      <w:spacing w:line="240" w:lineRule="auto"/>
    </w:pPr>
  </w:style>
  <w:style w:type="character" w:customStyle="1" w:styleId="CommentTextChar">
    <w:name w:val="Comment Text Char"/>
    <w:basedOn w:val="DefaultParagraphFont"/>
    <w:link w:val="CommentText"/>
    <w:uiPriority w:val="99"/>
    <w:rsid w:val="00842A4D"/>
  </w:style>
  <w:style w:type="paragraph" w:styleId="CommentSubject">
    <w:name w:val="annotation subject"/>
    <w:basedOn w:val="CommentText"/>
    <w:next w:val="CommentText"/>
    <w:link w:val="CommentSubjectChar"/>
    <w:uiPriority w:val="99"/>
    <w:semiHidden/>
    <w:unhideWhenUsed/>
    <w:rsid w:val="00842A4D"/>
    <w:rPr>
      <w:b/>
      <w:bCs/>
    </w:rPr>
  </w:style>
  <w:style w:type="character" w:customStyle="1" w:styleId="CommentSubjectChar">
    <w:name w:val="Comment Subject Char"/>
    <w:basedOn w:val="CommentTextChar"/>
    <w:link w:val="CommentSubject"/>
    <w:uiPriority w:val="99"/>
    <w:semiHidden/>
    <w:rsid w:val="00842A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deloitte.com/us/en/insights/industry/retail-distribution/sharing-personal-information-consumer-privacy-concerns.html" TargetMode="External"/><Relationship Id="rId18" Type="http://schemas.openxmlformats.org/officeDocument/2006/relationships/hyperlink" Target="https://www.newtonx.com/article/the-ai-frontier-how-digital-twins-are-reshaping-product-marketing/" TargetMode="External"/><Relationship Id="rId26" Type="http://schemas.openxmlformats.org/officeDocument/2006/relationships/hyperlink" Target="https://www.marketsandmarkets.com" TargetMode="External"/><Relationship Id="rId39" Type="http://schemas.openxmlformats.org/officeDocument/2006/relationships/hyperlink" Target="https://www.mckinsey.com/featured-insights/mckinsey-explainers/what-is-digital-twin-technology" TargetMode="External"/><Relationship Id="rId21" Type="http://schemas.openxmlformats.org/officeDocument/2006/relationships/hyperlink" Target="https://www.wired.com/story/opinion-give-data-pricing-power-to-the-people/" TargetMode="External"/><Relationship Id="rId34" Type="http://schemas.openxmlformats.org/officeDocument/2006/relationships/hyperlink" Target="https://growthhackers.com/growth-studies/airbnb/" TargetMode="External"/><Relationship Id="rId42"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ctol.digital/news/simile-ai-100m-series-a-synthetic-humanity/" TargetMode="External"/><Relationship Id="rId20" Type="http://schemas.openxmlformats.org/officeDocument/2006/relationships/hyperlink" Target="https://ai2.work/startups/simile-raises-100m-to-replace-focus-groups-with-ai-digital-twins-2026/" TargetMode="External"/><Relationship Id="rId29" Type="http://schemas.openxmlformats.org/officeDocument/2006/relationships/hyperlink" Target="https://a16z.com/books/the-cold-start-problem/" TargetMode="External"/><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24" Type="http://schemas.openxmlformats.org/officeDocument/2006/relationships/hyperlink" Target="https://www.fortunebusinessinsights.com/digital-twin-market-106246" TargetMode="External"/><Relationship Id="rId32" Type="http://schemas.openxmlformats.org/officeDocument/2006/relationships/hyperlink" Target="https://www.entrepreneur.com/growing-a-business/how-to-overcome-the-challenges-and-reap-the-benefits-of/334975" TargetMode="External"/><Relationship Id="rId37" Type="http://schemas.openxmlformats.org/officeDocument/2006/relationships/hyperlink" Target="https://www.cookieyes.com/blog/data-privacy-statistics/" TargetMode="External"/><Relationship Id="rId40"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cms.law/en/int/publication/GDPR-Enforcement-Tracker-Report/numbers-and-figures" TargetMode="External"/><Relationship Id="rId23" Type="http://schemas.openxmlformats.org/officeDocument/2006/relationships/hyperlink" Target="https://www.precedenceresearch.com/ai-based-research-services-market" TargetMode="External"/><Relationship Id="rId28" Type="http://schemas.openxmlformats.org/officeDocument/2006/relationships/hyperlink" Target="https://www.eff.org/deeplinks/2020/10/why-getting-paid-your-data-bad-deal" TargetMode="External"/><Relationship Id="rId36" Type="http://schemas.openxmlformats.org/officeDocument/2006/relationships/hyperlink" Target="https://www.skan.ai/blogs/redefining-success-how-digital-twins-elevate-enterprise-business-metrics" TargetMode="External"/><Relationship Id="rId10" Type="http://schemas.microsoft.com/office/2016/09/relationships/commentsIds" Target="commentsIds.xml"/><Relationship Id="rId19" Type="http://schemas.openxmlformats.org/officeDocument/2006/relationships/hyperlink" Target="https://www.greenbook.org/insights/research-methodologies/digital-twins-are-the-new-ab-testbut-most-executives-cant-define-them" TargetMode="External"/><Relationship Id="rId31" Type="http://schemas.openxmlformats.org/officeDocument/2006/relationships/hyperlink" Target="https://medium.com/@cagdasbalci0/how-uber-solved-the-cold-start-problem-a-masterclass-in-network-effects-5315d2292166" TargetMode="Externa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hyperlink" Target="https://www.dlapiper.com/en/insights/publications/2025/01/dla-piper-gdpr-fines-and-data-breach-survey-january-2025" TargetMode="External"/><Relationship Id="rId22" Type="http://schemas.openxmlformats.org/officeDocument/2006/relationships/hyperlink" Target="https://www.nngroup.com/articles/digital-twins/" TargetMode="External"/><Relationship Id="rId27" Type="http://schemas.openxmlformats.org/officeDocument/2006/relationships/hyperlink" Target="https://techfundingnews.com/100m-for-stanford-spinout-simile-ai-that-simulates-human-decisions/" TargetMode="External"/><Relationship Id="rId30" Type="http://schemas.openxmlformats.org/officeDocument/2006/relationships/hyperlink" Target="https://openscout.substack.com/p/the-marketplace-cold-start" TargetMode="External"/><Relationship Id="rId35" Type="http://schemas.openxmlformats.org/officeDocument/2006/relationships/hyperlink" Target="https://www.kiteworks.com/gdpr-compliance/gdpr-fines-data-privacy-enforcement-2026/" TargetMode="External"/><Relationship Id="rId8" Type="http://schemas.openxmlformats.org/officeDocument/2006/relationships/comments" Target="comments.xml"/><Relationship Id="rId3" Type="http://schemas.openxmlformats.org/officeDocument/2006/relationships/customXml" Target="../customXml/item3.xml"/><Relationship Id="rId12" Type="http://schemas.openxmlformats.org/officeDocument/2006/relationships/hyperlink" Target="https://www.nngroup.com/articles/digital-twins/" TargetMode="External"/><Relationship Id="rId17" Type="http://schemas.openxmlformats.org/officeDocument/2006/relationships/hyperlink" Target="https://backlinko.com/market-research-statistics" TargetMode="External"/><Relationship Id="rId25" Type="http://schemas.openxmlformats.org/officeDocument/2006/relationships/hyperlink" Target="https://www.mordorintelligence.com/industry-reports/synthetic-data-market" TargetMode="External"/><Relationship Id="rId33" Type="http://schemas.openxmlformats.org/officeDocument/2006/relationships/hyperlink" Target="https://forkoff.xyz/blog/founder-growth/two-sided-marketplace-cold-start-2026" TargetMode="External"/><Relationship Id="rId38" Type="http://schemas.openxmlformats.org/officeDocument/2006/relationships/hyperlink" Target="https://flowres.io/blog/Digital-Dia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4138562-0ccc-42b2-9dfd-2d1dd0f1f64d">
      <Terms xmlns="http://schemas.microsoft.com/office/infopath/2007/PartnerControls"/>
    </lcf76f155ced4ddcb4097134ff3c332f>
    <TaxCatchAll xmlns="5b9ab5b2-4f9f-4eac-8e2a-174e246116a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47337CC661BE6D4BBFDCC7411D46FBDB" ma:contentTypeVersion="12" ma:contentTypeDescription="Ein neues Dokument erstellen." ma:contentTypeScope="" ma:versionID="2818a5f040808b381e09f9d0f8ce9ee9">
  <xsd:schema xmlns:xsd="http://www.w3.org/2001/XMLSchema" xmlns:xs="http://www.w3.org/2001/XMLSchema" xmlns:p="http://schemas.microsoft.com/office/2006/metadata/properties" xmlns:ns2="e4138562-0ccc-42b2-9dfd-2d1dd0f1f64d" xmlns:ns3="5b9ab5b2-4f9f-4eac-8e2a-174e246116a9" targetNamespace="http://schemas.microsoft.com/office/2006/metadata/properties" ma:root="true" ma:fieldsID="3f5afc258d7b11c210b00bf82702490f" ns2:_="" ns3:_="">
    <xsd:import namespace="e4138562-0ccc-42b2-9dfd-2d1dd0f1f64d"/>
    <xsd:import namespace="5b9ab5b2-4f9f-4eac-8e2a-174e246116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138562-0ccc-42b2-9dfd-2d1dd0f1f6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ildmarkierungen" ma:readOnly="false" ma:fieldId="{5cf76f15-5ced-4ddc-b409-7134ff3c332f}" ma:taxonomyMulti="true" ma:sspId="6eb20c4f-c5c2-492b-9954-d638c64bfe9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9ab5b2-4f9f-4eac-8e2a-174e246116a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d3e40bb-4df8-44e1-b775-04751e95ad72}" ma:internalName="TaxCatchAll" ma:showField="CatchAllData" ma:web="5b9ab5b2-4f9f-4eac-8e2a-174e246116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D5DDFC4-E94A-4BA3-AEA7-655CCB21D6A5}">
  <ds:schemaRefs>
    <ds:schemaRef ds:uri="http://schemas.microsoft.com/sharepoint/v3/contenttype/forms"/>
  </ds:schemaRefs>
</ds:datastoreItem>
</file>

<file path=customXml/itemProps2.xml><?xml version="1.0" encoding="utf-8"?>
<ds:datastoreItem xmlns:ds="http://schemas.openxmlformats.org/officeDocument/2006/customXml" ds:itemID="{E866D621-875A-4B9B-A7A9-DFDE2CCEE21A}">
  <ds:schemaRefs>
    <ds:schemaRef ds:uri="http://schemas.microsoft.com/office/2006/metadata/properties"/>
    <ds:schemaRef ds:uri="http://schemas.microsoft.com/office/infopath/2007/PartnerControls"/>
    <ds:schemaRef ds:uri="e4138562-0ccc-42b2-9dfd-2d1dd0f1f64d"/>
    <ds:schemaRef ds:uri="5b9ab5b2-4f9f-4eac-8e2a-174e246116a9"/>
  </ds:schemaRefs>
</ds:datastoreItem>
</file>

<file path=customXml/itemProps3.xml><?xml version="1.0" encoding="utf-8"?>
<ds:datastoreItem xmlns:ds="http://schemas.openxmlformats.org/officeDocument/2006/customXml" ds:itemID="{A030139E-CAB8-4DDE-8C02-410B20E3B063}"/>
</file>

<file path=docProps/app.xml><?xml version="1.0" encoding="utf-8"?>
<Properties xmlns="http://schemas.openxmlformats.org/officeDocument/2006/extended-properties" xmlns:vt="http://schemas.openxmlformats.org/officeDocument/2006/docPropsVTypes">
  <Template>Normal</Template>
  <TotalTime>0</TotalTime>
  <Pages>16</Pages>
  <Words>7031</Words>
  <Characters>41976</Characters>
  <Application>Microsoft Office Word</Application>
  <DocSecurity>0</DocSecurity>
  <Lines>912</Lines>
  <Paragraphs>490</Paragraphs>
  <ScaleCrop>false</ScaleCrop>
  <Company/>
  <LinksUpToDate>false</LinksUpToDate>
  <CharactersWithSpaces>48517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Twin Economy</dc:title>
  <dc:creator>Bhupender Kumar Saini</dc:creator>
  <cp:lastModifiedBy>Saini, Bhupender Kumar</cp:lastModifiedBy>
  <cp:revision>35</cp:revision>
  <dcterms:created xsi:type="dcterms:W3CDTF">2026-06-03T09:08:00Z</dcterms:created>
  <dcterms:modified xsi:type="dcterms:W3CDTF">2026-06-18T19:20:00Z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0x01010047337CC661BE6D4BBFDCC7411D46FBDB</vt:lpwstr>
  </property>
  <property fmtid="{D5CDD505-2E9C-101B-9397-08002B2CF9AE}" pid="3" name="MediaServiceImageTags">
    <vt:lpwstr/>
  </property>
</Properties>
</file>