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4D" w:rsidRDefault="00CE684D" w:rsidP="00CE684D">
      <w:r>
        <w:t>Disclosure of Product System Models in Life Cycle Assessment: Achieving Transparency and Privacy</w:t>
      </w:r>
    </w:p>
    <w:p w:rsidR="00CE684D" w:rsidRDefault="00CE684D" w:rsidP="00CE684D">
      <w:r>
        <w:t>Brandon Kuczenski</w:t>
      </w:r>
    </w:p>
    <w:p w:rsidR="00CE684D" w:rsidRDefault="00CE684D" w:rsidP="00CE684D">
      <w:r>
        <w:t>Institute for Social, Behavioral, and Economic Research</w:t>
      </w:r>
    </w:p>
    <w:p w:rsidR="00CE684D" w:rsidRDefault="00CE684D" w:rsidP="00CE684D">
      <w:r>
        <w:t>University of California, Santa Barbara</w:t>
      </w:r>
    </w:p>
    <w:p w:rsidR="00CE684D" w:rsidRDefault="00CE684D" w:rsidP="00CE684D">
      <w:r>
        <w:t>2017-11-16</w:t>
      </w:r>
    </w:p>
    <w:p w:rsidR="00CE684D" w:rsidRDefault="00CE684D" w:rsidP="00CE684D">
      <w:r>
        <w:t>Submitted after revision to the Journal of Industrial Ecology; November 2017</w:t>
      </w:r>
    </w:p>
    <w:p w:rsidR="00CE684D" w:rsidRDefault="00CE684D" w:rsidP="00CE684D">
      <w:r>
        <w:t>Abstract</w:t>
      </w:r>
    </w:p>
    <w:p w:rsidR="00CE684D" w:rsidRDefault="00CE684D" w:rsidP="00CE684D">
      <w:r>
        <w:t>Many of the challenges facing knowledge synthesis from life cycle assessment (LCA) studies stem from the inability of study authors and readers to formally agree on the structure and content of the product system models used to perform LCA computations. This article presents a framework for formally disclosing the foreground of an LCA study in a way that permits the computations to be inspected, verified, and reproduced by a reader, provided that the reader has access to the same life cycle inventory and impact characterization resources as the author. The framework can also be used to partition a study into public and private portions, allowing both portions to be critically reviewed but omitting the private information from the disclosure. A disclosure is made up of six components, including three lists of entities in the model and three sparse matrices describing their interconnections. The entity lists make reference to previously-published resources, including background inventory databases and characterized elementary flows, and the disclosure framework requires both author and reader to agree on the meaning of each of these references. The framework contributes to ongoing efforts within and beyond industrial ecology to improve the reproducibility and verifiability of scholarly works, and if implemented, plots a course toward distributed, platform-independent computation and validation of LCA results.</w:t>
      </w:r>
    </w:p>
    <w:p w:rsidR="001106F8" w:rsidRDefault="001106F8" w:rsidP="001106F8">
      <w:bookmarkStart w:id="0" w:name="_GoBack"/>
      <w:bookmarkEnd w:id="0"/>
      <w:r>
        <w:t>1 Introduction</w:t>
      </w:r>
    </w:p>
    <w:p w:rsidR="001106F8" w:rsidRDefault="001106F8" w:rsidP="001106F8">
      <w:r>
        <w:t xml:space="preserve">Life cycle assessment (LCA) is a standard methodology to estimate the potential environmental impacts of products or services by modeling the network of industrial processes that must occur to deliver them to a consumer. The technique is well-established, widely practiced, and draws on an extensive body of standardization and scholarship. Increasingly, the results of LCA studies are appearing in environmental declarations, corporate sustainability reports, and product marketing information. LCA is also gaining prominence as a tool for developing and evaluating environmental policy. At the core of an LCA study is a model of a “product system,” which represents a collection of “processes ... performing one or more defined functions”, that describes the life cycle of a product (ISO 14044, 2006). The product system model, or PSM, encodes information about how a product is manufactured, distributed, used by the consumer, and what happens to it after it is disposed. A product system can be divided into a foreground, which denotes the portions of the life cycle whose operations are directly modeled by the study, and a background, which represents the global industrial system (Clift et al., 1998). While the </w:t>
      </w:r>
      <w:r>
        <w:lastRenderedPageBreak/>
        <w:t>foreground is often modeled from direct observation or other primary data, background processes are typically drawn from a life cycle inventory (LCI) database prepared by a third party.</w:t>
      </w:r>
    </w:p>
    <w:p w:rsidR="001106F8" w:rsidRDefault="001106F8" w:rsidP="001106F8">
      <w:r>
        <w:t xml:space="preserve">Although there has been considerable effort to normalize and harmonize LCI database design methodology and data interchange (UNEP/SETAC, 2011; </w:t>
      </w:r>
      <w:proofErr w:type="spellStart"/>
      <w:r>
        <w:t>Recchioni</w:t>
      </w:r>
      <w:proofErr w:type="spellEnd"/>
      <w:r>
        <w:t xml:space="preserve"> et al., 2013; Mila </w:t>
      </w:r>
      <w:proofErr w:type="spellStart"/>
      <w:r>
        <w:t>i</w:t>
      </w:r>
      <w:proofErr w:type="spellEnd"/>
      <w:r>
        <w:t xml:space="preserve"> Canals et al., 2015; </w:t>
      </w:r>
      <w:proofErr w:type="spellStart"/>
      <w:r>
        <w:t>Ingwersen</w:t>
      </w:r>
      <w:proofErr w:type="spellEnd"/>
      <w:r>
        <w:t xml:space="preserve"> et al., 2015), less attention has been paid to harmonizing PSMs. These models are often highly complex and include countless modeling decisions, approximations, and assumptions made by a study author (Lloyd &amp; </w:t>
      </w:r>
      <w:proofErr w:type="spellStart"/>
      <w:r>
        <w:t>Ries</w:t>
      </w:r>
      <w:proofErr w:type="spellEnd"/>
      <w:r>
        <w:t>, 2007; Reap et al., 2008). Factors such as co-production strategy (</w:t>
      </w:r>
      <w:proofErr w:type="spellStart"/>
      <w:r>
        <w:t>Finnveden</w:t>
      </w:r>
      <w:proofErr w:type="spellEnd"/>
      <w:r>
        <w:t xml:space="preserve">, 1999; Pelletier et al., 2014) can also render study findings unreliable or highly contingent. Consequently, while comparative evaluations can be made regarding alternative cases or scenarios within a single study, comparisons across studies are much more challenging (Heath &amp; Mann, 2012; </w:t>
      </w:r>
      <w:proofErr w:type="spellStart"/>
      <w:r>
        <w:t>Henriksson</w:t>
      </w:r>
      <w:proofErr w:type="spellEnd"/>
      <w:r>
        <w:t xml:space="preserve"> et al., 2014). Even when relatively simple and homogeneous systems are considered, wide variations can be found in the results of studies from different authors (van der </w:t>
      </w:r>
      <w:proofErr w:type="spellStart"/>
      <w:r>
        <w:t>Harst</w:t>
      </w:r>
      <w:proofErr w:type="spellEnd"/>
      <w:r>
        <w:t xml:space="preserve"> &amp; Potting, 2013; </w:t>
      </w:r>
      <w:proofErr w:type="spellStart"/>
      <w:r>
        <w:t>Turconi</w:t>
      </w:r>
      <w:proofErr w:type="spellEnd"/>
      <w:r>
        <w:t xml:space="preserve"> et al., 2013). A lack of transparency in reporting, particularly regarding definitions of study scope and system boundary, is a crucial challenge to the interpretation of results in comparative analysis (Cleary, 2009; Laurent et al., 2014).</w:t>
      </w:r>
    </w:p>
    <w:p w:rsidR="001106F8" w:rsidRDefault="001106F8" w:rsidP="001106F8">
      <w:r>
        <w:t>A further challenge to transparency can be found in the use of input data that are confidential or proprietary (Kuczenski et al., 2016). One consequence of all these challenges is the high cost and uneven rigor of critical review, in which the complexities of LCA come face to face with the limitations of current practice (Curran &amp; Young, 2014). As LCA gains prominence, particularly in the policy realm, these problems become more acute.</w:t>
      </w:r>
    </w:p>
    <w:p w:rsidR="001106F8" w:rsidRDefault="001106F8" w:rsidP="001106F8">
      <w:r>
        <w:t>If LCA is to be used in policy, it will necessarily have the effect of recommending certain product systems, technologies, or approaches at the expense of others; yet in that event it is critically important that there be a consensus among stakeholders that the quantitative results are credible and well-supported (</w:t>
      </w:r>
      <w:proofErr w:type="spellStart"/>
      <w:r>
        <w:t>Rainville</w:t>
      </w:r>
      <w:proofErr w:type="spellEnd"/>
      <w:r>
        <w:t xml:space="preserve"> et al., 2015; McManus et al., 2015). As noted above, this level of consensus is hard to realize, in part because of the conflicting implications inherent in different analytic modes. </w:t>
      </w:r>
      <w:proofErr w:type="spellStart"/>
      <w:r>
        <w:t>Plevin</w:t>
      </w:r>
      <w:proofErr w:type="spellEnd"/>
      <w:r>
        <w:t xml:space="preserve"> et al. famously observed in the strongest terms that careless reporting of attributional LCA study results can distort the significance of findings in a policy context (</w:t>
      </w:r>
      <w:proofErr w:type="spellStart"/>
      <w:r>
        <w:t>Plevin</w:t>
      </w:r>
      <w:proofErr w:type="spellEnd"/>
      <w:r>
        <w:t xml:space="preserve"> et al., 2013), a shortcoming that can be found in other modes as well (</w:t>
      </w:r>
      <w:proofErr w:type="spellStart"/>
      <w:r>
        <w:t>Brandão</w:t>
      </w:r>
      <w:proofErr w:type="spellEnd"/>
      <w:r>
        <w:t xml:space="preserve"> et al., 2014). In the scope of Environmental Product Declarations (EPDs), studies within an industry are supposed to be rendered comparable by adhering to a common product category rule (PCR) (</w:t>
      </w:r>
      <w:proofErr w:type="spellStart"/>
      <w:r>
        <w:t>Fet</w:t>
      </w:r>
      <w:proofErr w:type="spellEnd"/>
      <w:r>
        <w:t xml:space="preserve"> &amp; </w:t>
      </w:r>
      <w:proofErr w:type="spellStart"/>
      <w:r>
        <w:t>Skaar</w:t>
      </w:r>
      <w:proofErr w:type="spellEnd"/>
      <w:r>
        <w:t>, 2006).However, this prescription is insufficient to ensure the comparability of different declarations, even if they use the same PCR (</w:t>
      </w:r>
      <w:proofErr w:type="spellStart"/>
      <w:r>
        <w:t>Modahl</w:t>
      </w:r>
      <w:proofErr w:type="spellEnd"/>
      <w:r>
        <w:t xml:space="preserve"> et al., 2012). In addition, PCRs are often themselves not unique and can include wide variations in scope and boundary requirements (Subramanian et al., 2012), leading to ambiguity.</w:t>
      </w:r>
    </w:p>
    <w:p w:rsidR="001106F8" w:rsidRDefault="001106F8" w:rsidP="001106F8">
      <w:r>
        <w:t>An LCA study result is ultimately an assertion that for some constructed PSM, the delivery of a particular reference flow is associated with a certain amount of environmental impact or potential impact. But if the PSM itself is ambiguously stated, then the signi</w:t>
      </w:r>
      <w:r w:rsidR="009A6854">
        <w:t>ficance of t</w:t>
      </w:r>
      <w:r>
        <w:t>he result is ambiguous as well. For a computational model to have scientific significance, its results need to be both verifiable and replicable by other scientists (</w:t>
      </w:r>
      <w:proofErr w:type="spellStart"/>
      <w:r>
        <w:t>Fomel</w:t>
      </w:r>
      <w:proofErr w:type="spellEnd"/>
      <w:r>
        <w:t xml:space="preserve"> &amp; </w:t>
      </w:r>
      <w:proofErr w:type="spellStart"/>
      <w:r>
        <w:t>Claerbout</w:t>
      </w:r>
      <w:proofErr w:type="spellEnd"/>
      <w:r>
        <w:t xml:space="preserve">, 2009; </w:t>
      </w:r>
      <w:proofErr w:type="spellStart"/>
      <w:r>
        <w:t>Mesirov</w:t>
      </w:r>
      <w:proofErr w:type="spellEnd"/>
      <w:r>
        <w:t xml:space="preserve">, 2010). But in the case of LCA, the structure and contents of the model are never stated precisely; instead they are described in a written report, and the </w:t>
      </w:r>
      <w:r>
        <w:lastRenderedPageBreak/>
        <w:t xml:space="preserve">description must be interpreted by a reader. When a study is reviewed, it is often the written report and not the PSM itself that is the object of review. </w:t>
      </w:r>
      <w:proofErr w:type="gramStart"/>
      <w:r>
        <w:t>ISO 14071 (2014), which provides guidelines on critical review, emphasizes that review of the PSM or individual datasets is optional.</w:t>
      </w:r>
      <w:proofErr w:type="gramEnd"/>
    </w:p>
    <w:p w:rsidR="001106F8" w:rsidRDefault="001106F8" w:rsidP="001106F8">
      <w:r>
        <w:t>Although the general structure for life cycle assessment can be stated formally, there is no current practice for formally describing the PSM and thus, no automatic mechanisms for interpretation or review of published LCA studies. Moreover, there is no current practice that permits a reviewer to verify the correctness of the computations inherent in an LCA study if access to the PSM itself is not available. The purpose of this paper is to advance a framework for the formal description of product system models that would provide robust transparency and reproducibility of computed results.</w:t>
      </w:r>
    </w:p>
    <w:p w:rsidR="001106F8" w:rsidRDefault="001106F8" w:rsidP="001106F8">
      <w:r>
        <w:t>2 Disclosing the Product System Model</w:t>
      </w:r>
    </w:p>
    <w:p w:rsidR="001106F8" w:rsidRDefault="001106F8" w:rsidP="001106F8">
      <w:r>
        <w:t>2.1 Objectives</w:t>
      </w:r>
    </w:p>
    <w:p w:rsidR="001106F8" w:rsidRDefault="001106F8" w:rsidP="001106F8">
      <w:r>
        <w:t xml:space="preserve">The task of computing life cycle impact assessment (LCIA) results from a product system model can be described as an “aggregation,” in which the data in large, sparse models are combined through linear algebra operations into a small set of numeric scores. Although several equivalent methods for computing aggregated LCI and/or LCIA results have been described in the literature (Suh &amp; </w:t>
      </w:r>
      <w:proofErr w:type="spellStart"/>
      <w:r>
        <w:t>Huppes</w:t>
      </w:r>
      <w:proofErr w:type="spellEnd"/>
      <w:r>
        <w:t xml:space="preserve">, 2005; Peters, 2007), the computational representation of and exchange of product system models, and the generation of aggregated results, remains software-specific. In the context of this paper, an “LCA Study” should be understood as any collection of inventory data under consideration as a group, from a single-operation unit process to a full ISO-style product LCA. </w:t>
      </w:r>
    </w:p>
    <w:p w:rsidR="001106F8" w:rsidRDefault="001106F8" w:rsidP="001106F8">
      <w:r>
        <w:t xml:space="preserve">Reporting the results of an LCA study implies the existence of two parties with different information: the study author has full knowledge of the product system model; and the reader only has knowledge of what the author has disclosed. Obviously, the level of detail of the disclosure will determine how useful it is to the reader. In this context, the reader will want to know the answers to various review objectives. At the same time the author may have constraints that limit what can be disclosed. The main goal of the framework is to give form to the disclosure so that the requirements of various review objectives, and restrictions associated with various disclosure </w:t>
      </w:r>
      <w:proofErr w:type="spellStart"/>
      <w:r>
        <w:t>contraints</w:t>
      </w:r>
      <w:proofErr w:type="spellEnd"/>
      <w:r>
        <w:t>, can be evaluated clearly.</w:t>
      </w:r>
    </w:p>
    <w:p w:rsidR="001106F8" w:rsidRDefault="001106F8" w:rsidP="001106F8">
      <w:r>
        <w:t>On the basis of transparency, the framework should meet the following objectives:</w:t>
      </w:r>
    </w:p>
    <w:p w:rsidR="001106F8" w:rsidRDefault="001106F8" w:rsidP="001106F8">
      <w:r>
        <w:t>• Computability. The result should be computed using only the disclosure, plus resources available independently to the reader. The computation should follow the consensus understanding of process LCA computation.</w:t>
      </w:r>
    </w:p>
    <w:p w:rsidR="001106F8" w:rsidRDefault="001106F8" w:rsidP="001106F8">
      <w:r>
        <w:t xml:space="preserve">• Completeness / </w:t>
      </w:r>
      <w:proofErr w:type="spellStart"/>
      <w:r>
        <w:t>Minimality</w:t>
      </w:r>
      <w:proofErr w:type="spellEnd"/>
      <w:r>
        <w:t>. The computation should use all of the information provided in the disclosure.</w:t>
      </w:r>
    </w:p>
    <w:p w:rsidR="001106F8" w:rsidRDefault="001106F8" w:rsidP="001106F8">
      <w:r>
        <w:t>• Reproducibility. The result obtained by the reader should match the result provided by the author.</w:t>
      </w:r>
    </w:p>
    <w:p w:rsidR="001106F8" w:rsidRDefault="001106F8" w:rsidP="001106F8">
      <w:r>
        <w:t xml:space="preserve">One key objective of disclosure is to inspect the work of the author. Consequently, the disclosure should be made up of the author’s own work product and should exclude, for instance, data that were drawn </w:t>
      </w:r>
      <w:r>
        <w:lastRenderedPageBreak/>
        <w:t>from a reference database or other independent source and used in an unmodified form. The purpose of this is twofold: to focus the efforts of the reader on the work of the author, and to enable the reader to obtain and inspect the third-party data independently, thus ensuring its integrity.</w:t>
      </w:r>
    </w:p>
    <w:p w:rsidR="001106F8" w:rsidRDefault="001106F8" w:rsidP="001106F8">
      <w:r>
        <w:t>• Authority. The contents of the disclosure should authentically represent the outcomes of the author’s labor in constructing the PSM.</w:t>
      </w:r>
    </w:p>
    <w:p w:rsidR="001106F8" w:rsidRDefault="001106F8" w:rsidP="001106F8">
      <w:r>
        <w:t>• Primacy. The disclosure should exclude information that is made available by a third party. (It must, however, still include previously-published data that were re-implemented by the author in the study.)</w:t>
      </w:r>
    </w:p>
    <w:p w:rsidR="001106F8" w:rsidRDefault="001106F8" w:rsidP="001106F8">
      <w:r>
        <w:t>In addition, because of the ubiquity of confidential and sensitive information in LCA, any operational disclosure framework must also meet the following:</w:t>
      </w:r>
    </w:p>
    <w:p w:rsidR="001106F8" w:rsidRDefault="001106F8" w:rsidP="001106F8">
      <w:r>
        <w:t>• Privacy. The disclosure should protect information that is held in confidence by the author.</w:t>
      </w:r>
    </w:p>
    <w:p w:rsidR="001106F8" w:rsidRDefault="001106F8" w:rsidP="001106F8">
      <w:r>
        <w:t>2.2 Mathematical Formulation of LCA</w:t>
      </w:r>
    </w:p>
    <w:p w:rsidR="001106F8" w:rsidRDefault="001106F8" w:rsidP="001106F8">
      <w:r>
        <w:t>We begin by providing a mathematical formulation of the LCA problem. An LCA computation is performed over a collection of linked unit processes, each of which describes a single operation or reference product. The task of procedure can be described in two steps: making an inventory of environmental interventions; and determining their environmental impacts. If the processes are assumed to be linear and time-invariant, the problem can be written in terms of matrix algebra. There are two common formulations: the “technology matrix” approach and the “input-output” or Leontief approach (</w:t>
      </w:r>
      <w:proofErr w:type="spellStart"/>
      <w:r>
        <w:t>Heijungs</w:t>
      </w:r>
      <w:proofErr w:type="spellEnd"/>
      <w:r>
        <w:t xml:space="preserve"> &amp; Suh, 2002; </w:t>
      </w:r>
      <w:proofErr w:type="spellStart"/>
      <w:r>
        <w:t>Pauliuk</w:t>
      </w:r>
      <w:proofErr w:type="spellEnd"/>
      <w:r>
        <w:t xml:space="preserve"> et al., 2015). Although the two models are understood to be equivalent, the input-output approach is computationally more efficient in some applications because it lends itself to iterative solution (Peters, 2007). That formulation may be stated:</w:t>
      </w:r>
    </w:p>
    <w:p w:rsidR="001106F8" w:rsidRDefault="001106F8" w:rsidP="001106F8">
      <w:r>
        <w:t>(1)</w:t>
      </w:r>
    </w:p>
    <w:p w:rsidR="001106F8" w:rsidRDefault="001106F8" w:rsidP="001106F8">
      <w:r>
        <w:t>Here A represents the direct requirements matrix, where each column of values reports the necessary inputs (positive values) and generated non-reference outputs (negative values) 1 per unit of a process’s reference output; B is the environmental intervention or emission</w:t>
      </w:r>
      <w:r w:rsidR="009A6854">
        <w:t xml:space="preserve"> </w:t>
      </w:r>
      <w:r>
        <w:t xml:space="preserve">matrix; and e is a column vector of characterization factors for the environmental emissions with respect to a given impact assessment method. In this model, y is the externally specified final demand, which is the product or service whose delivery is to be assessed, and </w:t>
      </w:r>
      <w:proofErr w:type="spellStart"/>
      <w:r>
        <w:t>s</w:t>
      </w:r>
      <w:proofErr w:type="spellEnd"/>
      <w:r>
        <w:t xml:space="preserve"> is the numerical impact score or category indicator. For simplicity, we will consider the computation of a single impact result. However, it is straightforward to imagine the more typical case, in which E is a matrix of characterization vectors, and s is a vector of results.</w:t>
      </w:r>
    </w:p>
    <w:p w:rsidR="001106F8" w:rsidRDefault="001106F8" w:rsidP="001106F8">
      <w:r>
        <w:t>The term (I−A) is equivalent to the normalized technology matrix, i.e. the difference between the supply and use tables in classical input-output analysis, (V′−U) (Suh et al., 2010). The conditions</w:t>
      </w:r>
      <w:r w:rsidR="00992416">
        <w:t xml:space="preserve"> </w:t>
      </w:r>
      <w:r>
        <w:t>under which this matrix has an inverse, particularly with respect to different strategies for handling</w:t>
      </w:r>
      <w:r w:rsidR="00992416">
        <w:t xml:space="preserve"> </w:t>
      </w:r>
      <w:r>
        <w:t>co-production, have been discussed extensively (</w:t>
      </w:r>
      <w:proofErr w:type="spellStart"/>
      <w:r>
        <w:t>Majeau-Bettez</w:t>
      </w:r>
      <w:proofErr w:type="spellEnd"/>
      <w:r>
        <w:t xml:space="preserve"> et al., 2014). Eq. 1 is visualized in</w:t>
      </w:r>
      <w:r w:rsidR="00992416">
        <w:t xml:space="preserve"> </w:t>
      </w:r>
      <w:r>
        <w:t>Figure 1.</w:t>
      </w:r>
    </w:p>
    <w:p w:rsidR="001106F8" w:rsidRDefault="001106F8" w:rsidP="001106F8">
      <w:r>
        <w:lastRenderedPageBreak/>
        <w:t>In classical</w:t>
      </w:r>
      <w:r w:rsidR="00992416">
        <w:t xml:space="preserve"> </w:t>
      </w:r>
      <w:r>
        <w:t>LCA,</w:t>
      </w:r>
      <w:r w:rsidR="00992416">
        <w:t xml:space="preserve"> </w:t>
      </w:r>
      <w:r>
        <w:t>the</w:t>
      </w:r>
      <w:r w:rsidR="00992416">
        <w:t xml:space="preserve"> </w:t>
      </w:r>
      <w:r>
        <w:t>matrices</w:t>
      </w:r>
      <w:r w:rsidR="00992416">
        <w:t xml:space="preserve"> </w:t>
      </w:r>
      <w:r>
        <w:t>A</w:t>
      </w:r>
      <w:r w:rsidR="00992416">
        <w:t xml:space="preserve"> </w:t>
      </w:r>
      <w:r>
        <w:t>(or</w:t>
      </w:r>
      <w:r w:rsidR="00992416">
        <w:t xml:space="preserve"> </w:t>
      </w:r>
      <w:r>
        <w:t>I−A)</w:t>
      </w:r>
      <w:r w:rsidR="00992416">
        <w:t xml:space="preserve"> </w:t>
      </w:r>
      <w:r>
        <w:t>and</w:t>
      </w:r>
      <w:r w:rsidR="00992416">
        <w:t xml:space="preserve"> </w:t>
      </w:r>
      <w:r>
        <w:t>B</w:t>
      </w:r>
      <w:r w:rsidR="00992416">
        <w:t xml:space="preserve"> </w:t>
      </w:r>
      <w:proofErr w:type="gramStart"/>
      <w:r>
        <w:t>are</w:t>
      </w:r>
      <w:proofErr w:type="gramEnd"/>
      <w:r>
        <w:t xml:space="preserve"> called</w:t>
      </w:r>
      <w:r w:rsidR="00992416">
        <w:t xml:space="preserve"> </w:t>
      </w:r>
      <w:r>
        <w:t>a</w:t>
      </w:r>
      <w:r w:rsidR="00992416">
        <w:t xml:space="preserve"> </w:t>
      </w:r>
      <w:r>
        <w:t>life</w:t>
      </w:r>
      <w:r w:rsidR="00992416">
        <w:t xml:space="preserve"> </w:t>
      </w:r>
      <w:r>
        <w:t>cycle</w:t>
      </w:r>
      <w:r w:rsidR="00992416">
        <w:t xml:space="preserve"> </w:t>
      </w:r>
      <w:r>
        <w:t>inventory</w:t>
      </w:r>
      <w:r w:rsidR="00992416">
        <w:t xml:space="preserve"> </w:t>
      </w:r>
      <w:r>
        <w:t>database</w:t>
      </w:r>
      <w:r w:rsidR="00992416">
        <w:t xml:space="preserve"> </w:t>
      </w:r>
      <w:r>
        <w:t>(LCIDB),</w:t>
      </w:r>
      <w:r w:rsidR="00992416">
        <w:t xml:space="preserve"> </w:t>
      </w:r>
      <w:r>
        <w:t>and the functional unit of a study is given by the final demand vector y. Intermediate results of this</w:t>
      </w:r>
      <w:r w:rsidR="00992416">
        <w:t xml:space="preserve"> </w:t>
      </w:r>
      <w:r>
        <w:t>computation include:</w:t>
      </w:r>
    </w:p>
    <w:p w:rsidR="001106F8" w:rsidRDefault="001106F8" w:rsidP="001106F8">
      <w:r>
        <w:t>• x</w:t>
      </w:r>
      <w:proofErr w:type="gramStart"/>
      <w:r>
        <w:t>=(</w:t>
      </w:r>
      <w:proofErr w:type="gramEnd"/>
      <w:r>
        <w:t>I−A)−1·y</w:t>
      </w:r>
      <w:r w:rsidR="009A6854">
        <w:t>,</w:t>
      </w:r>
      <w:r>
        <w:t xml:space="preserve"> the activity level vector;</w:t>
      </w:r>
    </w:p>
    <w:p w:rsidR="001106F8" w:rsidRDefault="001106F8" w:rsidP="001106F8">
      <w:r>
        <w:t>• b=</w:t>
      </w:r>
      <w:proofErr w:type="spellStart"/>
      <w:r>
        <w:t>B·x</w:t>
      </w:r>
      <w:proofErr w:type="spellEnd"/>
      <w:r>
        <w:t>, the life cycle inventory;</w:t>
      </w:r>
    </w:p>
    <w:p w:rsidR="001106F8" w:rsidRDefault="001106F8" w:rsidP="001106F8">
      <w:r>
        <w:t>• s=</w:t>
      </w:r>
      <w:proofErr w:type="spellStart"/>
      <w:proofErr w:type="gramStart"/>
      <w:r>
        <w:t>eT·</w:t>
      </w:r>
      <w:proofErr w:type="gramEnd"/>
      <w:r>
        <w:t>b</w:t>
      </w:r>
      <w:proofErr w:type="spellEnd"/>
      <w:r>
        <w:t>, the life cycle impact category indicator, the study result.</w:t>
      </w:r>
    </w:p>
    <w:p w:rsidR="001106F8" w:rsidRDefault="001106F8" w:rsidP="001106F8">
      <w:r>
        <w:t>This formulation implemented in all major LCA software system</w:t>
      </w:r>
      <w:r w:rsidR="00992416">
        <w:t>s, some of which provide the ca</w:t>
      </w:r>
      <w:r>
        <w:t>pacity</w:t>
      </w:r>
      <w:r w:rsidR="00992416">
        <w:t xml:space="preserve"> </w:t>
      </w:r>
      <w:r>
        <w:t>to export</w:t>
      </w:r>
      <w:r w:rsidR="00992416">
        <w:t xml:space="preserve"> </w:t>
      </w:r>
      <w:r>
        <w:t>the</w:t>
      </w:r>
      <w:r w:rsidR="00992416">
        <w:t xml:space="preserve"> </w:t>
      </w:r>
      <w:r>
        <w:t>A and</w:t>
      </w:r>
      <w:r w:rsidR="00992416">
        <w:t xml:space="preserve"> </w:t>
      </w:r>
      <w:r>
        <w:t>B matrices</w:t>
      </w:r>
      <w:r w:rsidR="00992416">
        <w:t xml:space="preserve"> </w:t>
      </w:r>
      <w:r>
        <w:t>for</w:t>
      </w:r>
      <w:r w:rsidR="00992416">
        <w:t xml:space="preserve"> </w:t>
      </w:r>
      <w:r>
        <w:t>a</w:t>
      </w:r>
      <w:r w:rsidR="00992416">
        <w:t xml:space="preserve"> </w:t>
      </w:r>
      <w:r>
        <w:t>given</w:t>
      </w:r>
      <w:r w:rsidR="00992416">
        <w:t xml:space="preserve"> </w:t>
      </w:r>
      <w:r>
        <w:t>study</w:t>
      </w:r>
      <w:r w:rsidR="00992416">
        <w:t xml:space="preserve"> </w:t>
      </w:r>
      <w:r>
        <w:t>model. However, the</w:t>
      </w:r>
      <w:r w:rsidR="00992416">
        <w:t xml:space="preserve"> </w:t>
      </w:r>
      <w:r>
        <w:t>contents</w:t>
      </w:r>
      <w:r w:rsidR="00992416">
        <w:t xml:space="preserve"> </w:t>
      </w:r>
      <w:r>
        <w:t>of</w:t>
      </w:r>
      <w:r w:rsidR="00992416">
        <w:t xml:space="preserve"> </w:t>
      </w:r>
      <w:r>
        <w:t>commercial</w:t>
      </w:r>
      <w:r w:rsidR="00992416">
        <w:t xml:space="preserve"> </w:t>
      </w:r>
      <w:r>
        <w:t>LCIDBs are proprietary and subject to licensing restrictions, an</w:t>
      </w:r>
      <w:r w:rsidR="00992416">
        <w:t>d moreover are not usually modi</w:t>
      </w:r>
      <w:r>
        <w:t xml:space="preserve">fied by study authors. Thus exporting A and B </w:t>
      </w:r>
      <w:proofErr w:type="gramStart"/>
      <w:r>
        <w:t>does</w:t>
      </w:r>
      <w:proofErr w:type="gramEnd"/>
      <w:r>
        <w:t xml:space="preserve"> not meet our authority and primacy objectives.</w:t>
      </w:r>
      <w:r w:rsidR="00992416">
        <w:t xml:space="preserve"> </w:t>
      </w:r>
      <w:r>
        <w:t>Additionally,</w:t>
      </w:r>
      <w:r w:rsidR="00992416">
        <w:t xml:space="preserve"> </w:t>
      </w:r>
      <w:r>
        <w:t>replicating</w:t>
      </w:r>
      <w:r w:rsidR="00992416">
        <w:t xml:space="preserve"> </w:t>
      </w:r>
      <w:r>
        <w:t>the entire</w:t>
      </w:r>
      <w:r w:rsidR="00992416">
        <w:t xml:space="preserve"> </w:t>
      </w:r>
      <w:r>
        <w:t>LCIDB is cumbersome</w:t>
      </w:r>
      <w:r w:rsidR="00992416">
        <w:t xml:space="preserve"> </w:t>
      </w:r>
      <w:r>
        <w:t>because of the</w:t>
      </w:r>
      <w:r w:rsidR="00992416">
        <w:t xml:space="preserve"> </w:t>
      </w:r>
      <w:r>
        <w:t>large size of</w:t>
      </w:r>
      <w:r w:rsidR="00992416">
        <w:t xml:space="preserve"> </w:t>
      </w:r>
      <w:r>
        <w:t>the matrices.</w:t>
      </w:r>
      <w:r w:rsidR="00992416">
        <w:t xml:space="preserve"> </w:t>
      </w:r>
      <w:r>
        <w:t>As a consequence, the matrix formulation in Eq. 1 is unsuitable as a disclosure framework.</w:t>
      </w:r>
    </w:p>
    <w:p w:rsidR="001106F8" w:rsidRDefault="001106F8" w:rsidP="001106F8">
      <w:r>
        <w:t>2.3 Foreground Study</w:t>
      </w:r>
    </w:p>
    <w:p w:rsidR="001106F8" w:rsidRDefault="001106F8" w:rsidP="001106F8">
      <w:r>
        <w:t>In practice, most LCA studies contain foreground information that is not present in a background</w:t>
      </w:r>
      <w:r w:rsidR="00992416">
        <w:t xml:space="preserve"> </w:t>
      </w:r>
      <w:r>
        <w:t>database, and LCA software systems generally allow users to augment the standard LCIDBs with</w:t>
      </w:r>
      <w:r w:rsidR="00992416">
        <w:t xml:space="preserve"> </w:t>
      </w:r>
      <w:r>
        <w:t>foreground models. To meet our disclosure objectives, it is important to be able to distinguish</w:t>
      </w:r>
      <w:r w:rsidR="00992416">
        <w:t xml:space="preserve"> fore</w:t>
      </w:r>
      <w:r>
        <w:t xml:space="preserve">ground content from background content in the computation. </w:t>
      </w:r>
      <w:proofErr w:type="gramStart"/>
      <w:r>
        <w:t>Background</w:t>
      </w:r>
      <w:proofErr w:type="gramEnd"/>
      <w:r>
        <w:t xml:space="preserve"> databases are prepared</w:t>
      </w:r>
      <w:r w:rsidR="00992416">
        <w:t xml:space="preserve"> </w:t>
      </w:r>
      <w:r>
        <w:t xml:space="preserve">independently of any study and do not typically vary across the </w:t>
      </w:r>
      <w:r w:rsidR="00992416">
        <w:t xml:space="preserve">studies in which they are used. </w:t>
      </w:r>
      <w:r>
        <w:t>However, the foreground systems themselves cannot be computed without the background. Put</w:t>
      </w:r>
      <w:r w:rsidR="00992416">
        <w:t xml:space="preserve"> </w:t>
      </w:r>
      <w:r>
        <w:t>another way, the foreground depends on the background but the background does not depend on</w:t>
      </w:r>
      <w:r w:rsidR="00992416">
        <w:t xml:space="preserve"> </w:t>
      </w:r>
      <w:r>
        <w:t>the foreground. This condition allows the processes in an LCIDB to be partially ordered to group</w:t>
      </w:r>
      <w:r w:rsidR="00992416">
        <w:t xml:space="preserve"> </w:t>
      </w:r>
      <w:r>
        <w:t>foreground processes together (Kuczenski, 2015).</w:t>
      </w:r>
    </w:p>
    <w:p w:rsidR="001106F8" w:rsidRDefault="001106F8" w:rsidP="001106F8">
      <w:r>
        <w:t xml:space="preserve">The simplest conceivable foreground is simply the final demand y, </w:t>
      </w:r>
      <w:r w:rsidR="00992416">
        <w:t>in other words the list of back</w:t>
      </w:r>
      <w:r>
        <w:t>ground processes invoked by the study and their activity level</w:t>
      </w:r>
      <w:r w:rsidR="00992416">
        <w:t>s. For an LCA computation as ex</w:t>
      </w:r>
      <w:r>
        <w:t>pressed in Eq. 1, the same result can be obtained by relocating the y vector into an augmented</w:t>
      </w:r>
      <w:r w:rsidR="00992416">
        <w:t xml:space="preserve"> </w:t>
      </w:r>
      <w:r>
        <w:t>A matrix, augmenting the B matrix with a vector of zeros, and replacing the final demand with a</w:t>
      </w:r>
      <w:r w:rsidR="00992416">
        <w:t xml:space="preserve"> vector ˜</w:t>
      </w:r>
      <w:r>
        <w:t>y in which the first entry is 1 and all successive entries are 0:</w:t>
      </w:r>
    </w:p>
    <w:p w:rsidR="001106F8" w:rsidRPr="009A6854" w:rsidRDefault="009A6854" w:rsidP="001106F8">
      <w:r w:rsidRPr="009A6854">
        <w:t xml:space="preserve"> </w:t>
      </w:r>
      <w:r w:rsidR="001106F8" w:rsidRPr="009A6854">
        <w:t>(2)</w:t>
      </w:r>
    </w:p>
    <w:p w:rsidR="001106F8" w:rsidRDefault="00992416" w:rsidP="001106F8">
      <w:r w:rsidRPr="00992416">
        <w:t>W</w:t>
      </w:r>
      <w:r w:rsidR="001106F8" w:rsidRPr="00992416">
        <w:t>here</w:t>
      </w:r>
      <w:r w:rsidRPr="00992416">
        <w:t xml:space="preserve"> </w:t>
      </w:r>
      <w:r w:rsidR="001106F8" w:rsidRPr="00992416">
        <w:t>˜A=?00yA?,</w:t>
      </w:r>
      <w:r w:rsidR="009A6854">
        <w:t xml:space="preserve"> </w:t>
      </w:r>
      <w:r w:rsidR="001106F8" w:rsidRPr="00992416">
        <w:t xml:space="preserve">˜B=[0,B], and ˜y=[1,0,0,...,0]T. </w:t>
      </w:r>
      <w:r w:rsidR="001106F8">
        <w:t>It can easily be shown that Eq.2 holds</w:t>
      </w:r>
      <w:r>
        <w:t xml:space="preserve"> </w:t>
      </w:r>
      <w:r w:rsidR="001106F8">
        <w:t>for any y. author’s note: a proof for this equality is provided in the electronic supplementary</w:t>
      </w:r>
      <w:r>
        <w:t xml:space="preserve"> </w:t>
      </w:r>
      <w:r w:rsidR="001106F8">
        <w:t>information. This is</w:t>
      </w:r>
      <w:r w:rsidR="009A6854">
        <w:t xml:space="preserve"> intuitively true because the ˜</w:t>
      </w:r>
      <w:r w:rsidR="001106F8">
        <w:t>y selects the first column of the augmented</w:t>
      </w:r>
      <w:r>
        <w:t xml:space="preserve"> </w:t>
      </w:r>
      <w:r w:rsidR="009A6854">
        <w:t>~</w:t>
      </w:r>
      <w:r w:rsidR="001106F8">
        <w:t>A</w:t>
      </w:r>
      <w:r>
        <w:t xml:space="preserve"> </w:t>
      </w:r>
      <w:r w:rsidR="001106F8">
        <w:t xml:space="preserve">matrix as the “final </w:t>
      </w:r>
      <w:r>
        <w:t>d</w:t>
      </w:r>
      <w:r w:rsidR="001106F8">
        <w:t>emand,” but the “direct requirements” of that column are precisely the final</w:t>
      </w:r>
      <w:r>
        <w:t xml:space="preserve"> </w:t>
      </w:r>
      <w:r w:rsidR="001106F8">
        <w:t>demand from the prior, un-augmented A matrix.</w:t>
      </w:r>
    </w:p>
    <w:p w:rsidR="001106F8" w:rsidRDefault="001106F8" w:rsidP="001106F8">
      <w:r>
        <w:t>Of course, most studies have a more elaborate foreground than simply the demand for processes</w:t>
      </w:r>
      <w:r w:rsidR="00992416">
        <w:t xml:space="preserve"> </w:t>
      </w:r>
      <w:r>
        <w:t>in the background database, and in these cases the A and B matrices can be further augmented</w:t>
      </w:r>
      <w:r w:rsidR="00992416">
        <w:t xml:space="preserve"> </w:t>
      </w:r>
      <w:r>
        <w:t xml:space="preserve">with additional </w:t>
      </w:r>
      <w:r>
        <w:lastRenderedPageBreak/>
        <w:t>foreground content. An LCA study augmented with foreground information can</w:t>
      </w:r>
      <w:r w:rsidR="00992416">
        <w:t xml:space="preserve"> </w:t>
      </w:r>
      <w:r>
        <w:t>be written in block-triangular form:</w:t>
      </w:r>
    </w:p>
    <w:p w:rsidR="001106F8" w:rsidRDefault="00CD3BBA" w:rsidP="001106F8">
      <w:r>
        <w:t xml:space="preserve"> </w:t>
      </w:r>
      <w:r w:rsidR="001106F8">
        <w:t>(3)</w:t>
      </w:r>
    </w:p>
    <w:p w:rsidR="001106F8" w:rsidRDefault="00992416" w:rsidP="001106F8">
      <w:r>
        <w:t xml:space="preserve">Here, the submatrix </w:t>
      </w:r>
      <w:proofErr w:type="spellStart"/>
      <w:proofErr w:type="gramStart"/>
      <w:r>
        <w:t>A</w:t>
      </w:r>
      <w:r w:rsidR="001106F8">
        <w:t>f</w:t>
      </w:r>
      <w:proofErr w:type="spellEnd"/>
      <w:proofErr w:type="gramEnd"/>
      <w:r w:rsidR="001106F8">
        <w:t xml:space="preserve"> represents the foreground (the first co</w:t>
      </w:r>
      <w:r>
        <w:t>lumn of which delivers the func</w:t>
      </w:r>
      <w:r w:rsidR="001106F8">
        <w:t>tional unit of the study); A represents the backgroun</w:t>
      </w:r>
      <w:r>
        <w:t>d, and the rectangular matrix A</w:t>
      </w:r>
      <w:r w:rsidR="001106F8">
        <w:t>d represents the</w:t>
      </w:r>
      <w:r>
        <w:t xml:space="preserve"> </w:t>
      </w:r>
      <w:r w:rsidR="001106F8">
        <w:t>dependency of the foreground on the background. The ordered</w:t>
      </w:r>
      <w:r>
        <w:t xml:space="preserve"> </w:t>
      </w:r>
      <w:r w:rsidR="001106F8">
        <w:t>˜B matrix is similarly partitioned</w:t>
      </w:r>
      <w:r>
        <w:t xml:space="preserve"> </w:t>
      </w:r>
      <w:r w:rsidR="001106F8">
        <w:t xml:space="preserve">into </w:t>
      </w:r>
      <w:proofErr w:type="gramStart"/>
      <w:r w:rsidR="001106F8">
        <w:t>Bf ,</w:t>
      </w:r>
      <w:proofErr w:type="gramEnd"/>
      <w:r w:rsidR="001106F8">
        <w:t xml:space="preserve"> which includes foreground emissions, and B which includes background emissions. The</w:t>
      </w:r>
      <w:r>
        <w:t xml:space="preserve"> </w:t>
      </w:r>
      <w:r w:rsidR="001106F8">
        <w:t>constitutive characteristic of this formulation is that the submatrix in the top right corner of</w:t>
      </w:r>
      <w:r>
        <w:t xml:space="preserve"> </w:t>
      </w:r>
      <w:r w:rsidR="001106F8">
        <w:t>˜A is</w:t>
      </w:r>
      <w:r>
        <w:t xml:space="preserve"> </w:t>
      </w:r>
      <w:r w:rsidR="001106F8">
        <w:t>zero. As long as this is the case, all computations regarding the background are invariant with</w:t>
      </w:r>
      <w:r>
        <w:t xml:space="preserve"> </w:t>
      </w:r>
      <w:r w:rsidR="001106F8">
        <w:t>respect to any foreground, and they can be computed in advance. However, it does not apply for</w:t>
      </w:r>
      <w:r>
        <w:t xml:space="preserve"> </w:t>
      </w:r>
      <w:r w:rsidR="001106F8">
        <w:t>so-called “integrated hybrid” models, in which all quadrants contain non-zero cells (for instance,</w:t>
      </w:r>
      <w:r>
        <w:t xml:space="preserve"> </w:t>
      </w:r>
      <w:proofErr w:type="spellStart"/>
      <w:r w:rsidR="001106F8">
        <w:t>Gibon</w:t>
      </w:r>
      <w:proofErr w:type="spellEnd"/>
      <w:r w:rsidR="001106F8">
        <w:t xml:space="preserve"> et al. (2015)).</w:t>
      </w:r>
    </w:p>
    <w:p w:rsidR="00992416" w:rsidRDefault="001106F8" w:rsidP="001106F8">
      <w:r>
        <w:t>The</w:t>
      </w:r>
      <w:r w:rsidR="00992416">
        <w:t xml:space="preserve"> </w:t>
      </w:r>
      <w:r>
        <w:t>augmented</w:t>
      </w:r>
      <w:r w:rsidR="00992416">
        <w:t xml:space="preserve"> </w:t>
      </w:r>
      <w:r>
        <w:t>˜A</w:t>
      </w:r>
      <w:r w:rsidR="00992416">
        <w:t xml:space="preserve"> </w:t>
      </w:r>
      <w:r>
        <w:t>and</w:t>
      </w:r>
      <w:r w:rsidR="00992416">
        <w:t xml:space="preserve"> </w:t>
      </w:r>
      <w:r>
        <w:t>˜B, makes</w:t>
      </w:r>
      <w:r w:rsidR="00992416">
        <w:t xml:space="preserve"> </w:t>
      </w:r>
      <w:r>
        <w:t>up</w:t>
      </w:r>
      <w:r w:rsidR="00992416">
        <w:t xml:space="preserve"> </w:t>
      </w:r>
      <w:r>
        <w:t>an</w:t>
      </w:r>
      <w:r w:rsidR="00992416">
        <w:t xml:space="preserve"> </w:t>
      </w:r>
      <w:r>
        <w:t>LCA foreground</w:t>
      </w:r>
      <w:r w:rsidR="00992416">
        <w:t xml:space="preserve"> </w:t>
      </w:r>
      <w:r>
        <w:t>study, for</w:t>
      </w:r>
      <w:r w:rsidR="00992416">
        <w:t xml:space="preserve"> </w:t>
      </w:r>
      <w:r>
        <w:t>which ˜y is</w:t>
      </w:r>
      <w:r w:rsidR="00992416">
        <w:t xml:space="preserve"> </w:t>
      </w:r>
      <w:r>
        <w:t>the</w:t>
      </w:r>
      <w:r w:rsidR="00992416">
        <w:t xml:space="preserve"> </w:t>
      </w:r>
      <w:r>
        <w:t>canonical</w:t>
      </w:r>
      <w:r w:rsidR="00992416">
        <w:t xml:space="preserve"> </w:t>
      </w:r>
      <w:r>
        <w:t>functional</w:t>
      </w:r>
      <w:r w:rsidR="00992416">
        <w:t xml:space="preserve"> </w:t>
      </w:r>
      <w:r>
        <w:t>unit. This formulation can be applied to the vast majority of LCA case stud</w:t>
      </w:r>
      <w:r w:rsidR="009A6854">
        <w:t>i</w:t>
      </w:r>
      <w:r>
        <w:t>es, and very likely to</w:t>
      </w:r>
      <w:r w:rsidR="00992416">
        <w:t xml:space="preserve"> </w:t>
      </w:r>
      <w:r>
        <w:t>all case studies prepared using commercial LCA software.</w:t>
      </w:r>
      <w:r w:rsidR="00992416">
        <w:t xml:space="preserve"> </w:t>
      </w:r>
      <w:r>
        <w:t>It is currently common practice for background database maintainers to pre-compute the life cycle</w:t>
      </w:r>
      <w:r w:rsidR="00992416">
        <w:t xml:space="preserve"> </w:t>
      </w:r>
      <w:r>
        <w:t xml:space="preserve">inventory results for their databases. Using the notation </w:t>
      </w:r>
      <w:proofErr w:type="spellStart"/>
      <w:r>
        <w:t>Bx</w:t>
      </w:r>
      <w:proofErr w:type="spellEnd"/>
      <w:r>
        <w:t>=B</w:t>
      </w:r>
      <w:proofErr w:type="gramStart"/>
      <w:r>
        <w:t>·(</w:t>
      </w:r>
      <w:proofErr w:type="gramEnd"/>
      <w:r>
        <w:t xml:space="preserve">I −A)−1 to represent the pre-computed background LCI database, </w:t>
      </w:r>
      <w:proofErr w:type="spellStart"/>
      <w:r>
        <w:t>Eq.s</w:t>
      </w:r>
      <w:proofErr w:type="spellEnd"/>
      <w:r>
        <w:t xml:space="preserve"> 3 can be rewritten as:</w:t>
      </w:r>
    </w:p>
    <w:p w:rsidR="001106F8" w:rsidRDefault="001106F8" w:rsidP="001106F8">
      <w:r>
        <w:t>(4)</w:t>
      </w:r>
    </w:p>
    <w:p w:rsidR="001106F8" w:rsidRDefault="001106F8" w:rsidP="001106F8">
      <w:r>
        <w:t xml:space="preserve">The proof of the equivalency of results derived from </w:t>
      </w:r>
      <w:proofErr w:type="spellStart"/>
      <w:r>
        <w:t>Eq.s</w:t>
      </w:r>
      <w:proofErr w:type="spellEnd"/>
      <w:r>
        <w:t xml:space="preserve"> 3 and 4 is provided in the supplementary</w:t>
      </w:r>
      <w:r w:rsidR="00992416">
        <w:t xml:space="preserve"> </w:t>
      </w:r>
      <w:r>
        <w:t>materials. In this form, the main content of the LCIDB has been removed from the</w:t>
      </w:r>
      <w:r w:rsidR="00992416">
        <w:t xml:space="preserve"> </w:t>
      </w:r>
      <w:r>
        <w:t>˜</w:t>
      </w:r>
      <w:r w:rsidR="00992416">
        <w:t xml:space="preserve">A matrix, </w:t>
      </w:r>
      <w:r>
        <w:t>and the only information remaining in</w:t>
      </w:r>
      <w:r w:rsidR="00992416">
        <w:t xml:space="preserve"> </w:t>
      </w:r>
      <w:r>
        <w:t>˜</w:t>
      </w:r>
      <w:proofErr w:type="spellStart"/>
      <w:r w:rsidR="00992416">
        <w:t>A</w:t>
      </w:r>
      <w:r>
        <w:t>flat</w:t>
      </w:r>
      <w:proofErr w:type="spellEnd"/>
      <w:r>
        <w:t xml:space="preserve"> pertains to the study foreground. Furthermore, the</w:t>
      </w:r>
      <w:r w:rsidR="00992416">
        <w:t xml:space="preserve"> </w:t>
      </w:r>
      <w:r>
        <w:t>final demand vector has been replaced with a canonical functional unit and no longer needs to be</w:t>
      </w:r>
      <w:r w:rsidR="00992416">
        <w:t xml:space="preserve"> </w:t>
      </w:r>
      <w:r>
        <w:t>explicitly reported.</w:t>
      </w:r>
    </w:p>
    <w:p w:rsidR="001106F8" w:rsidRDefault="001106F8" w:rsidP="001106F8">
      <w:r>
        <w:t>Using the ordered matrices, Eq. 1 can be written so that the computationally costly foreground and</w:t>
      </w:r>
      <w:r w:rsidR="00992416">
        <w:t xml:space="preserve"> </w:t>
      </w:r>
      <w:r>
        <w:t>background inversions can be performed separately:</w:t>
      </w:r>
    </w:p>
    <w:p w:rsidR="001106F8" w:rsidRDefault="00CD3BBA" w:rsidP="001106F8">
      <w:r>
        <w:t>(</w:t>
      </w:r>
      <w:r w:rsidR="001106F8">
        <w:t>5)</w:t>
      </w:r>
    </w:p>
    <w:p w:rsidR="001106F8" w:rsidRDefault="00992416" w:rsidP="001106F8">
      <w:proofErr w:type="gramStart"/>
      <w:r>
        <w:t>where</w:t>
      </w:r>
      <w:proofErr w:type="gramEnd"/>
      <w:r>
        <w:t xml:space="preserve"> ˜</w:t>
      </w:r>
      <w:proofErr w:type="spellStart"/>
      <w:r>
        <w:t>y</w:t>
      </w:r>
      <w:r w:rsidR="001106F8">
        <w:t>f</w:t>
      </w:r>
      <w:proofErr w:type="spellEnd"/>
      <w:r w:rsidR="001106F8">
        <w:t xml:space="preserve"> is a canonical functional unit v</w:t>
      </w:r>
      <w:r>
        <w:t xml:space="preserve">ector having the same rank as </w:t>
      </w:r>
      <w:proofErr w:type="spellStart"/>
      <w:r>
        <w:t>Af</w:t>
      </w:r>
      <w:proofErr w:type="spellEnd"/>
      <w:r w:rsidR="001106F8">
        <w:t>. Eq. 5 is derived</w:t>
      </w:r>
      <w:r>
        <w:t xml:space="preserve"> in the </w:t>
      </w:r>
      <w:r w:rsidR="001106F8">
        <w:t>supplementary materials. Eq. 5 is visualized in Figure 2, with the background technology matrix</w:t>
      </w:r>
      <w:r>
        <w:t xml:space="preserve"> A, having been subsumed into </w:t>
      </w:r>
      <w:proofErr w:type="spellStart"/>
      <w:r>
        <w:t>B</w:t>
      </w:r>
      <w:r w:rsidR="00CD3BBA">
        <w:t>x</w:t>
      </w:r>
      <w:proofErr w:type="spellEnd"/>
      <w:r w:rsidR="001106F8">
        <w:t>, represented by an identity matrix I.</w:t>
      </w:r>
    </w:p>
    <w:p w:rsidR="001106F8" w:rsidRDefault="001106F8" w:rsidP="001106F8">
      <w:r>
        <w:t>The activity levels of the foreground nodes are</w:t>
      </w:r>
      <w:r w:rsidR="00992416">
        <w:t xml:space="preserve"> represented by ˜x, which is the result of ˜</w:t>
      </w:r>
      <w:proofErr w:type="spellStart"/>
      <w:r w:rsidR="00992416">
        <w:t>y</w:t>
      </w:r>
      <w:r>
        <w:t>f</w:t>
      </w:r>
      <w:proofErr w:type="spellEnd"/>
      <w:r>
        <w:t xml:space="preserve"> selecting</w:t>
      </w:r>
      <w:r w:rsidR="00992416">
        <w:t xml:space="preserve"> </w:t>
      </w:r>
      <w:r w:rsidR="00CD3BBA">
        <w:t>the first column of (I−</w:t>
      </w:r>
      <w:proofErr w:type="spellStart"/>
      <w:r w:rsidR="00CD3BBA">
        <w:t>Af</w:t>
      </w:r>
      <w:proofErr w:type="spellEnd"/>
      <w:proofErr w:type="gramStart"/>
      <w:r w:rsidR="00CD3BBA">
        <w:t>)</w:t>
      </w:r>
      <w:r>
        <w:t>−</w:t>
      </w:r>
      <w:proofErr w:type="gramEnd"/>
      <w:r w:rsidR="00CD3BBA">
        <w:t>1</w:t>
      </w:r>
      <w:r>
        <w:t>. This vector can be used to describe an aggregated foreground:</w:t>
      </w:r>
    </w:p>
    <w:p w:rsidR="001106F8" w:rsidRDefault="00992416" w:rsidP="001106F8">
      <w:r>
        <w:t xml:space="preserve"> </w:t>
      </w:r>
      <w:r w:rsidR="001106F8">
        <w:t>(6)</w:t>
      </w:r>
    </w:p>
    <w:p w:rsidR="001106F8" w:rsidRDefault="001106F8" w:rsidP="001106F8">
      <w:r>
        <w:t>The aggregated result can also be computed from the aggregated foreground:</w:t>
      </w:r>
    </w:p>
    <w:p w:rsidR="001106F8" w:rsidRPr="00992416" w:rsidRDefault="00CD3BBA" w:rsidP="001106F8">
      <w:pPr>
        <w:rPr>
          <w:lang w:val="es-ES"/>
        </w:rPr>
      </w:pPr>
      <w:r>
        <w:t xml:space="preserve"> </w:t>
      </w:r>
      <w:r w:rsidR="001106F8">
        <w:t>(7)</w:t>
      </w:r>
    </w:p>
    <w:p w:rsidR="001106F8" w:rsidRDefault="001106F8" w:rsidP="001106F8">
      <w:r>
        <w:lastRenderedPageBreak/>
        <w:t>2.4 Contents of a Disclosure</w:t>
      </w:r>
    </w:p>
    <w:p w:rsidR="001106F8" w:rsidRDefault="001106F8" w:rsidP="001106F8">
      <w:r>
        <w:t xml:space="preserve">The foreground matrix </w:t>
      </w:r>
      <w:proofErr w:type="spellStart"/>
      <w:proofErr w:type="gramStart"/>
      <w:r w:rsidR="00992416">
        <w:t>A</w:t>
      </w:r>
      <w:r>
        <w:t>f</w:t>
      </w:r>
      <w:proofErr w:type="spellEnd"/>
      <w:r>
        <w:t xml:space="preserve"> ,</w:t>
      </w:r>
      <w:proofErr w:type="gramEnd"/>
      <w:r>
        <w:t xml:space="preserve"> dependency matrix Ad , and foreground emission</w:t>
      </w:r>
      <w:r w:rsidR="00992416">
        <w:t xml:space="preserve"> </w:t>
      </w:r>
      <w:r>
        <w:t xml:space="preserve">matrix </w:t>
      </w:r>
      <w:r w:rsidR="00992416">
        <w:t xml:space="preserve">Bf now contain </w:t>
      </w:r>
      <w:r>
        <w:t>all study-specific information. Assuming that the</w:t>
      </w:r>
      <w:r w:rsidR="00992416">
        <w:t xml:space="preserve"> appropriate background LCIDB </w:t>
      </w:r>
      <w:proofErr w:type="spellStart"/>
      <w:r w:rsidR="00992416">
        <w:t>B</w:t>
      </w:r>
      <w:r>
        <w:t>x</w:t>
      </w:r>
      <w:proofErr w:type="spellEnd"/>
      <w:r>
        <w:t xml:space="preserve"> , and the</w:t>
      </w:r>
      <w:r w:rsidR="00992416">
        <w:t xml:space="preserve"> </w:t>
      </w:r>
      <w:r>
        <w:t xml:space="preserve">vector of characterization </w:t>
      </w:r>
      <w:r w:rsidR="00992416">
        <w:t xml:space="preserve">factors e (or their product </w:t>
      </w:r>
      <w:proofErr w:type="spellStart"/>
      <w:r w:rsidR="00992416">
        <w:t>e·B</w:t>
      </w:r>
      <w:r w:rsidR="00CD3BBA">
        <w:t>x</w:t>
      </w:r>
      <w:proofErr w:type="spellEnd"/>
      <w:r>
        <w:t>) are available and held in common</w:t>
      </w:r>
      <w:r w:rsidR="00992416">
        <w:t xml:space="preserve"> </w:t>
      </w:r>
      <w:r>
        <w:t>between the author and the reader, then a disclosure that precisely</w:t>
      </w:r>
      <w:r w:rsidR="00992416">
        <w:t xml:space="preserve"> describes </w:t>
      </w:r>
      <w:proofErr w:type="spellStart"/>
      <w:r w:rsidR="00992416">
        <w:t>Af</w:t>
      </w:r>
      <w:proofErr w:type="spellEnd"/>
      <w:r w:rsidR="00992416">
        <w:t xml:space="preserve"> , Ad and B</w:t>
      </w:r>
      <w:r>
        <w:t>f is</w:t>
      </w:r>
      <w:r w:rsidR="00992416">
        <w:t xml:space="preserve"> </w:t>
      </w:r>
      <w:r>
        <w:t>sufficient to reproduce the study result, as formulated in Eq. 5. These three submatrices together</w:t>
      </w:r>
      <w:r w:rsidR="00992416">
        <w:t xml:space="preserve"> </w:t>
      </w:r>
      <w:r>
        <w:t>can be considered a complete representation of the PSM.</w:t>
      </w:r>
      <w:r w:rsidR="00992416">
        <w:t xml:space="preserve"> </w:t>
      </w:r>
      <w:r>
        <w:t>Thus, the problem of how to disclose an LCA study design is reduced to the problem of how to</w:t>
      </w:r>
      <w:r w:rsidR="00992416">
        <w:t xml:space="preserve"> </w:t>
      </w:r>
      <w:r>
        <w:t>communicate the contents of these submatrices accurately. Recognizing that all three matrices are</w:t>
      </w:r>
      <w:r w:rsidR="00992416">
        <w:t xml:space="preserve"> </w:t>
      </w:r>
      <w:r>
        <w:t>likely to be sparse (that is, that most of the entries are zero), the most efficient disclosure would be</w:t>
      </w:r>
      <w:r w:rsidR="00992416">
        <w:t xml:space="preserve"> </w:t>
      </w:r>
      <w:r>
        <w:t>to only report non-zero entries. A sparse matrix can be represented by a list of 3-tuples indicating</w:t>
      </w:r>
      <w:r w:rsidR="00992416">
        <w:t xml:space="preserve"> </w:t>
      </w:r>
      <w:r>
        <w:t>(row, column, value) for each non-zero entry. Thus, a formal disclosure of the PSM can be stated</w:t>
      </w:r>
      <w:r w:rsidR="00992416">
        <w:t xml:space="preserve"> </w:t>
      </w:r>
      <w:r>
        <w:t>in six parts:</w:t>
      </w:r>
    </w:p>
    <w:p w:rsidR="001106F8" w:rsidRDefault="001106F8" w:rsidP="001106F8">
      <w:proofErr w:type="gramStart"/>
      <w:r>
        <w:t>d-</w:t>
      </w:r>
      <w:proofErr w:type="spellStart"/>
      <w:r>
        <w:t>i</w:t>
      </w:r>
      <w:proofErr w:type="spellEnd"/>
      <w:proofErr w:type="gramEnd"/>
      <w:r>
        <w:t>. An ordered list of fore</w:t>
      </w:r>
      <w:r w:rsidR="00992416">
        <w:t xml:space="preserve">ground nodes (rows/columns of </w:t>
      </w:r>
      <w:proofErr w:type="spellStart"/>
      <w:proofErr w:type="gramStart"/>
      <w:r w:rsidR="00992416">
        <w:t>Af</w:t>
      </w:r>
      <w:proofErr w:type="spellEnd"/>
      <w:proofErr w:type="gramEnd"/>
      <w:r>
        <w:t>);</w:t>
      </w:r>
    </w:p>
    <w:p w:rsidR="001106F8" w:rsidRDefault="001106F8" w:rsidP="001106F8">
      <w:proofErr w:type="gramStart"/>
      <w:r>
        <w:t>d-ii</w:t>
      </w:r>
      <w:proofErr w:type="gramEnd"/>
      <w:r>
        <w:t>. An ordered list of background flows, making reference to a</w:t>
      </w:r>
      <w:r w:rsidR="00992416">
        <w:t xml:space="preserve"> particular background database </w:t>
      </w:r>
      <w:r>
        <w:t xml:space="preserve">(rows of </w:t>
      </w:r>
      <w:proofErr w:type="gramStart"/>
      <w:r>
        <w:t>Ad ,</w:t>
      </w:r>
      <w:proofErr w:type="gramEnd"/>
      <w:r>
        <w:t xml:space="preserve"> mapping to columns of </w:t>
      </w:r>
      <w:proofErr w:type="spellStart"/>
      <w:r>
        <w:t>B</w:t>
      </w:r>
      <w:r w:rsidR="00CD3BBA">
        <w:t>x</w:t>
      </w:r>
      <w:proofErr w:type="spellEnd"/>
      <w:r>
        <w:t>);</w:t>
      </w:r>
    </w:p>
    <w:p w:rsidR="001106F8" w:rsidRDefault="001106F8" w:rsidP="001106F8">
      <w:proofErr w:type="gramStart"/>
      <w:r>
        <w:t>d-iii</w:t>
      </w:r>
      <w:proofErr w:type="gramEnd"/>
      <w:r>
        <w:t>. An ordered list of exchan</w:t>
      </w:r>
      <w:r w:rsidR="00992416">
        <w:t>ges with environment (rows of Bf</w:t>
      </w:r>
      <w:r>
        <w:t>, mapping to entries in e);</w:t>
      </w:r>
    </w:p>
    <w:p w:rsidR="001106F8" w:rsidRDefault="001106F8" w:rsidP="001106F8">
      <w:proofErr w:type="gramStart"/>
      <w:r>
        <w:t>d-iv</w:t>
      </w:r>
      <w:proofErr w:type="gramEnd"/>
      <w:r>
        <w:t>. A list of 3-t</w:t>
      </w:r>
      <w:r w:rsidR="00992416">
        <w:t xml:space="preserve">uples for nonzero elements of </w:t>
      </w:r>
      <w:proofErr w:type="spellStart"/>
      <w:proofErr w:type="gramStart"/>
      <w:r w:rsidR="00992416">
        <w:t>Af</w:t>
      </w:r>
      <w:proofErr w:type="spellEnd"/>
      <w:proofErr w:type="gramEnd"/>
      <w:r>
        <w:t xml:space="preserve">, in which the </w:t>
      </w:r>
      <w:r w:rsidR="00992416">
        <w:t xml:space="preserve">row and column are indices into </w:t>
      </w:r>
      <w:r>
        <w:t>Item d-</w:t>
      </w:r>
      <w:proofErr w:type="spellStart"/>
      <w:r>
        <w:t>i</w:t>
      </w:r>
      <w:proofErr w:type="spellEnd"/>
      <w:r>
        <w:t>;</w:t>
      </w:r>
    </w:p>
    <w:p w:rsidR="001106F8" w:rsidRDefault="001106F8" w:rsidP="001106F8">
      <w:proofErr w:type="gramStart"/>
      <w:r>
        <w:t>d-v</w:t>
      </w:r>
      <w:proofErr w:type="gramEnd"/>
      <w:r>
        <w:t xml:space="preserve">. </w:t>
      </w:r>
      <w:proofErr w:type="gramStart"/>
      <w:r>
        <w:t>a</w:t>
      </w:r>
      <w:proofErr w:type="gramEnd"/>
      <w:r>
        <w:t xml:space="preserve"> list of 3-t</w:t>
      </w:r>
      <w:r w:rsidR="00992416">
        <w:t>uples for nonzero elements of A</w:t>
      </w:r>
      <w:r>
        <w:t>d , in which the rows</w:t>
      </w:r>
      <w:r w:rsidR="00992416">
        <w:t xml:space="preserve"> are indices into Item d-ii and </w:t>
      </w:r>
      <w:r>
        <w:t>the columns are indices into Item d-</w:t>
      </w:r>
      <w:proofErr w:type="spellStart"/>
      <w:r>
        <w:t>i</w:t>
      </w:r>
      <w:proofErr w:type="spellEnd"/>
      <w:r>
        <w:t>;</w:t>
      </w:r>
    </w:p>
    <w:p w:rsidR="001106F8" w:rsidRDefault="001106F8" w:rsidP="001106F8">
      <w:proofErr w:type="gramStart"/>
      <w:r>
        <w:t>d-vi</w:t>
      </w:r>
      <w:proofErr w:type="gramEnd"/>
      <w:r>
        <w:t xml:space="preserve">. </w:t>
      </w:r>
      <w:proofErr w:type="gramStart"/>
      <w:r>
        <w:t>a</w:t>
      </w:r>
      <w:proofErr w:type="gramEnd"/>
      <w:r>
        <w:t xml:space="preserve"> list of 3-t</w:t>
      </w:r>
      <w:r w:rsidR="00992416">
        <w:t>uples for nonzero elements of B</w:t>
      </w:r>
      <w:r>
        <w:t>f , in which the r</w:t>
      </w:r>
      <w:r w:rsidR="00992416">
        <w:t xml:space="preserve">ows are indices into Item d-iii </w:t>
      </w:r>
      <w:r>
        <w:t>and the columns are indices into Item d-</w:t>
      </w:r>
      <w:proofErr w:type="spellStart"/>
      <w:r>
        <w:t>i</w:t>
      </w:r>
      <w:proofErr w:type="spellEnd"/>
      <w:r>
        <w:t>.</w:t>
      </w:r>
    </w:p>
    <w:p w:rsidR="001106F8" w:rsidRDefault="001106F8" w:rsidP="001106F8">
      <w:r>
        <w:t>A disclosure containing these six elements satisfies most of the requ</w:t>
      </w:r>
      <w:r w:rsidR="00992416">
        <w:t xml:space="preserve">irements established at the top </w:t>
      </w:r>
      <w:r>
        <w:t>of this section (the exception is ensuring the privacy of confidential data, which is treated later in</w:t>
      </w:r>
      <w:r w:rsidR="00992416">
        <w:t xml:space="preserve"> </w:t>
      </w:r>
      <w:r>
        <w:t>the article):</w:t>
      </w:r>
    </w:p>
    <w:p w:rsidR="001106F8" w:rsidRDefault="001106F8" w:rsidP="001106F8">
      <w:r>
        <w:t>• The result is computable using Eq. 5;</w:t>
      </w:r>
    </w:p>
    <w:p w:rsidR="001106F8" w:rsidRDefault="001106F8" w:rsidP="001106F8">
      <w:r>
        <w:t xml:space="preserve">• </w:t>
      </w:r>
      <w:proofErr w:type="gramStart"/>
      <w:r>
        <w:t>the</w:t>
      </w:r>
      <w:proofErr w:type="gramEnd"/>
      <w:r>
        <w:t xml:space="preserve"> computation is complete and minimal because all co</w:t>
      </w:r>
      <w:r w:rsidR="00992416">
        <w:t>mponents are required and no su</w:t>
      </w:r>
      <w:r>
        <w:t>perfluous components are included;</w:t>
      </w:r>
    </w:p>
    <w:p w:rsidR="001106F8" w:rsidRDefault="001106F8" w:rsidP="001106F8">
      <w:r>
        <w:t>• The results are reproducible if the reader is able to accurate</w:t>
      </w:r>
      <w:r w:rsidR="00992416">
        <w:t>ly interpret the author’s refer</w:t>
      </w:r>
      <w:r>
        <w:t>ences in d-ii and</w:t>
      </w:r>
      <w:r w:rsidR="00992416">
        <w:t xml:space="preserve"> </w:t>
      </w:r>
      <w:r>
        <w:t>d-iii;</w:t>
      </w:r>
    </w:p>
    <w:p w:rsidR="00992416" w:rsidRDefault="001106F8" w:rsidP="001106F8">
      <w:r>
        <w:t>• The disclosure includes only information for which the author can claim authority;</w:t>
      </w:r>
    </w:p>
    <w:p w:rsidR="001106F8" w:rsidRDefault="001106F8" w:rsidP="001106F8">
      <w:r>
        <w:t>• The disclosure includes only information for which the study is the primary source.</w:t>
      </w:r>
    </w:p>
    <w:p w:rsidR="001106F8" w:rsidRDefault="001106F8" w:rsidP="001106F8">
      <w:r>
        <w:t>As mentioned, the proper interpretation of the disclosure requires t</w:t>
      </w:r>
      <w:r w:rsidR="00992416">
        <w:t>hat the reader accurately inter</w:t>
      </w:r>
      <w:r>
        <w:t>prets the author’s references to background databases and elementary flows, including mutually</w:t>
      </w:r>
      <w:r w:rsidR="00992416">
        <w:t xml:space="preserve"> </w:t>
      </w:r>
      <w:r>
        <w:t xml:space="preserve">consistent </w:t>
      </w:r>
      <w:r>
        <w:lastRenderedPageBreak/>
        <w:t>implementation of the LCIA vector e. These aspects are out of scope for the purposes</w:t>
      </w:r>
      <w:r w:rsidR="00992416">
        <w:t xml:space="preserve"> </w:t>
      </w:r>
      <w:r>
        <w:t>of this paper, and we will assume that a shared understanding between author and reader can be</w:t>
      </w:r>
      <w:r w:rsidR="00992416">
        <w:t xml:space="preserve"> </w:t>
      </w:r>
      <w:r>
        <w:t>reached. However, the challenges of operationalizing this r</w:t>
      </w:r>
      <w:r w:rsidR="00992416">
        <w:t>equirement are complex (see Dis</w:t>
      </w:r>
      <w:r>
        <w:t>cussion and Supplementary materials).</w:t>
      </w:r>
    </w:p>
    <w:p w:rsidR="001106F8" w:rsidRDefault="001106F8" w:rsidP="001106F8">
      <w:r>
        <w:t>3 Reviewing Product System Models</w:t>
      </w:r>
    </w:p>
    <w:p w:rsidR="001106F8" w:rsidRDefault="001106F8" w:rsidP="001106F8">
      <w:r>
        <w:t>Objectives</w:t>
      </w:r>
      <w:r w:rsidR="00992416">
        <w:t xml:space="preserve"> </w:t>
      </w:r>
      <w:r>
        <w:t>in</w:t>
      </w:r>
      <w:r w:rsidR="00992416">
        <w:t xml:space="preserve"> </w:t>
      </w:r>
      <w:r>
        <w:t>critical</w:t>
      </w:r>
      <w:r w:rsidR="00992416">
        <w:t xml:space="preserve"> </w:t>
      </w:r>
      <w:r>
        <w:t>review</w:t>
      </w:r>
      <w:r w:rsidR="00992416">
        <w:t xml:space="preserve"> </w:t>
      </w:r>
      <w:r>
        <w:t>vary</w:t>
      </w:r>
      <w:r w:rsidR="00992416">
        <w:t xml:space="preserve"> </w:t>
      </w:r>
      <w:r>
        <w:t>with</w:t>
      </w:r>
      <w:r w:rsidR="00992416">
        <w:t xml:space="preserve"> </w:t>
      </w:r>
      <w:r>
        <w:t>the</w:t>
      </w:r>
      <w:r w:rsidR="00992416">
        <w:t xml:space="preserve"> </w:t>
      </w:r>
      <w:r>
        <w:t>study</w:t>
      </w:r>
      <w:r w:rsidR="00992416">
        <w:t xml:space="preserve"> </w:t>
      </w:r>
      <w:r>
        <w:t>and the</w:t>
      </w:r>
      <w:r w:rsidR="00992416">
        <w:t xml:space="preserve"> </w:t>
      </w:r>
      <w:r>
        <w:t>reviewer, but</w:t>
      </w:r>
      <w:r w:rsidR="00992416">
        <w:t xml:space="preserve"> </w:t>
      </w:r>
      <w:r>
        <w:t>they</w:t>
      </w:r>
      <w:r w:rsidR="00992416">
        <w:t xml:space="preserve"> </w:t>
      </w:r>
      <w:r>
        <w:t xml:space="preserve">generally </w:t>
      </w:r>
      <w:r w:rsidR="00992416">
        <w:t>include consis</w:t>
      </w:r>
      <w:r>
        <w:t>tency with the ISO 14044 standard, the validity of methods, approp</w:t>
      </w:r>
      <w:r w:rsidR="00992416">
        <w:t>riateness of data used, correct</w:t>
      </w:r>
      <w:r>
        <w:t>ness of interpretations, and transparency of reporting (ISO 14044, 2006, Section 6.1). Although</w:t>
      </w:r>
      <w:r w:rsidR="00992416">
        <w:t xml:space="preserve"> </w:t>
      </w:r>
      <w:r>
        <w:t>the object of critical review is typically a written report, the use of a structured disclosure of a PSM</w:t>
      </w:r>
      <w:r w:rsidR="00992416">
        <w:t xml:space="preserve"> </w:t>
      </w:r>
      <w:r>
        <w:t>introduces the possibility that reviewers can inspect the model its</w:t>
      </w:r>
      <w:r w:rsidR="00992416">
        <w:t>elf and even verify the computa</w:t>
      </w:r>
      <w:r>
        <w:t>tions and reported results. This section discusses how a disclosure in the format described above</w:t>
      </w:r>
      <w:r w:rsidR="00992416">
        <w:t xml:space="preserve"> </w:t>
      </w:r>
      <w:r>
        <w:t>can enable robust review of a product system model. Note that, for purposes of critical review, the</w:t>
      </w:r>
      <w:r w:rsidR="00992416">
        <w:t xml:space="preserve"> </w:t>
      </w:r>
      <w:r>
        <w:t>objective for data privacy can be omitted because the reviewer may be granted privileged access to</w:t>
      </w:r>
      <w:r w:rsidR="00992416">
        <w:t xml:space="preserve"> </w:t>
      </w:r>
      <w:r>
        <w:t>confidential data. We return to the data privacy requirement in the next section.</w:t>
      </w:r>
    </w:p>
    <w:p w:rsidR="001106F8" w:rsidRDefault="001106F8" w:rsidP="001106F8">
      <w:r>
        <w:t>3.1 Interpreting the Foreground</w:t>
      </w:r>
    </w:p>
    <w:p w:rsidR="001106F8" w:rsidRDefault="001106F8" w:rsidP="001106F8">
      <w:r>
        <w:t>The foreground of an LCA study is a collection of nodes that represent points in the inventory</w:t>
      </w:r>
      <w:r w:rsidR="00992416">
        <w:t xml:space="preserve"> </w:t>
      </w:r>
      <w:r>
        <w:t xml:space="preserve">model where flows are exchanged. The foreground matrix </w:t>
      </w:r>
      <w:proofErr w:type="gramStart"/>
      <w:r>
        <w:t>A</w:t>
      </w:r>
      <w:proofErr w:type="gramEnd"/>
      <w:r>
        <w:t xml:space="preserve"> f describes in precise terms what</w:t>
      </w:r>
      <w:r w:rsidR="00992416">
        <w:t xml:space="preserve"> </w:t>
      </w:r>
      <w:r>
        <w:t>components are included in the product system and how they c</w:t>
      </w:r>
      <w:r w:rsidR="00992416">
        <w:t>onnect to one another. The fore</w:t>
      </w:r>
      <w:r>
        <w:t>ground is modelled as a weighted directed graph in which there is a 1:1 correspondence between</w:t>
      </w:r>
      <w:r w:rsidR="00992416">
        <w:t xml:space="preserve"> </w:t>
      </w:r>
      <w:r>
        <w:t>nodes and product</w:t>
      </w:r>
      <w:r w:rsidR="00992416">
        <w:t xml:space="preserve"> flows. The foreground matrix </w:t>
      </w:r>
      <w:proofErr w:type="spellStart"/>
      <w:proofErr w:type="gramStart"/>
      <w:r w:rsidR="00992416">
        <w:t>A</w:t>
      </w:r>
      <w:r>
        <w:t>f</w:t>
      </w:r>
      <w:proofErr w:type="spellEnd"/>
      <w:proofErr w:type="gramEnd"/>
      <w:r>
        <w:t xml:space="preserve"> reports the adjacency and weights of edges in</w:t>
      </w:r>
      <w:r w:rsidR="00992416">
        <w:t xml:space="preserve"> </w:t>
      </w:r>
      <w:r>
        <w:t>the graph, and thus describes the relationships among these nodes. These nodes typically represent</w:t>
      </w:r>
      <w:r w:rsidR="00992416">
        <w:t xml:space="preserve"> </w:t>
      </w:r>
      <w:r>
        <w:t>unit processes, but they can also indicate exchanges across an i</w:t>
      </w:r>
      <w:r w:rsidR="00992416">
        <w:t>mplicit system boundary that en</w:t>
      </w:r>
      <w:r>
        <w:t xml:space="preserve">closes the foreground. Generally, the foreground matrix </w:t>
      </w:r>
      <w:proofErr w:type="gramStart"/>
      <w:r>
        <w:t>A</w:t>
      </w:r>
      <w:proofErr w:type="gramEnd"/>
      <w:r>
        <w:t xml:space="preserve"> f can represent any process-flow model</w:t>
      </w:r>
      <w:r w:rsidR="00992416">
        <w:t xml:space="preserve"> </w:t>
      </w:r>
      <w:r>
        <w:t>with a 1:1 correspondence between processes and flows, i.e. any allocated supply-and-use table,</w:t>
      </w:r>
      <w:r w:rsidR="00992416">
        <w:t xml:space="preserve"> </w:t>
      </w:r>
      <w:r>
        <w:t>but some fundamental designs are common. Some simple foreground models are shown in the</w:t>
      </w:r>
      <w:r w:rsidR="00992416">
        <w:t xml:space="preserve"> </w:t>
      </w:r>
      <w:r>
        <w:t>supplementary materials.</w:t>
      </w:r>
    </w:p>
    <w:p w:rsidR="001106F8" w:rsidRDefault="001106F8" w:rsidP="001106F8">
      <w:r>
        <w:t>3.2 Dependencies, Emissions, and Cutoffs</w:t>
      </w:r>
    </w:p>
    <w:p w:rsidR="001106F8" w:rsidRDefault="001106F8" w:rsidP="001106F8">
      <w:r>
        <w:t xml:space="preserve">The foreground matrix only describes the structure of the PSM; </w:t>
      </w:r>
      <w:r w:rsidR="00992416">
        <w:t>it does not provide any informa</w:t>
      </w:r>
      <w:r>
        <w:t>tion about inventory or impacts. The inventory requirements a</w:t>
      </w:r>
      <w:r w:rsidR="00992416">
        <w:t>nd environmental burdens associ</w:t>
      </w:r>
      <w:r>
        <w:t>ated with the model are all described in the dependency matrix A d and the foreground emission</w:t>
      </w:r>
      <w:r w:rsidR="00992416">
        <w:t xml:space="preserve"> </w:t>
      </w:r>
      <w:r>
        <w:t xml:space="preserve">matrix </w:t>
      </w:r>
      <w:proofErr w:type="gramStart"/>
      <w:r>
        <w:t>Bf .</w:t>
      </w:r>
      <w:proofErr w:type="gramEnd"/>
      <w:r>
        <w:t xml:space="preserve"> The dependency matrix shows how foreground nodes depend on activities provided by</w:t>
      </w:r>
      <w:r w:rsidR="00992416">
        <w:t xml:space="preserve"> </w:t>
      </w:r>
      <w:r>
        <w:t>processes in a background database; the emission matrix shows direct</w:t>
      </w:r>
      <w:r w:rsidR="00992416">
        <w:t xml:space="preserve"> exchanges with the envi</w:t>
      </w:r>
      <w:r>
        <w:t>ronment. In both cas</w:t>
      </w:r>
      <w:r w:rsidR="00992416">
        <w:t xml:space="preserve">es, the respective columns of Ad and Bf correspond with columns in </w:t>
      </w:r>
      <w:proofErr w:type="spellStart"/>
      <w:proofErr w:type="gramStart"/>
      <w:r w:rsidR="00992416">
        <w:t>A</w:t>
      </w:r>
      <w:r>
        <w:t>f</w:t>
      </w:r>
      <w:proofErr w:type="spellEnd"/>
      <w:proofErr w:type="gramEnd"/>
      <w:r>
        <w:t xml:space="preserve"> and</w:t>
      </w:r>
      <w:r w:rsidR="00992416">
        <w:t xml:space="preserve"> </w:t>
      </w:r>
      <w:r>
        <w:t>denote dependencies and/or emissions of the corresponding nodes. Review of the dependencies</w:t>
      </w:r>
      <w:r w:rsidR="00992416">
        <w:t xml:space="preserve"> </w:t>
      </w:r>
      <w:r>
        <w:t>of foreground nodes must include review of the selection of background processes to which they</w:t>
      </w:r>
      <w:r w:rsidR="00992416">
        <w:t xml:space="preserve"> </w:t>
      </w:r>
      <w:r>
        <w:t>are connected (i.e. the</w:t>
      </w:r>
      <w:r w:rsidR="00992416">
        <w:t xml:space="preserve"> identities of the columns of </w:t>
      </w:r>
      <w:proofErr w:type="spellStart"/>
      <w:r w:rsidR="00992416">
        <w:t>B</w:t>
      </w:r>
      <w:r>
        <w:t>x</w:t>
      </w:r>
      <w:proofErr w:type="spellEnd"/>
      <w:r>
        <w:t xml:space="preserve"> referred to in disclosure item d-ii, the list of</w:t>
      </w:r>
      <w:r w:rsidR="00992416">
        <w:t xml:space="preserve"> </w:t>
      </w:r>
      <w:r>
        <w:t>background flows). Likewise, the identities of the emissions (entries in disclosure item d-iii) must</w:t>
      </w:r>
      <w:r w:rsidR="00992416">
        <w:t xml:space="preserve"> </w:t>
      </w:r>
      <w:r>
        <w:t>also be reviewed.</w:t>
      </w:r>
    </w:p>
    <w:p w:rsidR="001106F8" w:rsidRDefault="001106F8" w:rsidP="001106F8">
      <w:r>
        <w:lastRenderedPageBreak/>
        <w:t>Interpretation of the contents of these matrices thu</w:t>
      </w:r>
      <w:r w:rsidR="00992416">
        <w:t xml:space="preserve">s hinges on the contents of </w:t>
      </w:r>
      <w:proofErr w:type="spellStart"/>
      <w:proofErr w:type="gramStart"/>
      <w:r w:rsidR="00992416">
        <w:t>Af</w:t>
      </w:r>
      <w:proofErr w:type="spellEnd"/>
      <w:proofErr w:type="gramEnd"/>
      <w:r>
        <w:t>. If a column in</w:t>
      </w:r>
      <w:r w:rsidR="00992416">
        <w:t xml:space="preserve"> </w:t>
      </w:r>
      <w:proofErr w:type="spellStart"/>
      <w:proofErr w:type="gramStart"/>
      <w:r w:rsidR="00992416">
        <w:t>A</w:t>
      </w:r>
      <w:r>
        <w:t>f</w:t>
      </w:r>
      <w:proofErr w:type="spellEnd"/>
      <w:proofErr w:type="gramEnd"/>
      <w:r>
        <w:t xml:space="preserve"> is nonempty, then the corresponding node has exchanges with other nodes in the foreground.</w:t>
      </w:r>
      <w:r w:rsidR="00992416">
        <w:t xml:space="preserve"> If columns of Ad and/or B</w:t>
      </w:r>
      <w:r>
        <w:t>f are empty, then the node is simply a pass-through process that serves</w:t>
      </w:r>
      <w:r w:rsidR="00992416">
        <w:t xml:space="preserve"> </w:t>
      </w:r>
      <w:r>
        <w:t>to connect different for</w:t>
      </w:r>
      <w:r w:rsidR="00992416">
        <w:t>eground elements. However, if Ad and/or B</w:t>
      </w:r>
      <w:r>
        <w:t>f have nonzero entries in that</w:t>
      </w:r>
      <w:r w:rsidR="00992416">
        <w:t xml:space="preserve"> </w:t>
      </w:r>
      <w:r>
        <w:t>column, then that indicates some transformation process or emission is occurring at that point in</w:t>
      </w:r>
      <w:r w:rsidR="00992416">
        <w:t xml:space="preserve"> </w:t>
      </w:r>
      <w:r>
        <w:t>the foreground.</w:t>
      </w:r>
    </w:p>
    <w:p w:rsidR="001106F8" w:rsidRDefault="001106F8" w:rsidP="001106F8">
      <w:r>
        <w:t xml:space="preserve">On the other hand, if a column in </w:t>
      </w:r>
      <w:proofErr w:type="gramStart"/>
      <w:r>
        <w:t>A</w:t>
      </w:r>
      <w:proofErr w:type="gramEnd"/>
      <w:r>
        <w:t xml:space="preserve"> f is empty, then that is an indication that the corresponding</w:t>
      </w:r>
      <w:r w:rsidR="00992416">
        <w:t xml:space="preserve"> </w:t>
      </w:r>
      <w:r>
        <w:t>product flow is crossing the foreground system boundary. In order for this flow to contribute any</w:t>
      </w:r>
      <w:r w:rsidR="00992416">
        <w:t xml:space="preserve"> </w:t>
      </w:r>
      <w:r>
        <w:t>impacts, it must either be “terminated” in the dependency matrix, or represented as an emission.</w:t>
      </w:r>
      <w:r w:rsidR="00992416">
        <w:t xml:space="preserve"> </w:t>
      </w:r>
      <w:r>
        <w:t xml:space="preserve">Flows whose entire column consists of 0s throughout A </w:t>
      </w:r>
      <w:proofErr w:type="gramStart"/>
      <w:r>
        <w:t>f ,</w:t>
      </w:r>
      <w:proofErr w:type="gramEnd"/>
      <w:r>
        <w:t xml:space="preserve"> A d , and B f are “cut-offs” that exit the</w:t>
      </w:r>
      <w:r w:rsidR="00992416">
        <w:t xml:space="preserve"> </w:t>
      </w:r>
      <w:r>
        <w:t>model with zero burdens. Specifying cut-off criteria and reporti</w:t>
      </w:r>
      <w:r w:rsidR="00992416">
        <w:t>ng of cut-off flows is an impor</w:t>
      </w:r>
      <w:r>
        <w:t>tant part of system boundary definition. Thus, reviewing cut-off flows (including evaluating their</w:t>
      </w:r>
      <w:r w:rsidR="00992416">
        <w:t xml:space="preserve"> </w:t>
      </w:r>
      <w:r>
        <w:t>significance) is a crucial part of review that is facilitated by having a structured disclosure of the</w:t>
      </w:r>
      <w:r w:rsidR="00992416">
        <w:t xml:space="preserve"> </w:t>
      </w:r>
      <w:r>
        <w:t>model.</w:t>
      </w:r>
    </w:p>
    <w:p w:rsidR="001106F8" w:rsidRDefault="001106F8" w:rsidP="001106F8">
      <w:r>
        <w:t xml:space="preserve">4 Foreground </w:t>
      </w:r>
      <w:proofErr w:type="gramStart"/>
      <w:r>
        <w:t>Aggregation</w:t>
      </w:r>
      <w:proofErr w:type="gramEnd"/>
    </w:p>
    <w:p w:rsidR="00992416" w:rsidRDefault="001106F8" w:rsidP="001106F8">
      <w:r>
        <w:t>When an LCA study result is computed, the foreground and background matrices are aggregated</w:t>
      </w:r>
      <w:r w:rsidR="00992416">
        <w:t xml:space="preserve"> </w:t>
      </w:r>
      <w:r>
        <w:t>into a scalar indicator score (or a small vector of a few scores). The formulation in Eq. 5 and the</w:t>
      </w:r>
      <w:r w:rsidR="00992416">
        <w:t xml:space="preserve"> </w:t>
      </w:r>
      <w:r>
        <w:t xml:space="preserve">illustration in Fig. 2 </w:t>
      </w:r>
      <w:proofErr w:type="gramStart"/>
      <w:r>
        <w:t>provides</w:t>
      </w:r>
      <w:proofErr w:type="gramEnd"/>
      <w:r>
        <w:t xml:space="preserve"> a framework for reporting results at varying levels of aggregation. In</w:t>
      </w:r>
      <w:r w:rsidR="00992416">
        <w:t xml:space="preserve"> </w:t>
      </w:r>
      <w:r>
        <w:t>this section, I present several different aggregation computations that provide equivalent results for</w:t>
      </w:r>
      <w:r w:rsidR="00992416">
        <w:t xml:space="preserve"> </w:t>
      </w:r>
      <w:r>
        <w:t>an LCA study. After that, I show how a foreground containing private data can be partitioned into</w:t>
      </w:r>
      <w:r w:rsidR="00992416">
        <w:t xml:space="preserve"> </w:t>
      </w:r>
      <w:r>
        <w:t>public and private portions, each of which can be comprehensively checked by a reviewer having</w:t>
      </w:r>
      <w:r w:rsidR="00992416">
        <w:t xml:space="preserve"> </w:t>
      </w:r>
      <w:r>
        <w:t>privileged access, and subsequently disclosed in a manner that protects the private data.</w:t>
      </w:r>
    </w:p>
    <w:p w:rsidR="001106F8" w:rsidRDefault="001106F8" w:rsidP="001106F8">
      <w:r>
        <w:t>4.1 Forms of Aggregation</w:t>
      </w:r>
    </w:p>
    <w:p w:rsidR="001106F8" w:rsidRDefault="001106F8" w:rsidP="001106F8">
      <w:r>
        <w:t>Figure 2 illustrates the LCA computation in various successive agg</w:t>
      </w:r>
      <w:r w:rsidR="00992416">
        <w:t>regation steps, from full matri</w:t>
      </w:r>
      <w:r>
        <w:t>ces to vectors to a scalar value. The level of aggregation provided in a disclosure will constrain</w:t>
      </w:r>
      <w:r w:rsidR="00992416">
        <w:t xml:space="preserve"> </w:t>
      </w:r>
      <w:r>
        <w:t xml:space="preserve">what review objectives can be met by the reader of a study. Different </w:t>
      </w:r>
      <w:r w:rsidR="00992416">
        <w:t>aggregation forms are illus</w:t>
      </w:r>
      <w:r>
        <w:t>trated in Figure 3.</w:t>
      </w:r>
    </w:p>
    <w:p w:rsidR="001106F8" w:rsidRDefault="001106F8" w:rsidP="001106F8">
      <w:r>
        <w:t>4.1.1 Unit Process Inventory</w:t>
      </w:r>
    </w:p>
    <w:p w:rsidR="001106F8" w:rsidRDefault="001106F8" w:rsidP="001106F8">
      <w:r>
        <w:t>A unit process makes up a single sha</w:t>
      </w:r>
      <w:r w:rsidR="00992416">
        <w:t xml:space="preserve">red column of </w:t>
      </w:r>
      <w:proofErr w:type="spellStart"/>
      <w:proofErr w:type="gramStart"/>
      <w:r w:rsidR="00992416">
        <w:t>Af</w:t>
      </w:r>
      <w:proofErr w:type="spellEnd"/>
      <w:proofErr w:type="gramEnd"/>
      <w:r w:rsidR="00992416">
        <w:t>, Ad, and Bf, as depicted in Figure 3a. Doc</w:t>
      </w:r>
      <w:r>
        <w:t xml:space="preserve">umentation of unit processes is specified in ISO </w:t>
      </w:r>
      <w:proofErr w:type="gramStart"/>
      <w:r>
        <w:t>14048,</w:t>
      </w:r>
      <w:proofErr w:type="gramEnd"/>
      <w:r>
        <w:t xml:space="preserve"> and several complia</w:t>
      </w:r>
      <w:r w:rsidR="00992416">
        <w:t xml:space="preserve">nt formats exist, the </w:t>
      </w:r>
      <w:r>
        <w:t xml:space="preserve">most well-known being the ILCD and </w:t>
      </w:r>
      <w:proofErr w:type="spellStart"/>
      <w:r>
        <w:t>Ecospold</w:t>
      </w:r>
      <w:proofErr w:type="spellEnd"/>
      <w:r>
        <w:t xml:space="preserve"> XML formats. ISO 14048 specifies a distinction</w:t>
      </w:r>
      <w:r w:rsidR="00992416">
        <w:t xml:space="preserve"> </w:t>
      </w:r>
      <w:r>
        <w:t>between intermediate and elementary flows, but does not incl</w:t>
      </w:r>
      <w:r w:rsidR="00992416">
        <w:t>ude the concept of a model fore</w:t>
      </w:r>
      <w:r>
        <w:t>ground. In a matrix representation, each unit process must have exactly one reference flow, which</w:t>
      </w:r>
      <w:r w:rsidR="00992416">
        <w:t xml:space="preserve"> </w:t>
      </w:r>
      <w:r>
        <w:t>corresponds to its row and column in</w:t>
      </w:r>
      <w:r w:rsidR="00992416">
        <w:t xml:space="preserve"> </w:t>
      </w:r>
      <w:proofErr w:type="spellStart"/>
      <w:proofErr w:type="gramStart"/>
      <w:r w:rsidR="00992416">
        <w:t>Af</w:t>
      </w:r>
      <w:proofErr w:type="spellEnd"/>
      <w:proofErr w:type="gramEnd"/>
      <w:r>
        <w:t>.</w:t>
      </w:r>
    </w:p>
    <w:p w:rsidR="001106F8" w:rsidRDefault="001106F8" w:rsidP="001106F8">
      <w:r>
        <w:t>4.1.2 Foreground or Foreground Fragment</w:t>
      </w:r>
    </w:p>
    <w:p w:rsidR="001106F8" w:rsidRDefault="001106F8" w:rsidP="001106F8">
      <w:r>
        <w:t>See Figure 3b. A foreground can be viewed as a linked set of unit pr</w:t>
      </w:r>
      <w:r w:rsidR="00992416">
        <w:t>ocesses. The collection of pro</w:t>
      </w:r>
      <w:r>
        <w:t xml:space="preserve">cesses </w:t>
      </w:r>
      <w:r w:rsidR="00992416">
        <w:t>t</w:t>
      </w:r>
      <w:r>
        <w:t>hemselves</w:t>
      </w:r>
      <w:r w:rsidR="00992416">
        <w:t xml:space="preserve"> </w:t>
      </w:r>
      <w:r>
        <w:t>make</w:t>
      </w:r>
      <w:r w:rsidR="00992416">
        <w:t xml:space="preserve"> </w:t>
      </w:r>
      <w:r>
        <w:t>up the</w:t>
      </w:r>
      <w:r w:rsidR="00992416">
        <w:t xml:space="preserve"> </w:t>
      </w:r>
      <w:r>
        <w:t>foreground of</w:t>
      </w:r>
      <w:r w:rsidR="00992416">
        <w:t xml:space="preserve"> </w:t>
      </w:r>
      <w:r>
        <w:t>the</w:t>
      </w:r>
      <w:r w:rsidR="00992416">
        <w:t xml:space="preserve"> </w:t>
      </w:r>
      <w:r>
        <w:t>study, and so exchanges among them</w:t>
      </w:r>
      <w:r w:rsidR="00992416">
        <w:t xml:space="preserve"> </w:t>
      </w:r>
      <w:r>
        <w:t>are recorded</w:t>
      </w:r>
      <w:r w:rsidR="00992416">
        <w:t xml:space="preserve"> </w:t>
      </w:r>
      <w:r>
        <w:t xml:space="preserve">in </w:t>
      </w:r>
      <w:proofErr w:type="spellStart"/>
      <w:proofErr w:type="gramStart"/>
      <w:r>
        <w:t>Af</w:t>
      </w:r>
      <w:proofErr w:type="spellEnd"/>
      <w:proofErr w:type="gramEnd"/>
      <w:r>
        <w:t>, and exchanges outside the foreground are represented in Ad or Bf. A complete foreground</w:t>
      </w:r>
      <w:r w:rsidR="00992416">
        <w:t xml:space="preserve"> </w:t>
      </w:r>
      <w:r>
        <w:t>represents the full disclosure of a model, and a reader can replicate and extend it independently.</w:t>
      </w:r>
      <w:r w:rsidR="00992416">
        <w:t xml:space="preserve"> </w:t>
      </w:r>
      <w:r>
        <w:t xml:space="preserve">A fragment of the </w:t>
      </w:r>
      <w:r>
        <w:lastRenderedPageBreak/>
        <w:t>PSM can also be published as a complete foreground. Any co-produc</w:t>
      </w:r>
      <w:r w:rsidR="00992416">
        <w:t>tion treat</w:t>
      </w:r>
      <w:r>
        <w:t>ment, such as an allocation or system expansion, can only be fully expressed as a foreground</w:t>
      </w:r>
      <w:r w:rsidR="00992416">
        <w:t xml:space="preserve"> </w:t>
      </w:r>
      <w:r>
        <w:t>fragment, because it intrinsically involves a collection of linked unit processes.</w:t>
      </w:r>
    </w:p>
    <w:p w:rsidR="001106F8" w:rsidRDefault="001106F8" w:rsidP="001106F8">
      <w:r>
        <w:t>4.1.3 Aggregated Foreground</w:t>
      </w:r>
    </w:p>
    <w:p w:rsidR="001106F8" w:rsidRDefault="001106F8" w:rsidP="001106F8">
      <w:r>
        <w:t>See Figure 3c. Any collection of foreground nodes can also be expressed in aggregated form</w:t>
      </w:r>
      <w:r w:rsidR="00992416">
        <w:t xml:space="preserve"> </w:t>
      </w:r>
      <w:r>
        <w:t>by</w:t>
      </w:r>
      <w:r w:rsidR="00992416">
        <w:t xml:space="preserve"> </w:t>
      </w:r>
      <w:r>
        <w:t>performing the computations in Eq. 6. A publication of the agg</w:t>
      </w:r>
      <w:r w:rsidR="00992416">
        <w:t xml:space="preserve">regated foreground is identical </w:t>
      </w:r>
      <w:r>
        <w:t>to the publication of a unit process, except that the result was derived through aggregation. As</w:t>
      </w:r>
      <w:r w:rsidR="00992416">
        <w:t xml:space="preserve"> </w:t>
      </w:r>
      <w:r>
        <w:t>in the unit process case, the aggregated foreground has exactly one reference flow, the canonical</w:t>
      </w:r>
      <w:r w:rsidR="00992416">
        <w:t xml:space="preserve"> functional unit ˜y</w:t>
      </w:r>
      <w:r>
        <w:t>. The aggregated foreground still reports explicit links between the model and a</w:t>
      </w:r>
      <w:r w:rsidR="00992416">
        <w:t xml:space="preserve"> </w:t>
      </w:r>
      <w:r>
        <w:t>background database and can thus be used to review data set selection.</w:t>
      </w:r>
    </w:p>
    <w:p w:rsidR="001106F8" w:rsidRDefault="001106F8" w:rsidP="001106F8">
      <w:r>
        <w:t>4.1.4 Partial Background Aggregation</w:t>
      </w:r>
    </w:p>
    <w:p w:rsidR="00992416" w:rsidRDefault="001106F8" w:rsidP="001106F8">
      <w:r>
        <w:t>See Figure 3d. Using this approach, the aggregated dependency vector is split into two parts that</w:t>
      </w:r>
      <w:r w:rsidR="00992416">
        <w:t xml:space="preserve"> </w:t>
      </w:r>
      <w:r>
        <w:t>sum to the original:</w:t>
      </w:r>
      <w:r w:rsidR="00992416">
        <w:t xml:space="preserve"> </w:t>
      </w:r>
    </w:p>
    <w:p w:rsidR="001106F8" w:rsidRDefault="00992416" w:rsidP="001106F8">
      <w:r>
        <w:t xml:space="preserve"> </w:t>
      </w:r>
      <w:r w:rsidR="001106F8">
        <w:t>(8)</w:t>
      </w:r>
    </w:p>
    <w:p w:rsidR="001106F8" w:rsidRDefault="00992416" w:rsidP="001106F8">
      <w:r>
        <w:t>The disclosed dependencies ˜</w:t>
      </w:r>
      <w:proofErr w:type="spellStart"/>
      <w:r>
        <w:t>a′d</w:t>
      </w:r>
      <w:proofErr w:type="spellEnd"/>
      <w:r>
        <w:t xml:space="preserve"> </w:t>
      </w:r>
      <w:r w:rsidR="001106F8">
        <w:t>are reported, and the private dependencies ˜</w:t>
      </w:r>
      <w:proofErr w:type="spellStart"/>
      <w:r w:rsidR="001106F8">
        <w:t>ad</w:t>
      </w:r>
      <w:proofErr w:type="gramStart"/>
      <w:r w:rsidR="001106F8">
        <w:t>,priv</w:t>
      </w:r>
      <w:proofErr w:type="spellEnd"/>
      <w:proofErr w:type="gramEnd"/>
      <w:r w:rsidR="001106F8">
        <w:t xml:space="preserve"> are replaced with</w:t>
      </w:r>
      <w:r>
        <w:t xml:space="preserve"> </w:t>
      </w:r>
      <w:r w:rsidR="001106F8">
        <w:t>an aggregated background inventory derived from the background database,</w:t>
      </w:r>
      <w:r>
        <w:t xml:space="preserve"> </w:t>
      </w:r>
      <w:r w:rsidR="001106F8">
        <w:t>˜</w:t>
      </w:r>
      <w:proofErr w:type="spellStart"/>
      <w:r w:rsidR="001106F8">
        <w:t>bx,agg</w:t>
      </w:r>
      <w:proofErr w:type="spellEnd"/>
      <w:r w:rsidR="001106F8">
        <w:t>. This approach</w:t>
      </w:r>
      <w:r>
        <w:t xml:space="preserve"> </w:t>
      </w:r>
      <w:r w:rsidR="001106F8">
        <w:t>can be used when a reader lacks access to the background inventory sets referred to in ˜</w:t>
      </w:r>
      <w:proofErr w:type="spellStart"/>
      <w:r w:rsidR="001106F8">
        <w:t>a</w:t>
      </w:r>
      <w:r>
        <w:t>d</w:t>
      </w:r>
      <w:proofErr w:type="gramStart"/>
      <w:r>
        <w:t>,priv</w:t>
      </w:r>
      <w:proofErr w:type="spellEnd"/>
      <w:proofErr w:type="gramEnd"/>
      <w:r w:rsidR="001106F8">
        <w:t>,</w:t>
      </w:r>
      <w:r>
        <w:t xml:space="preserve"> </w:t>
      </w:r>
      <w:r w:rsidR="001106F8">
        <w:t>or when the author wishes not to disclose the private dependencies. Foreground emissions</w:t>
      </w:r>
      <w:r>
        <w:t xml:space="preserve"> </w:t>
      </w:r>
      <w:r w:rsidR="001106F8">
        <w:t>˜bf</w:t>
      </w:r>
      <w:r>
        <w:t xml:space="preserve"> </w:t>
      </w:r>
      <w:r w:rsidR="001106F8">
        <w:t>can be reported separately from the aggregation result, but often in current practice they are not</w:t>
      </w:r>
      <w:r>
        <w:t xml:space="preserve"> </w:t>
      </w:r>
      <w:r w:rsidR="001106F8">
        <w:t>distinguished from the background flows.</w:t>
      </w:r>
    </w:p>
    <w:p w:rsidR="001106F8" w:rsidRDefault="001106F8" w:rsidP="001106F8">
      <w:r>
        <w:t>4.1.5 Full Background Aggregation and LCI</w:t>
      </w:r>
    </w:p>
    <w:p w:rsidR="001106F8" w:rsidRDefault="001106F8" w:rsidP="001106F8">
      <w:proofErr w:type="gramStart"/>
      <w:r>
        <w:t>See Figure 3e and f.</w:t>
      </w:r>
      <w:proofErr w:type="gramEnd"/>
      <w:r>
        <w:t xml:space="preserve"> At this level of aggregation, the entire dependency vector is replaced with</w:t>
      </w:r>
      <w:r w:rsidR="00992416">
        <w:t xml:space="preserve"> </w:t>
      </w:r>
      <w:r>
        <w:t>an aggregated life cycle inventory vector</w:t>
      </w:r>
      <w:r w:rsidR="00992416">
        <w:t xml:space="preserve"> </w:t>
      </w:r>
      <w:r>
        <w:t>˜</w:t>
      </w:r>
      <w:proofErr w:type="spellStart"/>
      <w:r>
        <w:t>bx</w:t>
      </w:r>
      <w:proofErr w:type="spellEnd"/>
      <w:r>
        <w:t xml:space="preserve"> derived from the background LCIDB. The reader no</w:t>
      </w:r>
      <w:r w:rsidR="00992416">
        <w:t xml:space="preserve"> </w:t>
      </w:r>
      <w:r>
        <w:t>longer requires access to any background database to perform the computation, but all dependency</w:t>
      </w:r>
      <w:r w:rsidR="00992416">
        <w:t xml:space="preserve"> </w:t>
      </w:r>
      <w:r>
        <w:t>information is concealed. Again, foreground emissions are often n</w:t>
      </w:r>
      <w:r w:rsidR="00992416">
        <w:t>ot distinguished from the aggre</w:t>
      </w:r>
      <w:r>
        <w:t xml:space="preserve">gation result (Figure </w:t>
      </w:r>
      <w:r w:rsidR="009E73D4">
        <w:t>3f). The life cycle inventory ˜</w:t>
      </w:r>
      <w:r>
        <w:t>b provides the most aggregated form of the study</w:t>
      </w:r>
      <w:r w:rsidR="009E73D4">
        <w:t xml:space="preserve"> </w:t>
      </w:r>
      <w:r>
        <w:t>that can still be independently validated with an external characterization vector e.</w:t>
      </w:r>
    </w:p>
    <w:p w:rsidR="001106F8" w:rsidRDefault="001106F8" w:rsidP="001106F8">
      <w:r>
        <w:t>4.2 Reviewable Private Aggregation</w:t>
      </w:r>
    </w:p>
    <w:p w:rsidR="001106F8" w:rsidRDefault="001106F8" w:rsidP="001106F8">
      <w:r>
        <w:t xml:space="preserve">Often, a study author may wish to make a partial disclosure of a </w:t>
      </w:r>
      <w:r w:rsidR="009E73D4">
        <w:t xml:space="preserve">PSM that retains the privacy of </w:t>
      </w:r>
      <w:r>
        <w:t>confidential data, while still permitting comprehensive critical review of the complete model. In</w:t>
      </w:r>
      <w:r w:rsidR="009E73D4">
        <w:t xml:space="preserve"> </w:t>
      </w:r>
      <w:r>
        <w:t>this case it is necessary to grant a reviewer privileged access to the private data in order to meet the</w:t>
      </w:r>
      <w:r w:rsidR="009E73D4">
        <w:t xml:space="preserve"> </w:t>
      </w:r>
      <w:r>
        <w:t>review objectives. The study formulation in Eq. 5may be used to partition a foreground into public</w:t>
      </w:r>
      <w:r w:rsidR="009E73D4">
        <w:t xml:space="preserve"> </w:t>
      </w:r>
      <w:r>
        <w:t>and private portions in order to comply with any applicable constraints on what may be disclosed.</w:t>
      </w:r>
      <w:r w:rsidR="009E73D4">
        <w:t xml:space="preserve"> </w:t>
      </w:r>
      <w:r>
        <w:t>The approach is illustrated in Figure 4.</w:t>
      </w:r>
    </w:p>
    <w:p w:rsidR="001106F8" w:rsidRDefault="001106F8" w:rsidP="001106F8">
      <w:r>
        <w:lastRenderedPageBreak/>
        <w:t>The first step is to identify the constraints on the disclosure. I</w:t>
      </w:r>
      <w:r w:rsidR="009E73D4">
        <w:t xml:space="preserve">n the framework presented here, </w:t>
      </w:r>
      <w:r>
        <w:t>constraints may include the locations or values of any subset of nonzer</w:t>
      </w:r>
      <w:r w:rsidR="009E73D4">
        <w:t>o entries in the A</w:t>
      </w:r>
      <w:r>
        <w:t>d and</w:t>
      </w:r>
      <w:r w:rsidR="009E73D4">
        <w:t xml:space="preserve"> </w:t>
      </w:r>
      <w:r>
        <w:t xml:space="preserve">Bf matrices, as well as any subset of nodes in </w:t>
      </w:r>
      <w:proofErr w:type="spellStart"/>
      <w:proofErr w:type="gramStart"/>
      <w:r>
        <w:t>Af</w:t>
      </w:r>
      <w:proofErr w:type="spellEnd"/>
      <w:r>
        <w:t xml:space="preserve"> .</w:t>
      </w:r>
      <w:proofErr w:type="gramEnd"/>
      <w:r>
        <w:t xml:space="preserve"> Fig. 4a shows a PSM in which disclosure</w:t>
      </w:r>
      <w:r w:rsidR="009E73D4">
        <w:t xml:space="preserve"> </w:t>
      </w:r>
      <w:r>
        <w:t>constraints are indicated by shaded regions of the matrices. In this case the nodes represented by</w:t>
      </w:r>
      <w:r w:rsidR="009E73D4">
        <w:t xml:space="preserve"> </w:t>
      </w:r>
      <w:r>
        <w:t xml:space="preserve">the three rightmost columns of A </w:t>
      </w:r>
      <w:proofErr w:type="gramStart"/>
      <w:r>
        <w:t>f ,</w:t>
      </w:r>
      <w:proofErr w:type="gramEnd"/>
      <w:r>
        <w:t xml:space="preserve"> as well as one entire row of A d , are to remain secret.</w:t>
      </w:r>
      <w:r w:rsidR="009E73D4">
        <w:t xml:space="preserve"> </w:t>
      </w:r>
      <w:r>
        <w:t>The Ad and Bf matrices are then partitioned into two components that sum to the original:</w:t>
      </w:r>
    </w:p>
    <w:p w:rsidR="001106F8" w:rsidRDefault="001106F8" w:rsidP="001106F8">
      <w:r>
        <w:t>(9)</w:t>
      </w:r>
    </w:p>
    <w:p w:rsidR="001106F8" w:rsidRDefault="001106F8" w:rsidP="001106F8">
      <w:r>
        <w:t>This is illustrated in Fig.4b. Substituted back into Eq. 5, the private</w:t>
      </w:r>
      <w:r w:rsidR="009E73D4">
        <w:t xml:space="preserve"> portions are aggregated into a </w:t>
      </w:r>
      <w:r>
        <w:t xml:space="preserve">private life cycle inventory vector b </w:t>
      </w:r>
      <w:proofErr w:type="spellStart"/>
      <w:proofErr w:type="gramStart"/>
      <w:r>
        <w:t>priv</w:t>
      </w:r>
      <w:proofErr w:type="spellEnd"/>
      <w:r>
        <w:t xml:space="preserve"> ,</w:t>
      </w:r>
      <w:proofErr w:type="gramEnd"/>
      <w:r>
        <w:t xml:space="preserve"> while the public portions remain disaggregated:</w:t>
      </w:r>
    </w:p>
    <w:p w:rsidR="001106F8" w:rsidRDefault="001106F8" w:rsidP="001106F8">
      <w:r>
        <w:t xml:space="preserve"> (10)</w:t>
      </w:r>
    </w:p>
    <w:p w:rsidR="001106F8" w:rsidRDefault="00CD3BBA" w:rsidP="001106F8">
      <w:r>
        <w:t xml:space="preserve"> </w:t>
      </w:r>
      <w:r w:rsidR="001106F8">
        <w:t>(11)</w:t>
      </w:r>
    </w:p>
    <w:p w:rsidR="001106F8" w:rsidRDefault="001106F8" w:rsidP="001106F8">
      <w:r>
        <w:t xml:space="preserve"> (12)</w:t>
      </w:r>
    </w:p>
    <w:p w:rsidR="001106F8" w:rsidRDefault="001106F8" w:rsidP="001106F8">
      <w:r>
        <w:t>Any foreground nodes that are completely contained within the private partition can be omitted</w:t>
      </w:r>
      <w:r w:rsidR="009E73D4">
        <w:t xml:space="preserve"> </w:t>
      </w:r>
      <w:r>
        <w:t>from the disclosed foreground. The aggregation result can then</w:t>
      </w:r>
      <w:r w:rsidR="009E73D4">
        <w:t xml:space="preserve"> be included as a separate fore</w:t>
      </w:r>
      <w:r>
        <w:t>ground node with a unit weight, and the aggregated inventory vector included as the corresponding</w:t>
      </w:r>
      <w:r w:rsidR="009E73D4">
        <w:t xml:space="preserve"> column of Bf</w:t>
      </w:r>
      <w:r>
        <w:t>. This is illustrated in Fig. 4c.</w:t>
      </w:r>
    </w:p>
    <w:p w:rsidR="001106F8" w:rsidRDefault="001106F8" w:rsidP="001106F8">
      <w:r>
        <w:t>The author may relax the disclosure constraints by reporting the locations of some or all non-zero</w:t>
      </w:r>
      <w:r w:rsidR="009E73D4">
        <w:t xml:space="preserve"> entries in </w:t>
      </w:r>
      <w:proofErr w:type="spellStart"/>
      <w:r w:rsidR="009E73D4">
        <w:t>Ad</w:t>
      </w:r>
      <w:proofErr w:type="gramStart"/>
      <w:r w:rsidR="009E73D4">
        <w:t>,priv</w:t>
      </w:r>
      <w:proofErr w:type="spellEnd"/>
      <w:proofErr w:type="gramEnd"/>
      <w:r w:rsidR="009E73D4">
        <w:t xml:space="preserve"> and </w:t>
      </w:r>
      <w:proofErr w:type="spellStart"/>
      <w:r w:rsidR="009E73D4">
        <w:t>B</w:t>
      </w:r>
      <w:r>
        <w:t>f,priv</w:t>
      </w:r>
      <w:proofErr w:type="spellEnd"/>
      <w:r>
        <w:t xml:space="preserve"> but not disclosing their values, or disclosing a range that includes</w:t>
      </w:r>
      <w:r w:rsidR="009E73D4">
        <w:t xml:space="preserve"> </w:t>
      </w:r>
      <w:r>
        <w:t>the actual value. This would enable a reader to understand that a certain background process or</w:t>
      </w:r>
      <w:r w:rsidR="009E73D4">
        <w:t xml:space="preserve"> </w:t>
      </w:r>
      <w:r>
        <w:t>emission was included in the model (and checked by the critical reviewer) without knowing how</w:t>
      </w:r>
      <w:r w:rsidR="009E73D4">
        <w:t xml:space="preserve"> </w:t>
      </w:r>
      <w:r>
        <w:t xml:space="preserve">much, which may jointly </w:t>
      </w:r>
      <w:proofErr w:type="gramStart"/>
      <w:r>
        <w:t>satisfy</w:t>
      </w:r>
      <w:proofErr w:type="gramEnd"/>
      <w:r>
        <w:t xml:space="preserve"> review objectives and disclosure constraints in some cases.</w:t>
      </w:r>
    </w:p>
    <w:p w:rsidR="001106F8" w:rsidRDefault="001106F8" w:rsidP="001106F8">
      <w:r>
        <w:t xml:space="preserve">5 </w:t>
      </w:r>
      <w:proofErr w:type="gramStart"/>
      <w:r>
        <w:t>Discussion</w:t>
      </w:r>
      <w:proofErr w:type="gramEnd"/>
    </w:p>
    <w:p w:rsidR="001106F8" w:rsidRDefault="001106F8" w:rsidP="001106F8">
      <w:r>
        <w:t>5.1 Comparative Review: Formalizing Scope and System Boundary</w:t>
      </w:r>
    </w:p>
    <w:p w:rsidR="001106F8" w:rsidRDefault="001106F8" w:rsidP="001106F8">
      <w:r>
        <w:t>The disclosure of a PSM contains six parts, including three list</w:t>
      </w:r>
      <w:r w:rsidR="009E73D4">
        <w:t>s and three tables of sparse ma</w:t>
      </w:r>
      <w:r>
        <w:t>trix data. The graph structure encoded in the foreground matrices can be automatically rendered</w:t>
      </w:r>
      <w:r w:rsidR="009E73D4">
        <w:t xml:space="preserve"> </w:t>
      </w:r>
      <w:r>
        <w:t>as a process-</w:t>
      </w:r>
      <w:r w:rsidR="009E73D4">
        <w:t>f</w:t>
      </w:r>
      <w:r>
        <w:t>low diagram, supplementing or supplanting the hand-crafted system diagrams that</w:t>
      </w:r>
      <w:r w:rsidR="009E73D4">
        <w:t xml:space="preserve"> </w:t>
      </w:r>
      <w:r>
        <w:t>currently accompany ISO reports. While the numeric data are required to critically evaluate and</w:t>
      </w:r>
      <w:r w:rsidR="009E73D4">
        <w:t xml:space="preserve"> </w:t>
      </w:r>
      <w:r>
        <w:t>reproduce the study results, substantial information about the study design can be found in the list</w:t>
      </w:r>
      <w:r w:rsidR="009E73D4">
        <w:t xml:space="preserve"> </w:t>
      </w:r>
      <w:r>
        <w:t>of background dependencies (d-ii) and emissions (d-iii). These lists report all the distinct sources</w:t>
      </w:r>
      <w:r w:rsidR="009E73D4">
        <w:t xml:space="preserve"> </w:t>
      </w:r>
      <w:r>
        <w:t>of environmental impacts in the model. The cutoff flows, which are foreground nodes that have no</w:t>
      </w:r>
      <w:r w:rsidR="009E73D4">
        <w:t xml:space="preserve"> nonzero entries in </w:t>
      </w:r>
      <w:proofErr w:type="spellStart"/>
      <w:proofErr w:type="gramStart"/>
      <w:r w:rsidR="009E73D4">
        <w:t>Af</w:t>
      </w:r>
      <w:proofErr w:type="spellEnd"/>
      <w:proofErr w:type="gramEnd"/>
      <w:r w:rsidR="009E73D4">
        <w:t>, Ad, or Bf</w:t>
      </w:r>
      <w:r>
        <w:t>, report on the other hand what aspects were explicitly excluded</w:t>
      </w:r>
      <w:r w:rsidR="009E73D4">
        <w:t xml:space="preserve"> </w:t>
      </w:r>
      <w:r>
        <w:t>from the model.</w:t>
      </w:r>
    </w:p>
    <w:p w:rsidR="001106F8" w:rsidRDefault="001106F8" w:rsidP="001106F8">
      <w:r>
        <w:t>Together, these lists can be considered a functional definition of the study scope that can be used</w:t>
      </w:r>
      <w:r w:rsidR="009E73D4">
        <w:t xml:space="preserve"> </w:t>
      </w:r>
      <w:r>
        <w:t>to conduct a qualitative comparison of multiple studies by different authors. Background database</w:t>
      </w:r>
      <w:r w:rsidR="009E73D4">
        <w:t xml:space="preserve"> </w:t>
      </w:r>
      <w:r>
        <w:t>choice, dataset selection, and version information is all made available in disclosure item d-ii,</w:t>
      </w:r>
      <w:r w:rsidR="009E73D4">
        <w:t xml:space="preserve"> </w:t>
      </w:r>
      <w:r>
        <w:t xml:space="preserve">thereby </w:t>
      </w:r>
      <w:r>
        <w:lastRenderedPageBreak/>
        <w:t>streamlining what is presently an interpretive and study-specific process of extracting this</w:t>
      </w:r>
      <w:r w:rsidR="009E73D4">
        <w:t xml:space="preserve"> </w:t>
      </w:r>
      <w:r>
        <w:t>information from written text. Similarly, the set of elementary flows explicitly modeled in the</w:t>
      </w:r>
      <w:r w:rsidR="009E73D4">
        <w:t xml:space="preserve"> </w:t>
      </w:r>
      <w:r>
        <w:t>study foreground (item d-iii) expose whether any study-specific modeling of direct emissions was</w:t>
      </w:r>
      <w:r w:rsidR="009E73D4">
        <w:t xml:space="preserve"> </w:t>
      </w:r>
      <w:r>
        <w:t>performed and what flows were included.</w:t>
      </w:r>
    </w:p>
    <w:p w:rsidR="001106F8" w:rsidRDefault="001106F8" w:rsidP="001106F8">
      <w:r>
        <w:t>Moreover, because the disclosure of the PSM includes only references to background data without</w:t>
      </w:r>
      <w:r w:rsidR="009E73D4">
        <w:t xml:space="preserve"> </w:t>
      </w:r>
      <w:r>
        <w:t xml:space="preserve">including the data themselves, it is trivial for item d-ii to include </w:t>
      </w:r>
      <w:r w:rsidR="009E73D4">
        <w:t>references to a variety of back</w:t>
      </w:r>
      <w:r>
        <w:t>ground databases without adding any additional requirements. For instance, a study that makes</w:t>
      </w:r>
      <w:r w:rsidR="009E73D4">
        <w:t xml:space="preserve"> </w:t>
      </w:r>
      <w:r>
        <w:t>reference to a set of EPDs published by one firm, while using a background LCI database from</w:t>
      </w:r>
      <w:r w:rsidR="009E73D4">
        <w:t xml:space="preserve"> </w:t>
      </w:r>
      <w:r>
        <w:t>another firm, can express both dependencies in an analogous way, even if the two sources are</w:t>
      </w:r>
      <w:r w:rsidR="009E73D4">
        <w:t xml:space="preserve"> </w:t>
      </w:r>
      <w:r>
        <w:t>published independently.</w:t>
      </w:r>
    </w:p>
    <w:p w:rsidR="001106F8" w:rsidRDefault="001106F8" w:rsidP="001106F8">
      <w:r>
        <w:t>5.2 Privacy and Partial Aggregation</w:t>
      </w:r>
    </w:p>
    <w:p w:rsidR="001106F8" w:rsidRDefault="001106F8" w:rsidP="001106F8">
      <w:r>
        <w:t>Partial aggregation is already used in practice to conceal private d</w:t>
      </w:r>
      <w:r w:rsidR="009E73D4">
        <w:t xml:space="preserve">ata, but current methods do not </w:t>
      </w:r>
      <w:r>
        <w:t>provide a way for a reviewer to validate the result. If a study cont</w:t>
      </w:r>
      <w:r w:rsidR="009E73D4">
        <w:t xml:space="preserve">aining confidential information </w:t>
      </w:r>
      <w:r>
        <w:t>is split into public and private partitions as in Eq. 11 and Fig. 4, then the results of the computation</w:t>
      </w:r>
      <w:r w:rsidR="009E73D4">
        <w:t xml:space="preserve"> </w:t>
      </w:r>
      <w:r>
        <w:t>can be validated directly by the reviewer. To achieve this, the reviewer must be granted access to</w:t>
      </w:r>
      <w:r w:rsidR="009E73D4">
        <w:t xml:space="preserve"> </w:t>
      </w:r>
      <w:r>
        <w:t>both the public and private partitions in order to confirm that the partitioning is valid according</w:t>
      </w:r>
      <w:r w:rsidR="009E73D4">
        <w:t xml:space="preserve"> </w:t>
      </w:r>
      <w:r>
        <w:t xml:space="preserve">to Eq. 9, and that </w:t>
      </w:r>
      <w:proofErr w:type="spellStart"/>
      <w:r>
        <w:t>bpriv</w:t>
      </w:r>
      <w:proofErr w:type="spellEnd"/>
      <w:r>
        <w:t xml:space="preserve"> was computed correctly. However, the private information used in the</w:t>
      </w:r>
      <w:r w:rsidR="009E73D4">
        <w:t xml:space="preserve"> </w:t>
      </w:r>
      <w:r>
        <w:t>computation can still be withheld from the disclosure.</w:t>
      </w:r>
    </w:p>
    <w:p w:rsidR="001106F8" w:rsidRDefault="001106F8" w:rsidP="001106F8">
      <w:r>
        <w:t>A further advantage to this approach is that the reader can evaluate easily what fraction of the</w:t>
      </w:r>
      <w:r w:rsidR="009E73D4">
        <w:t xml:space="preserve"> </w:t>
      </w:r>
      <w:r>
        <w:t>overall impact score is accounted for by the public versus the private portions of the model. A</w:t>
      </w:r>
      <w:r w:rsidR="009E73D4">
        <w:t xml:space="preserve"> </w:t>
      </w:r>
      <w:r>
        <w:t>“disclosure completeness” metric ϕ can be defined as the fraction of the overall score which is</w:t>
      </w:r>
      <w:r w:rsidR="009E73D4">
        <w:t xml:space="preserve"> </w:t>
      </w:r>
      <w:r>
        <w:t>accounted for by the disclosed portion of the PSM:</w:t>
      </w:r>
    </w:p>
    <w:p w:rsidR="001106F8" w:rsidRPr="00CD3BBA" w:rsidRDefault="00CD3BBA" w:rsidP="001106F8">
      <w:r w:rsidRPr="00CD3BBA">
        <w:t xml:space="preserve"> </w:t>
      </w:r>
      <w:r w:rsidR="001106F8" w:rsidRPr="00CD3BBA">
        <w:t>(13)</w:t>
      </w:r>
    </w:p>
    <w:p w:rsidR="001106F8" w:rsidRDefault="001106F8" w:rsidP="001106F8">
      <w:proofErr w:type="gramStart"/>
      <w:r>
        <w:t>where</w:t>
      </w:r>
      <w:proofErr w:type="gramEnd"/>
      <w:r>
        <w:t xml:space="preserve"> b is the complete life cycle inventory. The value of this metric can provide an indication of</w:t>
      </w:r>
      <w:r w:rsidR="009E73D4">
        <w:t xml:space="preserve"> </w:t>
      </w:r>
      <w:r>
        <w:t>the level of transparency of the disclosure with respect to a given impact category indicator.</w:t>
      </w:r>
    </w:p>
    <w:p w:rsidR="001106F8" w:rsidRDefault="001106F8" w:rsidP="001106F8">
      <w:r>
        <w:t>5.3 Attacks on Privacy</w:t>
      </w:r>
    </w:p>
    <w:p w:rsidR="001106F8" w:rsidRDefault="001106F8" w:rsidP="009E73D4">
      <w:r>
        <w:t>It is not thought possible for a reader to discern any information about a disaggregated system</w:t>
      </w:r>
      <w:r w:rsidR="009E73D4">
        <w:t xml:space="preserve"> </w:t>
      </w:r>
      <w:r>
        <w:t xml:space="preserve">solely from an </w:t>
      </w:r>
      <w:r w:rsidR="009E73D4">
        <w:t xml:space="preserve">aggregated disclosure such as </w:t>
      </w:r>
      <w:proofErr w:type="spellStart"/>
      <w:r w:rsidR="009E73D4">
        <w:t>b</w:t>
      </w:r>
      <w:r>
        <w:t>priv</w:t>
      </w:r>
      <w:proofErr w:type="spellEnd"/>
      <w:r>
        <w:t xml:space="preserve"> (UNEP/SETAC, 2011, Ch. 3), although that</w:t>
      </w:r>
      <w:r w:rsidR="009E73D4">
        <w:t xml:space="preserve"> </w:t>
      </w:r>
      <w:r>
        <w:t>assumption has never been rigorously tested. Compressed sensing is a signal processing technique</w:t>
      </w:r>
      <w:r w:rsidR="009E73D4">
        <w:t xml:space="preserve"> </w:t>
      </w:r>
      <w:r>
        <w:t>that seeks solutions to an underdetermined linear system, in which there are more unknowns than</w:t>
      </w:r>
      <w:r w:rsidR="009E73D4">
        <w:t xml:space="preserve"> </w:t>
      </w:r>
      <w:r>
        <w:t>equations, based on the assumption that the solution is sparse (</w:t>
      </w:r>
      <w:proofErr w:type="spellStart"/>
      <w:r>
        <w:t>Donoho</w:t>
      </w:r>
      <w:proofErr w:type="spellEnd"/>
      <w:r>
        <w:t>, 2006). A form of linear</w:t>
      </w:r>
      <w:r w:rsidR="009E73D4">
        <w:t xml:space="preserve"> </w:t>
      </w:r>
      <w:r>
        <w:t>optimization called “basis pursuit” can be used to try to detect the signal.</w:t>
      </w:r>
    </w:p>
    <w:p w:rsidR="001106F8" w:rsidRDefault="001106F8" w:rsidP="001106F8">
      <w:r>
        <w:t>In the LCA case, if the private</w:t>
      </w:r>
      <w:r w:rsidR="009E73D4">
        <w:t xml:space="preserve"> </w:t>
      </w:r>
      <w:r>
        <w:t xml:space="preserve">LCI result </w:t>
      </w:r>
      <w:proofErr w:type="spellStart"/>
      <w:r>
        <w:t>bpriv</w:t>
      </w:r>
      <w:proofErr w:type="spellEnd"/>
      <w:r>
        <w:t xml:space="preserve"> includes inventory data from a background database</w:t>
      </w:r>
      <w:r w:rsidR="009E73D4">
        <w:t xml:space="preserve"> </w:t>
      </w:r>
      <w:r>
        <w:t>but no foreground emissions, then it can be written as:</w:t>
      </w:r>
    </w:p>
    <w:p w:rsidR="001106F8" w:rsidRDefault="00CD3BBA" w:rsidP="001106F8">
      <w:r>
        <w:t xml:space="preserve"> </w:t>
      </w:r>
      <w:r w:rsidR="001106F8">
        <w:t>(14)</w:t>
      </w:r>
    </w:p>
    <w:p w:rsidR="001106F8" w:rsidRDefault="001106F8" w:rsidP="001106F8">
      <w:r>
        <w:lastRenderedPageBreak/>
        <w:t xml:space="preserve">Typically this equation is highly underdetermined (In </w:t>
      </w:r>
      <w:proofErr w:type="spellStart"/>
      <w:r>
        <w:t>ecoinvent</w:t>
      </w:r>
      <w:proofErr w:type="spellEnd"/>
      <w:r>
        <w:t>, for instance, B x has roughly 1,800</w:t>
      </w:r>
      <w:r w:rsidR="009E73D4">
        <w:t xml:space="preserve"> </w:t>
      </w:r>
      <w:r>
        <w:t>rows and over 12,000 c</w:t>
      </w:r>
      <w:r w:rsidR="009E73D4">
        <w:t xml:space="preserve">olumns). If the private input </w:t>
      </w:r>
      <w:proofErr w:type="spellStart"/>
      <w:r w:rsidR="009E73D4">
        <w:t>a</w:t>
      </w:r>
      <w:r>
        <w:t>d</w:t>
      </w:r>
      <w:proofErr w:type="gramStart"/>
      <w:r>
        <w:t>,priv</w:t>
      </w:r>
      <w:proofErr w:type="spellEnd"/>
      <w:proofErr w:type="gramEnd"/>
      <w:r>
        <w:t xml:space="preserve"> contains only a few nonzero elements,</w:t>
      </w:r>
      <w:r w:rsidR="009E73D4">
        <w:t xml:space="preserve"> </w:t>
      </w:r>
      <w:r>
        <w:t>and the i</w:t>
      </w:r>
      <w:r w:rsidR="009E73D4">
        <w:t xml:space="preserve">dentity of B x is known, then </w:t>
      </w:r>
      <w:proofErr w:type="spellStart"/>
      <w:r w:rsidR="009E73D4">
        <w:t>a</w:t>
      </w:r>
      <w:r>
        <w:t>d,priv</w:t>
      </w:r>
      <w:proofErr w:type="spellEnd"/>
      <w:r>
        <w:t xml:space="preserve"> may be vulnerable to a basis pursuit attack. Further</w:t>
      </w:r>
      <w:r w:rsidR="009E73D4">
        <w:t xml:space="preserve"> </w:t>
      </w:r>
      <w:r>
        <w:t>research is required to evaluate whether this attack can be implemented in a real situation, and how</w:t>
      </w:r>
      <w:r w:rsidR="009E73D4">
        <w:t xml:space="preserve"> </w:t>
      </w:r>
      <w:r>
        <w:t>it may be defended against.</w:t>
      </w:r>
    </w:p>
    <w:p w:rsidR="001106F8" w:rsidRDefault="001106F8" w:rsidP="001106F8">
      <w:r>
        <w:t>5.4 Stable Semantic References to Study Elements</w:t>
      </w:r>
    </w:p>
    <w:p w:rsidR="001106F8" w:rsidRDefault="001106F8" w:rsidP="001106F8">
      <w:r>
        <w:t>In practice, while it is easy to reproduce a set of sparse matrices, there is considerable potential</w:t>
      </w:r>
      <w:r w:rsidR="009E73D4">
        <w:t xml:space="preserve"> </w:t>
      </w:r>
      <w:r>
        <w:t>for ambiguity in identifying the background datasets and emissions to which those matrix entries</w:t>
      </w:r>
      <w:r w:rsidR="009E73D4">
        <w:t xml:space="preserve"> </w:t>
      </w:r>
      <w:r>
        <w:t>correspond. In order to achieve the transparency and reproducibility promised by this disclosure</w:t>
      </w:r>
      <w:r w:rsidR="009E73D4">
        <w:t xml:space="preserve"> </w:t>
      </w:r>
      <w:r>
        <w:t>framework, it must be possible for study authors and readers to agree on the meaning of those</w:t>
      </w:r>
      <w:r w:rsidR="009E73D4">
        <w:t xml:space="preserve"> </w:t>
      </w:r>
      <w:r>
        <w:t>references. In particular, the database configuration, dataset version, reference flow and dimension</w:t>
      </w:r>
      <w:r w:rsidR="009E73D4">
        <w:t xml:space="preserve"> </w:t>
      </w:r>
      <w:r>
        <w:t>(quantitative unit of measure) must be unambiguous and easy to interpret.</w:t>
      </w:r>
    </w:p>
    <w:p w:rsidR="001106F8" w:rsidRDefault="001106F8" w:rsidP="001106F8">
      <w:r>
        <w:t>Agreement about the meaning of concepts is often accomplished using linked semantic data (</w:t>
      </w:r>
      <w:proofErr w:type="spellStart"/>
      <w:r>
        <w:t>Bizer</w:t>
      </w:r>
      <w:proofErr w:type="spellEnd"/>
      <w:r w:rsidR="009E73D4">
        <w:t xml:space="preserve"> </w:t>
      </w:r>
      <w:r>
        <w:t>et al., 2009), in which an object to be interpreted is signified by a link to a resource on the World</w:t>
      </w:r>
      <w:r w:rsidR="009E73D4">
        <w:t xml:space="preserve"> </w:t>
      </w:r>
      <w:r>
        <w:t>Wide Web, typically referred to as a Uniform Resource Identifi</w:t>
      </w:r>
      <w:r w:rsidR="009E73D4">
        <w:t>er (URI) or a hyperlink. The re</w:t>
      </w:r>
      <w:r>
        <w:t>source at the end of the link functions as a point of agreement: both study author and data user</w:t>
      </w:r>
      <w:r w:rsidR="009E73D4">
        <w:t xml:space="preserve"> </w:t>
      </w:r>
      <w:r>
        <w:t>can follow it from anywhere on the Internet to obtain the same information. The content pointed</w:t>
      </w:r>
      <w:r w:rsidR="009E73D4">
        <w:t xml:space="preserve"> </w:t>
      </w:r>
      <w:r>
        <w:t>to by the hyperlink, along with context provided by other references to the same content, gives</w:t>
      </w:r>
      <w:r w:rsidR="009E73D4">
        <w:t xml:space="preserve"> </w:t>
      </w:r>
      <w:r>
        <w:t>meaning to the information and allows it to be curated by the study authors and other members of</w:t>
      </w:r>
      <w:r w:rsidR="009E73D4">
        <w:t xml:space="preserve"> </w:t>
      </w:r>
      <w:r>
        <w:t>the community (Khan et al., 2011).</w:t>
      </w:r>
    </w:p>
    <w:p w:rsidR="001106F8" w:rsidRDefault="001106F8" w:rsidP="001106F8">
      <w:r>
        <w:t xml:space="preserve">Before the goal of easily reproducible foreground models can be </w:t>
      </w:r>
      <w:r w:rsidR="009E73D4">
        <w:t>realized, this linked data foun</w:t>
      </w:r>
      <w:r>
        <w:t>dation must be laid. Background database providers should ensure that their users have access to</w:t>
      </w:r>
      <w:r w:rsidR="009E73D4">
        <w:t xml:space="preserve"> </w:t>
      </w:r>
      <w:r>
        <w:t>stable semantic references for publicly available datasets that denote</w:t>
      </w:r>
      <w:r w:rsidR="009E73D4">
        <w:t xml:space="preserve"> a particular activity in a par</w:t>
      </w:r>
      <w:r>
        <w:t>ticular database version and configuration. These references should</w:t>
      </w:r>
      <w:r w:rsidR="009E73D4">
        <w:t xml:space="preserve"> take the form of URIs that can </w:t>
      </w:r>
      <w:r>
        <w:t>be accessed using any Internet browser and can provide both author and reader with documentary</w:t>
      </w:r>
      <w:r w:rsidR="009E73D4">
        <w:t xml:space="preserve"> </w:t>
      </w:r>
      <w:r>
        <w:t>information describing the referred dataset, the available reference flows and their dimensions, and</w:t>
      </w:r>
      <w:r w:rsidR="009E73D4">
        <w:t xml:space="preserve"> </w:t>
      </w:r>
      <w:r>
        <w:t>a mechanism for the reader to obtain access to the exchange data or LCI/LCIA computations for</w:t>
      </w:r>
      <w:r w:rsidR="009E73D4">
        <w:t xml:space="preserve"> </w:t>
      </w:r>
      <w:r>
        <w:t>the purposes of model validation. A dependency reference in disclosure item d-ii should include</w:t>
      </w:r>
      <w:r w:rsidR="009E73D4">
        <w:t xml:space="preserve"> </w:t>
      </w:r>
      <w:r>
        <w:t>both an activity and a reference flow.</w:t>
      </w:r>
    </w:p>
    <w:p w:rsidR="001106F8" w:rsidRDefault="001106F8" w:rsidP="001106F8">
      <w:r>
        <w:t>Similarly, LCIA method providers should ensure that their meth</w:t>
      </w:r>
      <w:r w:rsidR="009E73D4">
        <w:t xml:space="preserve">ods make use of stable semantic </w:t>
      </w:r>
      <w:r>
        <w:t>references to elementary flows and contexts. Current research has revealed widespread challenges</w:t>
      </w:r>
      <w:r w:rsidR="009E73D4">
        <w:t xml:space="preserve"> </w:t>
      </w:r>
      <w:r>
        <w:t>to finding consistency on the identities of elementary flows d</w:t>
      </w:r>
      <w:r w:rsidR="009E73D4">
        <w:t>espite the community’s longstand</w:t>
      </w:r>
      <w:r>
        <w:t>ing awareness of the problem, and several mutually inconsistent re</w:t>
      </w:r>
      <w:r w:rsidR="009E73D4">
        <w:t>ference flow sets exist (</w:t>
      </w:r>
      <w:proofErr w:type="spellStart"/>
      <w:r w:rsidR="009E73D4">
        <w:t>Edelen</w:t>
      </w:r>
      <w:proofErr w:type="spellEnd"/>
      <w:r w:rsidR="009E73D4">
        <w:t xml:space="preserve"> </w:t>
      </w:r>
      <w:r>
        <w:t>et al., 2017). The conventional understanding of a “flow” as comprising a substance and a context</w:t>
      </w:r>
      <w:r w:rsidR="009E73D4">
        <w:t xml:space="preserve"> </w:t>
      </w:r>
      <w:r>
        <w:t>together (e.g. methane, emissions to air) causes a combinatorial increase in the number of flows in</w:t>
      </w:r>
      <w:r w:rsidR="009E73D4">
        <w:t xml:space="preserve"> </w:t>
      </w:r>
      <w:r>
        <w:t xml:space="preserve">a database, and also multiplies the potential points of disagreement </w:t>
      </w:r>
      <w:r w:rsidR="009E73D4">
        <w:t xml:space="preserve">across sources. I reiterate </w:t>
      </w:r>
      <w:proofErr w:type="spellStart"/>
      <w:r w:rsidR="009E73D4">
        <w:t>Ede</w:t>
      </w:r>
      <w:r>
        <w:t>len</w:t>
      </w:r>
      <w:proofErr w:type="spellEnd"/>
      <w:r>
        <w:t xml:space="preserve"> et al.’s (ibid.) suggestion to explicitly regard substances (which can easily include non-material</w:t>
      </w:r>
      <w:r w:rsidR="009E73D4">
        <w:t xml:space="preserve"> </w:t>
      </w:r>
      <w:r>
        <w:t>“</w:t>
      </w:r>
      <w:proofErr w:type="spellStart"/>
      <w:r>
        <w:t>flowables</w:t>
      </w:r>
      <w:proofErr w:type="spellEnd"/>
      <w:r>
        <w:t>” such as land occupation and transformation) and contexts as independent semantic</w:t>
      </w:r>
      <w:r w:rsidR="009E73D4">
        <w:t xml:space="preserve"> </w:t>
      </w:r>
      <w:r>
        <w:t>classes. In this case, an elementary flow entry in the disclosure item d-iii would require both a</w:t>
      </w:r>
      <w:r w:rsidR="009E73D4">
        <w:t xml:space="preserve"> </w:t>
      </w:r>
      <w:proofErr w:type="spellStart"/>
      <w:r>
        <w:t>flowable</w:t>
      </w:r>
      <w:proofErr w:type="spellEnd"/>
      <w:r>
        <w:t xml:space="preserve"> and a context.</w:t>
      </w:r>
    </w:p>
    <w:p w:rsidR="001106F8" w:rsidRDefault="001106F8" w:rsidP="001106F8">
      <w:r>
        <w:lastRenderedPageBreak/>
        <w:t xml:space="preserve">6 </w:t>
      </w:r>
      <w:proofErr w:type="gramStart"/>
      <w:r>
        <w:t>Conclusion</w:t>
      </w:r>
      <w:proofErr w:type="gramEnd"/>
    </w:p>
    <w:p w:rsidR="009E73D4" w:rsidRDefault="001106F8" w:rsidP="001106F8">
      <w:r>
        <w:t>The current practice of documenting a PSM with a written report sharp</w:t>
      </w:r>
      <w:r w:rsidR="009E73D4">
        <w:t>l</w:t>
      </w:r>
      <w:r>
        <w:t>y limits the ability of</w:t>
      </w:r>
      <w:r w:rsidR="009E73D4">
        <w:t xml:space="preserve"> </w:t>
      </w:r>
      <w:r>
        <w:t>readers to interpret and reuse the data. It also results in the model being frozen to a particular</w:t>
      </w:r>
      <w:r w:rsidR="009E73D4">
        <w:t xml:space="preserve"> </w:t>
      </w:r>
      <w:r>
        <w:t>configuration or set of configurations used to generate the published results. Any review objectives</w:t>
      </w:r>
      <w:r w:rsidR="009E73D4">
        <w:t xml:space="preserve"> </w:t>
      </w:r>
      <w:r>
        <w:t>involving sensitivity of the model to parameter variations and/or alternative scenarios are limited</w:t>
      </w:r>
      <w:r w:rsidR="009E73D4">
        <w:t xml:space="preserve"> </w:t>
      </w:r>
      <w:r>
        <w:t>to the selections considered by the author. When a study result is published in an aggregated form,</w:t>
      </w:r>
      <w:r w:rsidR="009E73D4">
        <w:t xml:space="preserve"> </w:t>
      </w:r>
      <w:r>
        <w:t>often it is beyond the capacity of the critical reviewer to validate the aggregation result, even if the</w:t>
      </w:r>
      <w:r w:rsidR="009E73D4">
        <w:t xml:space="preserve"> </w:t>
      </w:r>
      <w:r>
        <w:t>reviewer has privileged access to confidential materials used in preparing the report.</w:t>
      </w:r>
    </w:p>
    <w:p w:rsidR="001106F8" w:rsidRDefault="001106F8" w:rsidP="001106F8">
      <w:r>
        <w:t>This paper presents a possible solution by providing a mathema</w:t>
      </w:r>
      <w:r w:rsidR="009E73D4">
        <w:t>tical formalization of the fore</w:t>
      </w:r>
      <w:r>
        <w:t>ground of an LCA study and a functional specification for disclosing the PSM. A data user o</w:t>
      </w:r>
      <w:r w:rsidR="009E73D4">
        <w:t>r crit</w:t>
      </w:r>
      <w:r>
        <w:t>ical reviewer with access to the six disclosure elements, and also adequate access to background</w:t>
      </w:r>
      <w:r w:rsidR="009E73D4">
        <w:t xml:space="preserve"> </w:t>
      </w:r>
      <w:r>
        <w:t>datasets and elementary flows used in the model, can reproduce the LCA computation in Eq.5,</w:t>
      </w:r>
      <w:r w:rsidR="009E73D4">
        <w:t xml:space="preserve"> </w:t>
      </w:r>
      <w:r>
        <w:t>and ensure the reported result is correct. Once equipped with the PSM, the reviewer or data user</w:t>
      </w:r>
      <w:r w:rsidR="009E73D4">
        <w:t xml:space="preserve"> </w:t>
      </w:r>
      <w:r>
        <w:t>can potentially go much further. Reviewers or data users who are able to reproduce the PSM from</w:t>
      </w:r>
      <w:r w:rsidR="009E73D4">
        <w:t xml:space="preserve"> </w:t>
      </w:r>
      <w:r>
        <w:t>the disclosure can also modify it, adding or removing elements, altering dataset selections, and</w:t>
      </w:r>
      <w:r w:rsidR="009E73D4">
        <w:t xml:space="preserve"> </w:t>
      </w:r>
      <w:r>
        <w:t>applying other impact assessment methods. Portions of the model which have been pre-aggregated</w:t>
      </w:r>
      <w:r w:rsidR="009E73D4">
        <w:t xml:space="preserve"> </w:t>
      </w:r>
      <w:r>
        <w:t>can remain private in the disclosure. Further research is required to determine whether or under</w:t>
      </w:r>
      <w:r w:rsidR="009E73D4">
        <w:t xml:space="preserve"> </w:t>
      </w:r>
      <w:r>
        <w:t>what conditions aggregation results can be reverse-engineered.</w:t>
      </w:r>
    </w:p>
    <w:p w:rsidR="001106F8" w:rsidRDefault="001106F8" w:rsidP="001106F8">
      <w:r>
        <w:t xml:space="preserve">If data providers also make available stable semantic references to background data sets and </w:t>
      </w:r>
      <w:r w:rsidR="009E73D4">
        <w:t>e</w:t>
      </w:r>
      <w:r>
        <w:t>lementary flow characterizations, then it becomes possible for a stand-alone description of a PSM to</w:t>
      </w:r>
      <w:r w:rsidR="009E73D4">
        <w:t xml:space="preserve"> </w:t>
      </w:r>
      <w:r>
        <w:t>be used to reproduce an LCA result. The same description can be extended or incorporated into</w:t>
      </w:r>
      <w:r w:rsidR="009E73D4">
        <w:t xml:space="preserve"> </w:t>
      </w:r>
      <w:r>
        <w:t>subsequent studies by other authors. From this prescription, a framework for distributed, platform-independent LCA computation can be imagined.</w:t>
      </w:r>
    </w:p>
    <w:p w:rsidR="009E73D4" w:rsidRDefault="009E73D4" w:rsidP="001106F8"/>
    <w:sectPr w:rsidR="009E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F8"/>
    <w:rsid w:val="00000A3E"/>
    <w:rsid w:val="0000211F"/>
    <w:rsid w:val="00003391"/>
    <w:rsid w:val="00013AAD"/>
    <w:rsid w:val="000140FA"/>
    <w:rsid w:val="000155CA"/>
    <w:rsid w:val="000208DC"/>
    <w:rsid w:val="00022E5C"/>
    <w:rsid w:val="000236BA"/>
    <w:rsid w:val="00023AF0"/>
    <w:rsid w:val="0004027E"/>
    <w:rsid w:val="000411C3"/>
    <w:rsid w:val="00044697"/>
    <w:rsid w:val="00045F4B"/>
    <w:rsid w:val="000510C8"/>
    <w:rsid w:val="00053A3B"/>
    <w:rsid w:val="00062979"/>
    <w:rsid w:val="0006471F"/>
    <w:rsid w:val="00070738"/>
    <w:rsid w:val="00070DFB"/>
    <w:rsid w:val="000711DB"/>
    <w:rsid w:val="000714B5"/>
    <w:rsid w:val="00074C11"/>
    <w:rsid w:val="000750C7"/>
    <w:rsid w:val="000755E6"/>
    <w:rsid w:val="000755F3"/>
    <w:rsid w:val="0007572A"/>
    <w:rsid w:val="0008489A"/>
    <w:rsid w:val="00084F07"/>
    <w:rsid w:val="000863C3"/>
    <w:rsid w:val="00091E87"/>
    <w:rsid w:val="00094A99"/>
    <w:rsid w:val="000A088C"/>
    <w:rsid w:val="000A2B6D"/>
    <w:rsid w:val="000A2D6C"/>
    <w:rsid w:val="000A2E70"/>
    <w:rsid w:val="000A34AA"/>
    <w:rsid w:val="000A40EA"/>
    <w:rsid w:val="000A50C6"/>
    <w:rsid w:val="000A537D"/>
    <w:rsid w:val="000A58C2"/>
    <w:rsid w:val="000B0B50"/>
    <w:rsid w:val="000B23B3"/>
    <w:rsid w:val="000B25FB"/>
    <w:rsid w:val="000B3D2C"/>
    <w:rsid w:val="000B3E66"/>
    <w:rsid w:val="000B61D0"/>
    <w:rsid w:val="000B75D2"/>
    <w:rsid w:val="000B7A91"/>
    <w:rsid w:val="000C2C9E"/>
    <w:rsid w:val="000C55A4"/>
    <w:rsid w:val="000C7F2D"/>
    <w:rsid w:val="000D00CA"/>
    <w:rsid w:val="000D0FA8"/>
    <w:rsid w:val="000D1270"/>
    <w:rsid w:val="000D137D"/>
    <w:rsid w:val="000D1425"/>
    <w:rsid w:val="000D1A0A"/>
    <w:rsid w:val="000D44A6"/>
    <w:rsid w:val="000D7DCE"/>
    <w:rsid w:val="000D7DF6"/>
    <w:rsid w:val="000E0360"/>
    <w:rsid w:val="000E29F8"/>
    <w:rsid w:val="000E5EFD"/>
    <w:rsid w:val="000F12FF"/>
    <w:rsid w:val="000F2BA2"/>
    <w:rsid w:val="000F4D4C"/>
    <w:rsid w:val="00100D6D"/>
    <w:rsid w:val="00103922"/>
    <w:rsid w:val="001041CF"/>
    <w:rsid w:val="001058A0"/>
    <w:rsid w:val="0010625D"/>
    <w:rsid w:val="0010733D"/>
    <w:rsid w:val="001106F8"/>
    <w:rsid w:val="00112388"/>
    <w:rsid w:val="00112D56"/>
    <w:rsid w:val="00113F59"/>
    <w:rsid w:val="001140F4"/>
    <w:rsid w:val="00114E0E"/>
    <w:rsid w:val="00114E64"/>
    <w:rsid w:val="00123D99"/>
    <w:rsid w:val="00124201"/>
    <w:rsid w:val="00126073"/>
    <w:rsid w:val="00131CB2"/>
    <w:rsid w:val="00132FCB"/>
    <w:rsid w:val="001357C8"/>
    <w:rsid w:val="00135CC0"/>
    <w:rsid w:val="001367FB"/>
    <w:rsid w:val="001376DC"/>
    <w:rsid w:val="001379B5"/>
    <w:rsid w:val="001407AD"/>
    <w:rsid w:val="00142A85"/>
    <w:rsid w:val="00142AAA"/>
    <w:rsid w:val="001456D5"/>
    <w:rsid w:val="00145786"/>
    <w:rsid w:val="001464B6"/>
    <w:rsid w:val="001474A6"/>
    <w:rsid w:val="00152198"/>
    <w:rsid w:val="0015227D"/>
    <w:rsid w:val="001529B1"/>
    <w:rsid w:val="00155094"/>
    <w:rsid w:val="00156D43"/>
    <w:rsid w:val="00161636"/>
    <w:rsid w:val="00162711"/>
    <w:rsid w:val="00163C7D"/>
    <w:rsid w:val="00165825"/>
    <w:rsid w:val="00165E75"/>
    <w:rsid w:val="0017177C"/>
    <w:rsid w:val="00171D6A"/>
    <w:rsid w:val="00172F04"/>
    <w:rsid w:val="0017541D"/>
    <w:rsid w:val="00175459"/>
    <w:rsid w:val="00175A72"/>
    <w:rsid w:val="0017780B"/>
    <w:rsid w:val="00180D3F"/>
    <w:rsid w:val="001841F1"/>
    <w:rsid w:val="001871C9"/>
    <w:rsid w:val="00187712"/>
    <w:rsid w:val="00190DF5"/>
    <w:rsid w:val="00191F49"/>
    <w:rsid w:val="00193CA8"/>
    <w:rsid w:val="00195A47"/>
    <w:rsid w:val="001A0C85"/>
    <w:rsid w:val="001A1010"/>
    <w:rsid w:val="001A187E"/>
    <w:rsid w:val="001A2065"/>
    <w:rsid w:val="001A3B59"/>
    <w:rsid w:val="001A54B0"/>
    <w:rsid w:val="001B0B75"/>
    <w:rsid w:val="001B2A4B"/>
    <w:rsid w:val="001B4517"/>
    <w:rsid w:val="001B65AB"/>
    <w:rsid w:val="001B7700"/>
    <w:rsid w:val="001C2EEC"/>
    <w:rsid w:val="001C3BAF"/>
    <w:rsid w:val="001C7D7F"/>
    <w:rsid w:val="001D0371"/>
    <w:rsid w:val="001D0868"/>
    <w:rsid w:val="001D2AA5"/>
    <w:rsid w:val="001D3595"/>
    <w:rsid w:val="001D6BCC"/>
    <w:rsid w:val="001E1B27"/>
    <w:rsid w:val="001E47D1"/>
    <w:rsid w:val="001E4E60"/>
    <w:rsid w:val="001E6012"/>
    <w:rsid w:val="001E60F9"/>
    <w:rsid w:val="001E685D"/>
    <w:rsid w:val="001E6FEF"/>
    <w:rsid w:val="001F0642"/>
    <w:rsid w:val="001F0B98"/>
    <w:rsid w:val="001F432F"/>
    <w:rsid w:val="001F5048"/>
    <w:rsid w:val="001F5249"/>
    <w:rsid w:val="001F6ABC"/>
    <w:rsid w:val="001F7394"/>
    <w:rsid w:val="002011B0"/>
    <w:rsid w:val="002031AB"/>
    <w:rsid w:val="00204171"/>
    <w:rsid w:val="0020519D"/>
    <w:rsid w:val="00212D06"/>
    <w:rsid w:val="00214C8F"/>
    <w:rsid w:val="00216904"/>
    <w:rsid w:val="00217032"/>
    <w:rsid w:val="00217BB0"/>
    <w:rsid w:val="00217D1B"/>
    <w:rsid w:val="00220898"/>
    <w:rsid w:val="00226266"/>
    <w:rsid w:val="00230A61"/>
    <w:rsid w:val="00231709"/>
    <w:rsid w:val="00231828"/>
    <w:rsid w:val="00231E18"/>
    <w:rsid w:val="002349E5"/>
    <w:rsid w:val="00235D67"/>
    <w:rsid w:val="002379A7"/>
    <w:rsid w:val="00237E59"/>
    <w:rsid w:val="0024116D"/>
    <w:rsid w:val="00241F2F"/>
    <w:rsid w:val="00242A32"/>
    <w:rsid w:val="00242A63"/>
    <w:rsid w:val="002433A4"/>
    <w:rsid w:val="00244B72"/>
    <w:rsid w:val="00244BBE"/>
    <w:rsid w:val="002466EF"/>
    <w:rsid w:val="002510A2"/>
    <w:rsid w:val="002513D3"/>
    <w:rsid w:val="002558FD"/>
    <w:rsid w:val="00257C09"/>
    <w:rsid w:val="00260D88"/>
    <w:rsid w:val="00261B87"/>
    <w:rsid w:val="00261E0C"/>
    <w:rsid w:val="00262191"/>
    <w:rsid w:val="00263EEE"/>
    <w:rsid w:val="00264225"/>
    <w:rsid w:val="002730EA"/>
    <w:rsid w:val="00275B3F"/>
    <w:rsid w:val="002760FE"/>
    <w:rsid w:val="00276CB7"/>
    <w:rsid w:val="00287E68"/>
    <w:rsid w:val="00290691"/>
    <w:rsid w:val="0029342E"/>
    <w:rsid w:val="002937DD"/>
    <w:rsid w:val="00294BFF"/>
    <w:rsid w:val="002975F7"/>
    <w:rsid w:val="0029796B"/>
    <w:rsid w:val="002A5BCF"/>
    <w:rsid w:val="002A6C30"/>
    <w:rsid w:val="002A7930"/>
    <w:rsid w:val="002B0F90"/>
    <w:rsid w:val="002B1B24"/>
    <w:rsid w:val="002B32F1"/>
    <w:rsid w:val="002B3748"/>
    <w:rsid w:val="002B38EF"/>
    <w:rsid w:val="002B3A2B"/>
    <w:rsid w:val="002B7202"/>
    <w:rsid w:val="002B7EA3"/>
    <w:rsid w:val="002C0697"/>
    <w:rsid w:val="002C0D66"/>
    <w:rsid w:val="002C30B8"/>
    <w:rsid w:val="002C5B06"/>
    <w:rsid w:val="002D02A9"/>
    <w:rsid w:val="002D32D5"/>
    <w:rsid w:val="002D355C"/>
    <w:rsid w:val="002D5B2D"/>
    <w:rsid w:val="002D610F"/>
    <w:rsid w:val="002D667C"/>
    <w:rsid w:val="002D7F36"/>
    <w:rsid w:val="002D7FF0"/>
    <w:rsid w:val="002E0490"/>
    <w:rsid w:val="002E0EA2"/>
    <w:rsid w:val="002E154B"/>
    <w:rsid w:val="002E156D"/>
    <w:rsid w:val="002E1CD7"/>
    <w:rsid w:val="002E30B6"/>
    <w:rsid w:val="002E590A"/>
    <w:rsid w:val="002E6344"/>
    <w:rsid w:val="002E7D81"/>
    <w:rsid w:val="002F0684"/>
    <w:rsid w:val="002F0ADA"/>
    <w:rsid w:val="002F1C1D"/>
    <w:rsid w:val="002F1D67"/>
    <w:rsid w:val="002F71CD"/>
    <w:rsid w:val="002F79F0"/>
    <w:rsid w:val="002F7E33"/>
    <w:rsid w:val="00300DC3"/>
    <w:rsid w:val="00304CBD"/>
    <w:rsid w:val="003102C4"/>
    <w:rsid w:val="0031294A"/>
    <w:rsid w:val="0031554F"/>
    <w:rsid w:val="00317058"/>
    <w:rsid w:val="003177C0"/>
    <w:rsid w:val="00323861"/>
    <w:rsid w:val="003254FE"/>
    <w:rsid w:val="00327A47"/>
    <w:rsid w:val="0033113E"/>
    <w:rsid w:val="00331194"/>
    <w:rsid w:val="00331D98"/>
    <w:rsid w:val="003348A1"/>
    <w:rsid w:val="003357B2"/>
    <w:rsid w:val="00336FD4"/>
    <w:rsid w:val="003378F0"/>
    <w:rsid w:val="00340547"/>
    <w:rsid w:val="00343A52"/>
    <w:rsid w:val="00351C25"/>
    <w:rsid w:val="003553A0"/>
    <w:rsid w:val="00355C53"/>
    <w:rsid w:val="0035667A"/>
    <w:rsid w:val="00356DFD"/>
    <w:rsid w:val="0036056F"/>
    <w:rsid w:val="00360B0C"/>
    <w:rsid w:val="00362C34"/>
    <w:rsid w:val="00363A23"/>
    <w:rsid w:val="00370200"/>
    <w:rsid w:val="003708C1"/>
    <w:rsid w:val="0037091A"/>
    <w:rsid w:val="00374C26"/>
    <w:rsid w:val="00374DE2"/>
    <w:rsid w:val="003752B1"/>
    <w:rsid w:val="003774DA"/>
    <w:rsid w:val="00377741"/>
    <w:rsid w:val="003827FB"/>
    <w:rsid w:val="00384F2B"/>
    <w:rsid w:val="00385762"/>
    <w:rsid w:val="0038773C"/>
    <w:rsid w:val="0039145D"/>
    <w:rsid w:val="00391A5D"/>
    <w:rsid w:val="00392018"/>
    <w:rsid w:val="0039542D"/>
    <w:rsid w:val="00397848"/>
    <w:rsid w:val="00397E41"/>
    <w:rsid w:val="003A24BB"/>
    <w:rsid w:val="003A2675"/>
    <w:rsid w:val="003A3CD1"/>
    <w:rsid w:val="003A7027"/>
    <w:rsid w:val="003B304A"/>
    <w:rsid w:val="003B36FB"/>
    <w:rsid w:val="003B4035"/>
    <w:rsid w:val="003B54DF"/>
    <w:rsid w:val="003C1D2B"/>
    <w:rsid w:val="003C3FD1"/>
    <w:rsid w:val="003C5149"/>
    <w:rsid w:val="003C79CE"/>
    <w:rsid w:val="003D1CF2"/>
    <w:rsid w:val="003D2C5A"/>
    <w:rsid w:val="003D3D54"/>
    <w:rsid w:val="003E1F76"/>
    <w:rsid w:val="003E4799"/>
    <w:rsid w:val="003E6775"/>
    <w:rsid w:val="003E6937"/>
    <w:rsid w:val="003E69EB"/>
    <w:rsid w:val="003E7FF1"/>
    <w:rsid w:val="003F16C3"/>
    <w:rsid w:val="003F5A9B"/>
    <w:rsid w:val="003F6F59"/>
    <w:rsid w:val="00400B14"/>
    <w:rsid w:val="00402761"/>
    <w:rsid w:val="00403075"/>
    <w:rsid w:val="00403D20"/>
    <w:rsid w:val="00404018"/>
    <w:rsid w:val="004059E8"/>
    <w:rsid w:val="00405C6A"/>
    <w:rsid w:val="00406D81"/>
    <w:rsid w:val="00407A3E"/>
    <w:rsid w:val="00407D67"/>
    <w:rsid w:val="00410230"/>
    <w:rsid w:val="00410CDD"/>
    <w:rsid w:val="0041381A"/>
    <w:rsid w:val="00420A91"/>
    <w:rsid w:val="0042182D"/>
    <w:rsid w:val="00421CF7"/>
    <w:rsid w:val="00427274"/>
    <w:rsid w:val="00437ABA"/>
    <w:rsid w:val="0044070D"/>
    <w:rsid w:val="00451ECE"/>
    <w:rsid w:val="00452E50"/>
    <w:rsid w:val="00453942"/>
    <w:rsid w:val="00454913"/>
    <w:rsid w:val="00454CAE"/>
    <w:rsid w:val="00454D4E"/>
    <w:rsid w:val="00455363"/>
    <w:rsid w:val="00455E1A"/>
    <w:rsid w:val="00456437"/>
    <w:rsid w:val="00457EC0"/>
    <w:rsid w:val="00460A5A"/>
    <w:rsid w:val="00460EAF"/>
    <w:rsid w:val="00462F4B"/>
    <w:rsid w:val="004659B1"/>
    <w:rsid w:val="00466F72"/>
    <w:rsid w:val="00467078"/>
    <w:rsid w:val="00474630"/>
    <w:rsid w:val="00475943"/>
    <w:rsid w:val="00475E9D"/>
    <w:rsid w:val="004813C5"/>
    <w:rsid w:val="00481EC7"/>
    <w:rsid w:val="00483783"/>
    <w:rsid w:val="004843DB"/>
    <w:rsid w:val="00484684"/>
    <w:rsid w:val="00486DFC"/>
    <w:rsid w:val="004916DE"/>
    <w:rsid w:val="00491A5B"/>
    <w:rsid w:val="00493E4E"/>
    <w:rsid w:val="004944FF"/>
    <w:rsid w:val="00494B44"/>
    <w:rsid w:val="004959AC"/>
    <w:rsid w:val="004A7856"/>
    <w:rsid w:val="004A7C7F"/>
    <w:rsid w:val="004B1430"/>
    <w:rsid w:val="004B18CD"/>
    <w:rsid w:val="004B31D6"/>
    <w:rsid w:val="004B6D75"/>
    <w:rsid w:val="004C169F"/>
    <w:rsid w:val="004C2350"/>
    <w:rsid w:val="004C347B"/>
    <w:rsid w:val="004C3C77"/>
    <w:rsid w:val="004C5A16"/>
    <w:rsid w:val="004C5B75"/>
    <w:rsid w:val="004C7C07"/>
    <w:rsid w:val="004D1F49"/>
    <w:rsid w:val="004D3658"/>
    <w:rsid w:val="004D5157"/>
    <w:rsid w:val="004D77B7"/>
    <w:rsid w:val="004D7F18"/>
    <w:rsid w:val="004E1A82"/>
    <w:rsid w:val="004E1FAA"/>
    <w:rsid w:val="004E24CB"/>
    <w:rsid w:val="004E4B41"/>
    <w:rsid w:val="004E50BB"/>
    <w:rsid w:val="004E5316"/>
    <w:rsid w:val="004F189E"/>
    <w:rsid w:val="004F1A23"/>
    <w:rsid w:val="004F1E3D"/>
    <w:rsid w:val="004F5450"/>
    <w:rsid w:val="004F59C8"/>
    <w:rsid w:val="004F6561"/>
    <w:rsid w:val="004F722F"/>
    <w:rsid w:val="005050C1"/>
    <w:rsid w:val="005053BF"/>
    <w:rsid w:val="00505C20"/>
    <w:rsid w:val="00506312"/>
    <w:rsid w:val="00510511"/>
    <w:rsid w:val="00516707"/>
    <w:rsid w:val="0052014E"/>
    <w:rsid w:val="00520C2E"/>
    <w:rsid w:val="005221D9"/>
    <w:rsid w:val="00522979"/>
    <w:rsid w:val="00522B0B"/>
    <w:rsid w:val="00526AA7"/>
    <w:rsid w:val="0053024F"/>
    <w:rsid w:val="0053091E"/>
    <w:rsid w:val="005339EE"/>
    <w:rsid w:val="00533DDC"/>
    <w:rsid w:val="0053489D"/>
    <w:rsid w:val="0053521E"/>
    <w:rsid w:val="00540B85"/>
    <w:rsid w:val="00544752"/>
    <w:rsid w:val="00546A72"/>
    <w:rsid w:val="00547C6E"/>
    <w:rsid w:val="00554288"/>
    <w:rsid w:val="00554F32"/>
    <w:rsid w:val="00554F7A"/>
    <w:rsid w:val="00555A81"/>
    <w:rsid w:val="0055713D"/>
    <w:rsid w:val="00560E02"/>
    <w:rsid w:val="005610A1"/>
    <w:rsid w:val="005656ED"/>
    <w:rsid w:val="005701F9"/>
    <w:rsid w:val="0057050B"/>
    <w:rsid w:val="00570C88"/>
    <w:rsid w:val="0057484F"/>
    <w:rsid w:val="00580317"/>
    <w:rsid w:val="005819D5"/>
    <w:rsid w:val="00581B67"/>
    <w:rsid w:val="005823B2"/>
    <w:rsid w:val="00584715"/>
    <w:rsid w:val="00585731"/>
    <w:rsid w:val="0058576C"/>
    <w:rsid w:val="00590618"/>
    <w:rsid w:val="005908A2"/>
    <w:rsid w:val="00590CCA"/>
    <w:rsid w:val="005925F4"/>
    <w:rsid w:val="00592C85"/>
    <w:rsid w:val="00594046"/>
    <w:rsid w:val="00596815"/>
    <w:rsid w:val="005A17F3"/>
    <w:rsid w:val="005A2956"/>
    <w:rsid w:val="005A2B06"/>
    <w:rsid w:val="005A637A"/>
    <w:rsid w:val="005A641D"/>
    <w:rsid w:val="005A7EC1"/>
    <w:rsid w:val="005B16C0"/>
    <w:rsid w:val="005B37BC"/>
    <w:rsid w:val="005B4016"/>
    <w:rsid w:val="005B65DF"/>
    <w:rsid w:val="005C34CD"/>
    <w:rsid w:val="005C36F7"/>
    <w:rsid w:val="005C4016"/>
    <w:rsid w:val="005C523E"/>
    <w:rsid w:val="005C5754"/>
    <w:rsid w:val="005C5869"/>
    <w:rsid w:val="005C5E1D"/>
    <w:rsid w:val="005C7BF1"/>
    <w:rsid w:val="005D134D"/>
    <w:rsid w:val="005D3DF5"/>
    <w:rsid w:val="005D40E5"/>
    <w:rsid w:val="005E0C04"/>
    <w:rsid w:val="005E15DD"/>
    <w:rsid w:val="005E2B37"/>
    <w:rsid w:val="005E2FC4"/>
    <w:rsid w:val="005E40E8"/>
    <w:rsid w:val="005E7ABB"/>
    <w:rsid w:val="005F1CC7"/>
    <w:rsid w:val="005F5588"/>
    <w:rsid w:val="005F7C43"/>
    <w:rsid w:val="00603524"/>
    <w:rsid w:val="00605E63"/>
    <w:rsid w:val="00612E74"/>
    <w:rsid w:val="006142A0"/>
    <w:rsid w:val="006145F5"/>
    <w:rsid w:val="00616841"/>
    <w:rsid w:val="00616C61"/>
    <w:rsid w:val="00617FDD"/>
    <w:rsid w:val="00620309"/>
    <w:rsid w:val="006236C9"/>
    <w:rsid w:val="00623D60"/>
    <w:rsid w:val="00624752"/>
    <w:rsid w:val="00624902"/>
    <w:rsid w:val="006253BE"/>
    <w:rsid w:val="006272D7"/>
    <w:rsid w:val="00630734"/>
    <w:rsid w:val="006311DE"/>
    <w:rsid w:val="0063383B"/>
    <w:rsid w:val="00635B20"/>
    <w:rsid w:val="00636ED9"/>
    <w:rsid w:val="006374CD"/>
    <w:rsid w:val="006426B8"/>
    <w:rsid w:val="0064305C"/>
    <w:rsid w:val="0064462F"/>
    <w:rsid w:val="00647596"/>
    <w:rsid w:val="006477A1"/>
    <w:rsid w:val="00647B73"/>
    <w:rsid w:val="00650564"/>
    <w:rsid w:val="006523B4"/>
    <w:rsid w:val="006555F6"/>
    <w:rsid w:val="006562F3"/>
    <w:rsid w:val="0065701F"/>
    <w:rsid w:val="006602EA"/>
    <w:rsid w:val="0066109A"/>
    <w:rsid w:val="00662D78"/>
    <w:rsid w:val="00663BAF"/>
    <w:rsid w:val="00664261"/>
    <w:rsid w:val="0066705B"/>
    <w:rsid w:val="006717A9"/>
    <w:rsid w:val="006759A0"/>
    <w:rsid w:val="006761DB"/>
    <w:rsid w:val="006771C7"/>
    <w:rsid w:val="006803D7"/>
    <w:rsid w:val="0068293E"/>
    <w:rsid w:val="00684A45"/>
    <w:rsid w:val="00690C53"/>
    <w:rsid w:val="006930CC"/>
    <w:rsid w:val="0069341A"/>
    <w:rsid w:val="006949D4"/>
    <w:rsid w:val="006949DD"/>
    <w:rsid w:val="00697335"/>
    <w:rsid w:val="006A1E69"/>
    <w:rsid w:val="006A2178"/>
    <w:rsid w:val="006A4A62"/>
    <w:rsid w:val="006B069B"/>
    <w:rsid w:val="006B148B"/>
    <w:rsid w:val="006B240F"/>
    <w:rsid w:val="006B32D8"/>
    <w:rsid w:val="006B4394"/>
    <w:rsid w:val="006B5565"/>
    <w:rsid w:val="006C2C56"/>
    <w:rsid w:val="006C3229"/>
    <w:rsid w:val="006C5F56"/>
    <w:rsid w:val="006C6018"/>
    <w:rsid w:val="006C69E4"/>
    <w:rsid w:val="006C6A6C"/>
    <w:rsid w:val="006D0BB0"/>
    <w:rsid w:val="006D3506"/>
    <w:rsid w:val="006D3E5A"/>
    <w:rsid w:val="006D5148"/>
    <w:rsid w:val="006D6BA9"/>
    <w:rsid w:val="006E4457"/>
    <w:rsid w:val="006E5403"/>
    <w:rsid w:val="006E7ABC"/>
    <w:rsid w:val="006F0BB5"/>
    <w:rsid w:val="006F17FA"/>
    <w:rsid w:val="006F25D6"/>
    <w:rsid w:val="006F2E57"/>
    <w:rsid w:val="006F4078"/>
    <w:rsid w:val="006F464E"/>
    <w:rsid w:val="006F7FF9"/>
    <w:rsid w:val="0070048E"/>
    <w:rsid w:val="00700AAA"/>
    <w:rsid w:val="00703E7C"/>
    <w:rsid w:val="00705027"/>
    <w:rsid w:val="0070681C"/>
    <w:rsid w:val="00710661"/>
    <w:rsid w:val="007107AB"/>
    <w:rsid w:val="00710825"/>
    <w:rsid w:val="00712D64"/>
    <w:rsid w:val="00713A2C"/>
    <w:rsid w:val="007177B2"/>
    <w:rsid w:val="00720FEE"/>
    <w:rsid w:val="00723FA6"/>
    <w:rsid w:val="00724BB5"/>
    <w:rsid w:val="0072627F"/>
    <w:rsid w:val="00730001"/>
    <w:rsid w:val="007315E0"/>
    <w:rsid w:val="007342DC"/>
    <w:rsid w:val="00735646"/>
    <w:rsid w:val="00736402"/>
    <w:rsid w:val="007368F7"/>
    <w:rsid w:val="00740D76"/>
    <w:rsid w:val="0074234E"/>
    <w:rsid w:val="00742C68"/>
    <w:rsid w:val="00744294"/>
    <w:rsid w:val="007445F2"/>
    <w:rsid w:val="00744BDD"/>
    <w:rsid w:val="007501F7"/>
    <w:rsid w:val="0075061A"/>
    <w:rsid w:val="0075143C"/>
    <w:rsid w:val="00753D7E"/>
    <w:rsid w:val="00754630"/>
    <w:rsid w:val="00754E08"/>
    <w:rsid w:val="00761403"/>
    <w:rsid w:val="0076309C"/>
    <w:rsid w:val="00764E5C"/>
    <w:rsid w:val="00765A00"/>
    <w:rsid w:val="00766F64"/>
    <w:rsid w:val="00770EC3"/>
    <w:rsid w:val="00771709"/>
    <w:rsid w:val="00771B49"/>
    <w:rsid w:val="0077215E"/>
    <w:rsid w:val="007754B1"/>
    <w:rsid w:val="00776F94"/>
    <w:rsid w:val="00777996"/>
    <w:rsid w:val="00780089"/>
    <w:rsid w:val="00780428"/>
    <w:rsid w:val="007876B0"/>
    <w:rsid w:val="00787F11"/>
    <w:rsid w:val="007912F7"/>
    <w:rsid w:val="007919CC"/>
    <w:rsid w:val="00792CE4"/>
    <w:rsid w:val="00795227"/>
    <w:rsid w:val="00795595"/>
    <w:rsid w:val="00796CA4"/>
    <w:rsid w:val="0079785B"/>
    <w:rsid w:val="007A0F8A"/>
    <w:rsid w:val="007A2DC6"/>
    <w:rsid w:val="007A4B03"/>
    <w:rsid w:val="007A57FD"/>
    <w:rsid w:val="007A668A"/>
    <w:rsid w:val="007A6753"/>
    <w:rsid w:val="007B125E"/>
    <w:rsid w:val="007B1C55"/>
    <w:rsid w:val="007B2933"/>
    <w:rsid w:val="007B353F"/>
    <w:rsid w:val="007B4E2D"/>
    <w:rsid w:val="007B52CC"/>
    <w:rsid w:val="007B6188"/>
    <w:rsid w:val="007B6B38"/>
    <w:rsid w:val="007B709C"/>
    <w:rsid w:val="007B70C2"/>
    <w:rsid w:val="007C6720"/>
    <w:rsid w:val="007C6CD3"/>
    <w:rsid w:val="007C7324"/>
    <w:rsid w:val="007D1794"/>
    <w:rsid w:val="007E1FFF"/>
    <w:rsid w:val="007E40D3"/>
    <w:rsid w:val="007E4737"/>
    <w:rsid w:val="007E5073"/>
    <w:rsid w:val="007E644C"/>
    <w:rsid w:val="007E66B4"/>
    <w:rsid w:val="007F01A0"/>
    <w:rsid w:val="007F1DD6"/>
    <w:rsid w:val="007F20EC"/>
    <w:rsid w:val="007F3893"/>
    <w:rsid w:val="007F58ED"/>
    <w:rsid w:val="007F718E"/>
    <w:rsid w:val="0080002B"/>
    <w:rsid w:val="0080178A"/>
    <w:rsid w:val="00802973"/>
    <w:rsid w:val="00804AC3"/>
    <w:rsid w:val="00810C38"/>
    <w:rsid w:val="00813813"/>
    <w:rsid w:val="00813F3E"/>
    <w:rsid w:val="008157C8"/>
    <w:rsid w:val="008165A7"/>
    <w:rsid w:val="00821FA0"/>
    <w:rsid w:val="00822E68"/>
    <w:rsid w:val="00823C31"/>
    <w:rsid w:val="00824B36"/>
    <w:rsid w:val="00827212"/>
    <w:rsid w:val="008324DD"/>
    <w:rsid w:val="00833AB7"/>
    <w:rsid w:val="00835D35"/>
    <w:rsid w:val="00837222"/>
    <w:rsid w:val="00837248"/>
    <w:rsid w:val="0083739D"/>
    <w:rsid w:val="00840823"/>
    <w:rsid w:val="00841935"/>
    <w:rsid w:val="00842AD3"/>
    <w:rsid w:val="00845974"/>
    <w:rsid w:val="00845AEE"/>
    <w:rsid w:val="0085419A"/>
    <w:rsid w:val="00857530"/>
    <w:rsid w:val="00861640"/>
    <w:rsid w:val="00864F3C"/>
    <w:rsid w:val="00871F29"/>
    <w:rsid w:val="00877CBA"/>
    <w:rsid w:val="008847BA"/>
    <w:rsid w:val="00885788"/>
    <w:rsid w:val="0088666A"/>
    <w:rsid w:val="00886D9F"/>
    <w:rsid w:val="00895A27"/>
    <w:rsid w:val="008960E4"/>
    <w:rsid w:val="008A10C2"/>
    <w:rsid w:val="008A2FDA"/>
    <w:rsid w:val="008A4DB1"/>
    <w:rsid w:val="008A5C8B"/>
    <w:rsid w:val="008A600A"/>
    <w:rsid w:val="008A6273"/>
    <w:rsid w:val="008B3F3E"/>
    <w:rsid w:val="008B79FA"/>
    <w:rsid w:val="008B7F08"/>
    <w:rsid w:val="008C0FE9"/>
    <w:rsid w:val="008C3412"/>
    <w:rsid w:val="008C3765"/>
    <w:rsid w:val="008D0FD4"/>
    <w:rsid w:val="008D10B2"/>
    <w:rsid w:val="008D2BAB"/>
    <w:rsid w:val="008D34FA"/>
    <w:rsid w:val="008D79C2"/>
    <w:rsid w:val="008D7F7A"/>
    <w:rsid w:val="008E3B59"/>
    <w:rsid w:val="008E3D98"/>
    <w:rsid w:val="008E6194"/>
    <w:rsid w:val="008E7E03"/>
    <w:rsid w:val="008F0979"/>
    <w:rsid w:val="008F2363"/>
    <w:rsid w:val="008F64DA"/>
    <w:rsid w:val="00902E0D"/>
    <w:rsid w:val="009037F5"/>
    <w:rsid w:val="00903B20"/>
    <w:rsid w:val="00915F6A"/>
    <w:rsid w:val="0091697D"/>
    <w:rsid w:val="00917D4E"/>
    <w:rsid w:val="00921C98"/>
    <w:rsid w:val="009238DD"/>
    <w:rsid w:val="009238F1"/>
    <w:rsid w:val="00926525"/>
    <w:rsid w:val="00930D87"/>
    <w:rsid w:val="00930F14"/>
    <w:rsid w:val="0093287D"/>
    <w:rsid w:val="00932B27"/>
    <w:rsid w:val="00933050"/>
    <w:rsid w:val="00934D42"/>
    <w:rsid w:val="00936597"/>
    <w:rsid w:val="00936E95"/>
    <w:rsid w:val="009373B3"/>
    <w:rsid w:val="00937A52"/>
    <w:rsid w:val="00940BAD"/>
    <w:rsid w:val="009412D0"/>
    <w:rsid w:val="00942A53"/>
    <w:rsid w:val="00950494"/>
    <w:rsid w:val="009512D5"/>
    <w:rsid w:val="009512E0"/>
    <w:rsid w:val="00953264"/>
    <w:rsid w:val="00954C4B"/>
    <w:rsid w:val="00955458"/>
    <w:rsid w:val="00960791"/>
    <w:rsid w:val="00960E18"/>
    <w:rsid w:val="00963917"/>
    <w:rsid w:val="00963CFA"/>
    <w:rsid w:val="0096675E"/>
    <w:rsid w:val="009735AD"/>
    <w:rsid w:val="00973820"/>
    <w:rsid w:val="009738E4"/>
    <w:rsid w:val="009743B7"/>
    <w:rsid w:val="00974D98"/>
    <w:rsid w:val="00975052"/>
    <w:rsid w:val="009750C7"/>
    <w:rsid w:val="00977232"/>
    <w:rsid w:val="00977E92"/>
    <w:rsid w:val="00980980"/>
    <w:rsid w:val="009848D8"/>
    <w:rsid w:val="00986116"/>
    <w:rsid w:val="00990455"/>
    <w:rsid w:val="0099191A"/>
    <w:rsid w:val="00992416"/>
    <w:rsid w:val="00993979"/>
    <w:rsid w:val="0099419C"/>
    <w:rsid w:val="00994236"/>
    <w:rsid w:val="009945E2"/>
    <w:rsid w:val="0099532F"/>
    <w:rsid w:val="009962A3"/>
    <w:rsid w:val="009978A4"/>
    <w:rsid w:val="00997A21"/>
    <w:rsid w:val="009A1613"/>
    <w:rsid w:val="009A6854"/>
    <w:rsid w:val="009B1D0E"/>
    <w:rsid w:val="009B1F1C"/>
    <w:rsid w:val="009C0274"/>
    <w:rsid w:val="009C069C"/>
    <w:rsid w:val="009C2CE0"/>
    <w:rsid w:val="009C798C"/>
    <w:rsid w:val="009C7AD9"/>
    <w:rsid w:val="009D1240"/>
    <w:rsid w:val="009D26CB"/>
    <w:rsid w:val="009D3A68"/>
    <w:rsid w:val="009D4396"/>
    <w:rsid w:val="009D43DE"/>
    <w:rsid w:val="009D54E9"/>
    <w:rsid w:val="009D5A88"/>
    <w:rsid w:val="009D6981"/>
    <w:rsid w:val="009E5612"/>
    <w:rsid w:val="009E6B06"/>
    <w:rsid w:val="009E6C16"/>
    <w:rsid w:val="009E7116"/>
    <w:rsid w:val="009E73D4"/>
    <w:rsid w:val="009F00CE"/>
    <w:rsid w:val="009F1DFC"/>
    <w:rsid w:val="009F26EB"/>
    <w:rsid w:val="009F2F78"/>
    <w:rsid w:val="009F4B8B"/>
    <w:rsid w:val="009F4C0C"/>
    <w:rsid w:val="009F6E89"/>
    <w:rsid w:val="00A00947"/>
    <w:rsid w:val="00A02FED"/>
    <w:rsid w:val="00A0546C"/>
    <w:rsid w:val="00A06ABD"/>
    <w:rsid w:val="00A06ACA"/>
    <w:rsid w:val="00A07FB3"/>
    <w:rsid w:val="00A10629"/>
    <w:rsid w:val="00A118E3"/>
    <w:rsid w:val="00A11C4B"/>
    <w:rsid w:val="00A13B54"/>
    <w:rsid w:val="00A15295"/>
    <w:rsid w:val="00A160B4"/>
    <w:rsid w:val="00A168BA"/>
    <w:rsid w:val="00A17131"/>
    <w:rsid w:val="00A17972"/>
    <w:rsid w:val="00A20E7E"/>
    <w:rsid w:val="00A22794"/>
    <w:rsid w:val="00A24B96"/>
    <w:rsid w:val="00A26A0B"/>
    <w:rsid w:val="00A32440"/>
    <w:rsid w:val="00A35BE7"/>
    <w:rsid w:val="00A35C0F"/>
    <w:rsid w:val="00A36140"/>
    <w:rsid w:val="00A367B8"/>
    <w:rsid w:val="00A368DC"/>
    <w:rsid w:val="00A40413"/>
    <w:rsid w:val="00A42303"/>
    <w:rsid w:val="00A43313"/>
    <w:rsid w:val="00A439DF"/>
    <w:rsid w:val="00A43F33"/>
    <w:rsid w:val="00A472D2"/>
    <w:rsid w:val="00A504E6"/>
    <w:rsid w:val="00A50D5D"/>
    <w:rsid w:val="00A52916"/>
    <w:rsid w:val="00A52E59"/>
    <w:rsid w:val="00A5311C"/>
    <w:rsid w:val="00A540EE"/>
    <w:rsid w:val="00A54265"/>
    <w:rsid w:val="00A545A1"/>
    <w:rsid w:val="00A553C6"/>
    <w:rsid w:val="00A5548A"/>
    <w:rsid w:val="00A6285C"/>
    <w:rsid w:val="00A656E5"/>
    <w:rsid w:val="00A667C3"/>
    <w:rsid w:val="00A671E7"/>
    <w:rsid w:val="00A7605E"/>
    <w:rsid w:val="00A76A18"/>
    <w:rsid w:val="00A80AD2"/>
    <w:rsid w:val="00A81C80"/>
    <w:rsid w:val="00A81EB5"/>
    <w:rsid w:val="00A82CF5"/>
    <w:rsid w:val="00A83648"/>
    <w:rsid w:val="00A83995"/>
    <w:rsid w:val="00A83ECF"/>
    <w:rsid w:val="00A84507"/>
    <w:rsid w:val="00A85D2F"/>
    <w:rsid w:val="00A86291"/>
    <w:rsid w:val="00A869F8"/>
    <w:rsid w:val="00A8789E"/>
    <w:rsid w:val="00A90D3D"/>
    <w:rsid w:val="00A917FA"/>
    <w:rsid w:val="00A95CA1"/>
    <w:rsid w:val="00A97C16"/>
    <w:rsid w:val="00AA0099"/>
    <w:rsid w:val="00AA0816"/>
    <w:rsid w:val="00AA0ABD"/>
    <w:rsid w:val="00AA2196"/>
    <w:rsid w:val="00AA2C8F"/>
    <w:rsid w:val="00AA6681"/>
    <w:rsid w:val="00AA6C54"/>
    <w:rsid w:val="00AB1782"/>
    <w:rsid w:val="00AB3C76"/>
    <w:rsid w:val="00AB4B59"/>
    <w:rsid w:val="00AB5658"/>
    <w:rsid w:val="00AB6512"/>
    <w:rsid w:val="00AB67BF"/>
    <w:rsid w:val="00AB67E0"/>
    <w:rsid w:val="00AB76F9"/>
    <w:rsid w:val="00AB7C17"/>
    <w:rsid w:val="00AC0251"/>
    <w:rsid w:val="00AC594A"/>
    <w:rsid w:val="00AD1EC1"/>
    <w:rsid w:val="00AD2CD3"/>
    <w:rsid w:val="00AD59FD"/>
    <w:rsid w:val="00AD5F98"/>
    <w:rsid w:val="00AD6892"/>
    <w:rsid w:val="00AD736C"/>
    <w:rsid w:val="00AE0E3D"/>
    <w:rsid w:val="00AE4611"/>
    <w:rsid w:val="00AF003F"/>
    <w:rsid w:val="00AF013F"/>
    <w:rsid w:val="00AF211F"/>
    <w:rsid w:val="00AF2A28"/>
    <w:rsid w:val="00AF4356"/>
    <w:rsid w:val="00B0103E"/>
    <w:rsid w:val="00B07C91"/>
    <w:rsid w:val="00B1009B"/>
    <w:rsid w:val="00B11E8B"/>
    <w:rsid w:val="00B13FE2"/>
    <w:rsid w:val="00B157A9"/>
    <w:rsid w:val="00B15E1C"/>
    <w:rsid w:val="00B20F04"/>
    <w:rsid w:val="00B2137D"/>
    <w:rsid w:val="00B22E9A"/>
    <w:rsid w:val="00B23029"/>
    <w:rsid w:val="00B3026F"/>
    <w:rsid w:val="00B30717"/>
    <w:rsid w:val="00B309A9"/>
    <w:rsid w:val="00B3121F"/>
    <w:rsid w:val="00B31550"/>
    <w:rsid w:val="00B32FAA"/>
    <w:rsid w:val="00B33201"/>
    <w:rsid w:val="00B335B0"/>
    <w:rsid w:val="00B40190"/>
    <w:rsid w:val="00B42E9D"/>
    <w:rsid w:val="00B4373A"/>
    <w:rsid w:val="00B44E3E"/>
    <w:rsid w:val="00B50380"/>
    <w:rsid w:val="00B51B7C"/>
    <w:rsid w:val="00B51DC1"/>
    <w:rsid w:val="00B52D2B"/>
    <w:rsid w:val="00B53ECD"/>
    <w:rsid w:val="00B56086"/>
    <w:rsid w:val="00B5743E"/>
    <w:rsid w:val="00B6115D"/>
    <w:rsid w:val="00B62220"/>
    <w:rsid w:val="00B655D8"/>
    <w:rsid w:val="00B669E4"/>
    <w:rsid w:val="00B771B1"/>
    <w:rsid w:val="00B838CE"/>
    <w:rsid w:val="00B860D6"/>
    <w:rsid w:val="00B862E4"/>
    <w:rsid w:val="00B90BE2"/>
    <w:rsid w:val="00B911DD"/>
    <w:rsid w:val="00B92691"/>
    <w:rsid w:val="00B93E64"/>
    <w:rsid w:val="00B93FC9"/>
    <w:rsid w:val="00B96811"/>
    <w:rsid w:val="00BA0899"/>
    <w:rsid w:val="00BA51AE"/>
    <w:rsid w:val="00BA7D80"/>
    <w:rsid w:val="00BB3FB8"/>
    <w:rsid w:val="00BB445E"/>
    <w:rsid w:val="00BB538B"/>
    <w:rsid w:val="00BB6354"/>
    <w:rsid w:val="00BB7166"/>
    <w:rsid w:val="00BC40F0"/>
    <w:rsid w:val="00BC4246"/>
    <w:rsid w:val="00BC5A2A"/>
    <w:rsid w:val="00BC70C1"/>
    <w:rsid w:val="00BD07FA"/>
    <w:rsid w:val="00BD0A19"/>
    <w:rsid w:val="00BD1200"/>
    <w:rsid w:val="00BD2806"/>
    <w:rsid w:val="00BD3CB8"/>
    <w:rsid w:val="00BD5A23"/>
    <w:rsid w:val="00BD5D34"/>
    <w:rsid w:val="00BD645B"/>
    <w:rsid w:val="00BD6BCB"/>
    <w:rsid w:val="00BD6D31"/>
    <w:rsid w:val="00BD6F83"/>
    <w:rsid w:val="00BD7111"/>
    <w:rsid w:val="00BE173B"/>
    <w:rsid w:val="00BE18B6"/>
    <w:rsid w:val="00BE56FD"/>
    <w:rsid w:val="00BE5B93"/>
    <w:rsid w:val="00BE6CDC"/>
    <w:rsid w:val="00BE7E7B"/>
    <w:rsid w:val="00BF0580"/>
    <w:rsid w:val="00BF1B7D"/>
    <w:rsid w:val="00BF23C4"/>
    <w:rsid w:val="00BF512E"/>
    <w:rsid w:val="00BF6240"/>
    <w:rsid w:val="00BF6708"/>
    <w:rsid w:val="00BF7631"/>
    <w:rsid w:val="00C03627"/>
    <w:rsid w:val="00C044F0"/>
    <w:rsid w:val="00C05CBB"/>
    <w:rsid w:val="00C073C3"/>
    <w:rsid w:val="00C1061A"/>
    <w:rsid w:val="00C10C56"/>
    <w:rsid w:val="00C12288"/>
    <w:rsid w:val="00C14412"/>
    <w:rsid w:val="00C1546B"/>
    <w:rsid w:val="00C162B4"/>
    <w:rsid w:val="00C17DE2"/>
    <w:rsid w:val="00C23DE2"/>
    <w:rsid w:val="00C24C4F"/>
    <w:rsid w:val="00C33438"/>
    <w:rsid w:val="00C36D94"/>
    <w:rsid w:val="00C40277"/>
    <w:rsid w:val="00C440EF"/>
    <w:rsid w:val="00C44AFB"/>
    <w:rsid w:val="00C523E9"/>
    <w:rsid w:val="00C526C9"/>
    <w:rsid w:val="00C52CC9"/>
    <w:rsid w:val="00C53180"/>
    <w:rsid w:val="00C53488"/>
    <w:rsid w:val="00C534B6"/>
    <w:rsid w:val="00C53E5C"/>
    <w:rsid w:val="00C57D42"/>
    <w:rsid w:val="00C63A08"/>
    <w:rsid w:val="00C6480A"/>
    <w:rsid w:val="00C65F6D"/>
    <w:rsid w:val="00C6768A"/>
    <w:rsid w:val="00C67CF7"/>
    <w:rsid w:val="00C703A6"/>
    <w:rsid w:val="00C7359E"/>
    <w:rsid w:val="00C7663E"/>
    <w:rsid w:val="00C776BD"/>
    <w:rsid w:val="00C806D7"/>
    <w:rsid w:val="00C84B5C"/>
    <w:rsid w:val="00C87272"/>
    <w:rsid w:val="00C9068E"/>
    <w:rsid w:val="00C91ABA"/>
    <w:rsid w:val="00C92EB4"/>
    <w:rsid w:val="00C94821"/>
    <w:rsid w:val="00C9725C"/>
    <w:rsid w:val="00CA01D3"/>
    <w:rsid w:val="00CA0D86"/>
    <w:rsid w:val="00CA21E9"/>
    <w:rsid w:val="00CA2A14"/>
    <w:rsid w:val="00CA3E33"/>
    <w:rsid w:val="00CB42A6"/>
    <w:rsid w:val="00CB4B77"/>
    <w:rsid w:val="00CB79D1"/>
    <w:rsid w:val="00CC62D0"/>
    <w:rsid w:val="00CC652B"/>
    <w:rsid w:val="00CD2A4F"/>
    <w:rsid w:val="00CD3BBA"/>
    <w:rsid w:val="00CD499A"/>
    <w:rsid w:val="00CD5B1F"/>
    <w:rsid w:val="00CD5D83"/>
    <w:rsid w:val="00CD7307"/>
    <w:rsid w:val="00CD73AD"/>
    <w:rsid w:val="00CE0980"/>
    <w:rsid w:val="00CE0BB4"/>
    <w:rsid w:val="00CE0EDA"/>
    <w:rsid w:val="00CE3662"/>
    <w:rsid w:val="00CE5881"/>
    <w:rsid w:val="00CE684D"/>
    <w:rsid w:val="00CE6E9D"/>
    <w:rsid w:val="00CF02F3"/>
    <w:rsid w:val="00CF0387"/>
    <w:rsid w:val="00CF08D0"/>
    <w:rsid w:val="00CF09E1"/>
    <w:rsid w:val="00CF1F04"/>
    <w:rsid w:val="00CF22A8"/>
    <w:rsid w:val="00CF3D1D"/>
    <w:rsid w:val="00CF4AB5"/>
    <w:rsid w:val="00CF4D74"/>
    <w:rsid w:val="00CF7031"/>
    <w:rsid w:val="00D004EA"/>
    <w:rsid w:val="00D01489"/>
    <w:rsid w:val="00D01CBF"/>
    <w:rsid w:val="00D02CB0"/>
    <w:rsid w:val="00D04667"/>
    <w:rsid w:val="00D053AC"/>
    <w:rsid w:val="00D06D44"/>
    <w:rsid w:val="00D07FAC"/>
    <w:rsid w:val="00D1104B"/>
    <w:rsid w:val="00D112FF"/>
    <w:rsid w:val="00D11785"/>
    <w:rsid w:val="00D1494A"/>
    <w:rsid w:val="00D164EC"/>
    <w:rsid w:val="00D170CE"/>
    <w:rsid w:val="00D17150"/>
    <w:rsid w:val="00D17CB8"/>
    <w:rsid w:val="00D209BA"/>
    <w:rsid w:val="00D21505"/>
    <w:rsid w:val="00D216FA"/>
    <w:rsid w:val="00D23851"/>
    <w:rsid w:val="00D2568B"/>
    <w:rsid w:val="00D30FF6"/>
    <w:rsid w:val="00D31D9C"/>
    <w:rsid w:val="00D35E21"/>
    <w:rsid w:val="00D37AE8"/>
    <w:rsid w:val="00D41EEB"/>
    <w:rsid w:val="00D43024"/>
    <w:rsid w:val="00D44DBF"/>
    <w:rsid w:val="00D470B0"/>
    <w:rsid w:val="00D510BA"/>
    <w:rsid w:val="00D53846"/>
    <w:rsid w:val="00D53ABE"/>
    <w:rsid w:val="00D54563"/>
    <w:rsid w:val="00D54F10"/>
    <w:rsid w:val="00D552A0"/>
    <w:rsid w:val="00D6172C"/>
    <w:rsid w:val="00D630E8"/>
    <w:rsid w:val="00D6379D"/>
    <w:rsid w:val="00D64660"/>
    <w:rsid w:val="00D666F2"/>
    <w:rsid w:val="00D72ADC"/>
    <w:rsid w:val="00D735CB"/>
    <w:rsid w:val="00D73A2E"/>
    <w:rsid w:val="00D763CE"/>
    <w:rsid w:val="00D77CFE"/>
    <w:rsid w:val="00D83B47"/>
    <w:rsid w:val="00D86F2E"/>
    <w:rsid w:val="00D91D9C"/>
    <w:rsid w:val="00D927CA"/>
    <w:rsid w:val="00D92BEC"/>
    <w:rsid w:val="00D946C6"/>
    <w:rsid w:val="00D96143"/>
    <w:rsid w:val="00DA1332"/>
    <w:rsid w:val="00DA1839"/>
    <w:rsid w:val="00DA21D2"/>
    <w:rsid w:val="00DA2833"/>
    <w:rsid w:val="00DA2FD1"/>
    <w:rsid w:val="00DA448B"/>
    <w:rsid w:val="00DA44ED"/>
    <w:rsid w:val="00DB0035"/>
    <w:rsid w:val="00DB06CF"/>
    <w:rsid w:val="00DB0C46"/>
    <w:rsid w:val="00DB570F"/>
    <w:rsid w:val="00DB6141"/>
    <w:rsid w:val="00DB6D62"/>
    <w:rsid w:val="00DC05CC"/>
    <w:rsid w:val="00DC14A4"/>
    <w:rsid w:val="00DC18BE"/>
    <w:rsid w:val="00DC2F08"/>
    <w:rsid w:val="00DC3253"/>
    <w:rsid w:val="00DC524E"/>
    <w:rsid w:val="00DC556F"/>
    <w:rsid w:val="00DC5827"/>
    <w:rsid w:val="00DC6FDE"/>
    <w:rsid w:val="00DC751C"/>
    <w:rsid w:val="00DD38C1"/>
    <w:rsid w:val="00DD61FD"/>
    <w:rsid w:val="00DD755B"/>
    <w:rsid w:val="00DE10E6"/>
    <w:rsid w:val="00DE2305"/>
    <w:rsid w:val="00DE2C4A"/>
    <w:rsid w:val="00DE31AD"/>
    <w:rsid w:val="00DE778D"/>
    <w:rsid w:val="00DF157E"/>
    <w:rsid w:val="00DF4AFC"/>
    <w:rsid w:val="00DF5AB9"/>
    <w:rsid w:val="00DF7247"/>
    <w:rsid w:val="00E007B5"/>
    <w:rsid w:val="00E01318"/>
    <w:rsid w:val="00E018E8"/>
    <w:rsid w:val="00E06442"/>
    <w:rsid w:val="00E065A4"/>
    <w:rsid w:val="00E12637"/>
    <w:rsid w:val="00E14066"/>
    <w:rsid w:val="00E1514F"/>
    <w:rsid w:val="00E21800"/>
    <w:rsid w:val="00E22795"/>
    <w:rsid w:val="00E227BE"/>
    <w:rsid w:val="00E234B9"/>
    <w:rsid w:val="00E237E2"/>
    <w:rsid w:val="00E2469E"/>
    <w:rsid w:val="00E25DE1"/>
    <w:rsid w:val="00E25E2B"/>
    <w:rsid w:val="00E2624E"/>
    <w:rsid w:val="00E308A5"/>
    <w:rsid w:val="00E31156"/>
    <w:rsid w:val="00E33503"/>
    <w:rsid w:val="00E435FC"/>
    <w:rsid w:val="00E4468F"/>
    <w:rsid w:val="00E44C12"/>
    <w:rsid w:val="00E45D17"/>
    <w:rsid w:val="00E50B50"/>
    <w:rsid w:val="00E51C72"/>
    <w:rsid w:val="00E52930"/>
    <w:rsid w:val="00E570C0"/>
    <w:rsid w:val="00E61147"/>
    <w:rsid w:val="00E629D2"/>
    <w:rsid w:val="00E62B8E"/>
    <w:rsid w:val="00E63C90"/>
    <w:rsid w:val="00E716F8"/>
    <w:rsid w:val="00E72C7D"/>
    <w:rsid w:val="00E734FE"/>
    <w:rsid w:val="00E73B3B"/>
    <w:rsid w:val="00E740BA"/>
    <w:rsid w:val="00E80E35"/>
    <w:rsid w:val="00E80E7A"/>
    <w:rsid w:val="00E80F82"/>
    <w:rsid w:val="00E812CA"/>
    <w:rsid w:val="00E81CA5"/>
    <w:rsid w:val="00E8415B"/>
    <w:rsid w:val="00E84332"/>
    <w:rsid w:val="00E8752B"/>
    <w:rsid w:val="00E90412"/>
    <w:rsid w:val="00E918DF"/>
    <w:rsid w:val="00EA30E9"/>
    <w:rsid w:val="00EA35A7"/>
    <w:rsid w:val="00EA41CD"/>
    <w:rsid w:val="00EA5738"/>
    <w:rsid w:val="00EA6838"/>
    <w:rsid w:val="00EB2944"/>
    <w:rsid w:val="00EB333E"/>
    <w:rsid w:val="00EB4192"/>
    <w:rsid w:val="00EB652A"/>
    <w:rsid w:val="00EC016F"/>
    <w:rsid w:val="00EC15F6"/>
    <w:rsid w:val="00EC3743"/>
    <w:rsid w:val="00EC45D4"/>
    <w:rsid w:val="00EC603B"/>
    <w:rsid w:val="00EC6DF3"/>
    <w:rsid w:val="00EC7139"/>
    <w:rsid w:val="00EC7647"/>
    <w:rsid w:val="00EC7BAF"/>
    <w:rsid w:val="00EC7ED3"/>
    <w:rsid w:val="00ED2738"/>
    <w:rsid w:val="00ED6B05"/>
    <w:rsid w:val="00ED6BF1"/>
    <w:rsid w:val="00EE3591"/>
    <w:rsid w:val="00EE4281"/>
    <w:rsid w:val="00EE50D7"/>
    <w:rsid w:val="00EE528F"/>
    <w:rsid w:val="00EE5E2B"/>
    <w:rsid w:val="00EE6318"/>
    <w:rsid w:val="00EE6C29"/>
    <w:rsid w:val="00EE72D9"/>
    <w:rsid w:val="00EF01D1"/>
    <w:rsid w:val="00EF1A65"/>
    <w:rsid w:val="00EF4121"/>
    <w:rsid w:val="00EF6BA5"/>
    <w:rsid w:val="00EF726C"/>
    <w:rsid w:val="00F00A4F"/>
    <w:rsid w:val="00F03E93"/>
    <w:rsid w:val="00F0434A"/>
    <w:rsid w:val="00F06CAB"/>
    <w:rsid w:val="00F0707E"/>
    <w:rsid w:val="00F0730F"/>
    <w:rsid w:val="00F079C2"/>
    <w:rsid w:val="00F10AC7"/>
    <w:rsid w:val="00F12245"/>
    <w:rsid w:val="00F12EB3"/>
    <w:rsid w:val="00F14145"/>
    <w:rsid w:val="00F16EFE"/>
    <w:rsid w:val="00F17471"/>
    <w:rsid w:val="00F20D54"/>
    <w:rsid w:val="00F218CD"/>
    <w:rsid w:val="00F22F42"/>
    <w:rsid w:val="00F24744"/>
    <w:rsid w:val="00F25486"/>
    <w:rsid w:val="00F26A04"/>
    <w:rsid w:val="00F26A78"/>
    <w:rsid w:val="00F26DB1"/>
    <w:rsid w:val="00F2789C"/>
    <w:rsid w:val="00F30D02"/>
    <w:rsid w:val="00F35BCB"/>
    <w:rsid w:val="00F360B7"/>
    <w:rsid w:val="00F366BA"/>
    <w:rsid w:val="00F475A8"/>
    <w:rsid w:val="00F52082"/>
    <w:rsid w:val="00F52168"/>
    <w:rsid w:val="00F53A57"/>
    <w:rsid w:val="00F53C85"/>
    <w:rsid w:val="00F55D2E"/>
    <w:rsid w:val="00F641CA"/>
    <w:rsid w:val="00F64A20"/>
    <w:rsid w:val="00F652FA"/>
    <w:rsid w:val="00F674BB"/>
    <w:rsid w:val="00F6782E"/>
    <w:rsid w:val="00F67BFA"/>
    <w:rsid w:val="00F723E5"/>
    <w:rsid w:val="00F72C49"/>
    <w:rsid w:val="00F72F9E"/>
    <w:rsid w:val="00F730E5"/>
    <w:rsid w:val="00F738CC"/>
    <w:rsid w:val="00F749D3"/>
    <w:rsid w:val="00F76049"/>
    <w:rsid w:val="00F806BE"/>
    <w:rsid w:val="00F80C0C"/>
    <w:rsid w:val="00F83DD5"/>
    <w:rsid w:val="00F85878"/>
    <w:rsid w:val="00F86509"/>
    <w:rsid w:val="00F86A89"/>
    <w:rsid w:val="00F90C1F"/>
    <w:rsid w:val="00F93BB6"/>
    <w:rsid w:val="00F93CC3"/>
    <w:rsid w:val="00F95A39"/>
    <w:rsid w:val="00FA009D"/>
    <w:rsid w:val="00FA42D4"/>
    <w:rsid w:val="00FA4CAC"/>
    <w:rsid w:val="00FA7C44"/>
    <w:rsid w:val="00FB0BB1"/>
    <w:rsid w:val="00FB2BEC"/>
    <w:rsid w:val="00FB4F5C"/>
    <w:rsid w:val="00FB7CA1"/>
    <w:rsid w:val="00FC2D18"/>
    <w:rsid w:val="00FC4D1E"/>
    <w:rsid w:val="00FC7068"/>
    <w:rsid w:val="00FD152A"/>
    <w:rsid w:val="00FD2B68"/>
    <w:rsid w:val="00FD39BB"/>
    <w:rsid w:val="00FD3A3B"/>
    <w:rsid w:val="00FD3F77"/>
    <w:rsid w:val="00FD5E9F"/>
    <w:rsid w:val="00FE0E37"/>
    <w:rsid w:val="00FE1C26"/>
    <w:rsid w:val="00FE2F13"/>
    <w:rsid w:val="00FE3426"/>
    <w:rsid w:val="00FE3844"/>
    <w:rsid w:val="00FE650B"/>
    <w:rsid w:val="00FE6A41"/>
    <w:rsid w:val="00FE736C"/>
    <w:rsid w:val="00FF0220"/>
    <w:rsid w:val="00FF113E"/>
    <w:rsid w:val="00FF2093"/>
    <w:rsid w:val="00FF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04"/>
  </w:style>
  <w:style w:type="paragraph" w:styleId="Heading1">
    <w:name w:val="heading 1"/>
    <w:basedOn w:val="Normal"/>
    <w:next w:val="Normal"/>
    <w:link w:val="Heading1Char"/>
    <w:uiPriority w:val="9"/>
    <w:qFormat/>
    <w:rsid w:val="00CF1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F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04"/>
  </w:style>
  <w:style w:type="paragraph" w:styleId="Heading1">
    <w:name w:val="heading 1"/>
    <w:basedOn w:val="Normal"/>
    <w:next w:val="Normal"/>
    <w:link w:val="Heading1Char"/>
    <w:uiPriority w:val="9"/>
    <w:qFormat/>
    <w:rsid w:val="00CF1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1F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1F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3</cp:revision>
  <dcterms:created xsi:type="dcterms:W3CDTF">2017-11-16T22:26:00Z</dcterms:created>
  <dcterms:modified xsi:type="dcterms:W3CDTF">2017-11-16T23:39:00Z</dcterms:modified>
</cp:coreProperties>
</file>