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3B6E"/>
          <w:sz w:val="40"/>
        </w:rPr>
        <w:t>Brian Kuzdas</w:t>
      </w:r>
    </w:p>
    <w:p>
      <w:pPr>
        <w:spacing w:before="40" w:after="40"/>
        <w:jc w:val="center"/>
      </w:pPr>
      <w:r>
        <w:rPr>
          <w:color w:val="505A6E"/>
          <w:sz w:val="20"/>
        </w:rPr>
        <w:t>Technology Executive  ·  Strategic IT Leader  ·  Digital Transformation &amp; Compliance Expert</w:t>
      </w:r>
    </w:p>
    <w:p>
      <w:pPr>
        <w:spacing w:before="40" w:after="240"/>
        <w:jc w:val="center"/>
      </w:pPr>
      <w:r>
        <w:rPr>
          <w:color w:val="646E82"/>
          <w:sz w:val="18"/>
        </w:rPr>
        <w:t>Madison, WI  |  brian.kuzdas@gmail.com  |  (608) 576-0655  |  linkedin.com/in/brian-kuzdas-a176b945</w:t>
      </w:r>
    </w:p>
    <w:p>
      <w:pPr>
        <w:spacing w:before="0" w:after="160"/>
        <w:pBdr>
          <w:bottom w:val="single" w:sz="12" w:space="1" w:color="0D3B6E"/>
        </w:pBdr>
      </w:pPr>
    </w:p>
    <w:p>
      <w:pPr>
        <w:spacing w:before="280" w:after="80"/>
        <w:pBdr>
          <w:bottom w:val="single" w:sz="8" w:space="2" w:color="5A1A00"/>
        </w:pBdr>
      </w:pPr>
      <w:r>
        <w:rPr>
          <w:b/>
          <w:color w:val="5A1A00"/>
          <w:sz w:val="18"/>
        </w:rPr>
        <w:t>PROFESSIONAL SUMMARY</w:t>
      </w:r>
    </w:p>
    <w:p>
      <w:pPr>
        <w:spacing w:after="80"/>
      </w:pPr>
      <w:r>
        <w:rPr>
          <w:sz w:val="20"/>
        </w:rPr>
        <w:t>Technology executive and IT strategist with 25+ years of progressive leadership experience driving digital transformation, infrastructure modernization, and technology governance across heavily regulated industries. Demonstrated success building IT departments from the ground up, leading enterprise-scale transformations, and aligning technology investment with business strategy, risk appetite, and regulatory requirements. Combines deep technical credibility with executive communication skills and business ownership experience. Track record of delivering results without overspending — managing full OPEX and CAPEX accountability across biopharmaceutical, financial services, and enterprise environments.</w:t>
      </w:r>
    </w:p>
    <w:p>
      <w:pPr>
        <w:spacing w:before="280" w:after="80"/>
        <w:pBdr>
          <w:bottom w:val="single" w:sz="8" w:space="2" w:color="5A1A00"/>
        </w:pBdr>
      </w:pPr>
      <w:r>
        <w:rPr>
          <w:b/>
          <w:color w:val="5A1A00"/>
          <w:sz w:val="18"/>
        </w:rPr>
        <w:t>EXECUTIVE LEADERSHIP COMPETENCIES</w:t>
      </w:r>
    </w:p>
    <w:p>
      <w:pPr>
        <w:spacing w:before="60" w:after="20"/>
      </w:pPr>
      <w:r>
        <w:rPr>
          <w:b/>
          <w:color w:val="5A1A00"/>
          <w:sz w:val="20"/>
        </w:rPr>
        <w:t xml:space="preserve">IT Organization Building:  </w:t>
      </w:r>
      <w:r>
        <w:rPr>
          <w:sz w:val="20"/>
        </w:rPr>
        <w:t>Built IT departments from zero — hiring, process design, culture, and operational maturity</w:t>
      </w:r>
    </w:p>
    <w:p>
      <w:pPr>
        <w:spacing w:before="60" w:after="20"/>
      </w:pPr>
      <w:r>
        <w:rPr>
          <w:b/>
          <w:color w:val="5A1A00"/>
          <w:sz w:val="20"/>
        </w:rPr>
        <w:t xml:space="preserve">Technology Strategy &amp; Roadmapping:  </w:t>
      </w:r>
      <w:r>
        <w:rPr>
          <w:sz w:val="20"/>
        </w:rPr>
        <w:t>Multi-year technology investment planning aligned to business objectives, risk profile, and regulatory requirements</w:t>
      </w:r>
    </w:p>
    <w:p>
      <w:pPr>
        <w:spacing w:before="60" w:after="20"/>
      </w:pPr>
      <w:r>
        <w:rPr>
          <w:b/>
          <w:color w:val="5A1A00"/>
          <w:sz w:val="20"/>
        </w:rPr>
        <w:t xml:space="preserve">Financial Accountability:  </w:t>
      </w:r>
      <w:r>
        <w:rPr>
          <w:sz w:val="20"/>
        </w:rPr>
        <w:t>Full OPEX and CAPEX budget ownership; consistent on-budget delivery of complex programs</w:t>
      </w:r>
    </w:p>
    <w:p>
      <w:pPr>
        <w:spacing w:before="60" w:after="20"/>
      </w:pPr>
      <w:r>
        <w:rPr>
          <w:b/>
          <w:color w:val="5A1A00"/>
          <w:sz w:val="20"/>
        </w:rPr>
        <w:t xml:space="preserve">Regulatory Leadership:  </w:t>
      </w:r>
      <w:r>
        <w:rPr>
          <w:sz w:val="20"/>
        </w:rPr>
        <w:t>Led FDA inspections, cGMP CSV programs, and regulatory compliance strategy for manufacturing IT environments</w:t>
      </w:r>
    </w:p>
    <w:p>
      <w:pPr>
        <w:spacing w:before="60" w:after="20"/>
      </w:pPr>
      <w:r>
        <w:rPr>
          <w:b/>
          <w:color w:val="5A1A00"/>
          <w:sz w:val="20"/>
        </w:rPr>
        <w:t xml:space="preserve">Executive Communication:  </w:t>
      </w:r>
      <w:r>
        <w:rPr>
          <w:sz w:val="20"/>
        </w:rPr>
        <w:t>Effective at board-level communication, regulatory presentations, and cross-functional alignment</w:t>
      </w:r>
    </w:p>
    <w:p>
      <w:pPr>
        <w:spacing w:before="60" w:after="20"/>
      </w:pPr>
      <w:r>
        <w:rPr>
          <w:b/>
          <w:color w:val="5A1A00"/>
          <w:sz w:val="20"/>
        </w:rPr>
        <w:t xml:space="preserve">Risk &amp; Security Governance:  </w:t>
      </w:r>
      <w:r>
        <w:rPr>
          <w:sz w:val="20"/>
        </w:rPr>
        <w:t>Enterprise security strategy, Zero Trust architecture, and IT risk management in regulated environments</w:t>
      </w:r>
    </w:p>
    <w:p>
      <w:pPr>
        <w:spacing w:before="280" w:after="80"/>
        <w:pBdr>
          <w:bottom w:val="single" w:sz="8" w:space="2" w:color="5A1A00"/>
        </w:pBdr>
      </w:pPr>
      <w:r>
        <w:rPr>
          <w:b/>
          <w:color w:val="5A1A00"/>
          <w:sz w:val="18"/>
        </w:rPr>
        <w:t>PROFESSIONAL EXPERIENCE</w:t>
      </w:r>
    </w:p>
    <w:p>
      <w:pPr>
        <w:spacing w:before="160" w:after="20"/>
      </w:pPr>
      <w:r>
        <w:rPr>
          <w:b/>
          <w:color w:val="0D3B6E"/>
          <w:sz w:val="22"/>
        </w:rPr>
        <w:t>Bankers Bank</w:t>
      </w:r>
      <w:r>
        <w:rPr>
          <w:color w:val="646E82"/>
          <w:sz w:val="20"/>
        </w:rPr>
        <w:t xml:space="preserve">  —  Madison, WI</w:t>
      </w:r>
      <w:r>
        <w:rPr>
          <w:b w:val="0"/>
          <w:color w:val="A0781E"/>
          <w:sz w:val="18"/>
        </w:rPr>
        <w:t xml:space="preserve">   Dec 2025 – Present</w:t>
      </w:r>
    </w:p>
    <w:p>
      <w:pPr>
        <w:spacing w:before="0" w:after="80"/>
      </w:pPr>
      <w:r>
        <w:rPr>
          <w:i/>
          <w:color w:val="3C465A"/>
          <w:sz w:val="20"/>
        </w:rPr>
        <w:t>Senior Network Operations &amp; Security Specialist</w:t>
      </w:r>
    </w:p>
    <w:p>
      <w:pPr>
        <w:pStyle w:val="ListBullet"/>
        <w:spacing w:before="20" w:after="20"/>
        <w:ind w:left="360"/>
      </w:pPr>
      <w:r>
        <w:rPr>
          <w:b w:val="0"/>
          <w:sz w:val="20"/>
        </w:rPr>
        <w:t>Setting strategic direction for on-premise AI adoption while managing regulatory alignment in a Federal Reserve member bank</w:t>
      </w:r>
    </w:p>
    <w:p>
      <w:pPr>
        <w:pStyle w:val="ListBullet"/>
        <w:spacing w:before="20" w:after="20"/>
        <w:ind w:left="360"/>
      </w:pPr>
      <w:r>
        <w:rPr>
          <w:b w:val="0"/>
          <w:sz w:val="20"/>
        </w:rPr>
        <w:t>Leading enterprise security modernization — Zero Trust implementation, UEM strategy, and identity governance overhaul</w:t>
      </w:r>
    </w:p>
    <w:p>
      <w:pPr>
        <w:pStyle w:val="ListBullet"/>
        <w:spacing w:before="20" w:after="20"/>
        <w:ind w:left="360"/>
      </w:pPr>
      <w:r>
        <w:rPr>
          <w:b w:val="0"/>
          <w:sz w:val="20"/>
        </w:rPr>
        <w:t>Advising senior leadership on technology investment priorities and security risk posture</w:t>
      </w:r>
    </w:p>
    <w:p>
      <w:pPr>
        <w:spacing w:before="160" w:after="20"/>
      </w:pPr>
      <w:r>
        <w:rPr>
          <w:b/>
          <w:color w:val="0D3B6E"/>
          <w:sz w:val="22"/>
        </w:rPr>
        <w:t>FUJIFILM Cellular Dynamics, Inc.</w:t>
      </w:r>
      <w:r>
        <w:rPr>
          <w:color w:val="646E82"/>
          <w:sz w:val="20"/>
        </w:rPr>
        <w:t xml:space="preserve">  —  Madison, WI</w:t>
      </w:r>
      <w:r>
        <w:rPr>
          <w:b w:val="0"/>
          <w:color w:val="A0781E"/>
          <w:sz w:val="18"/>
        </w:rPr>
        <w:t xml:space="preserve">   May 2022 – Dec 2025</w:t>
      </w:r>
    </w:p>
    <w:p>
      <w:pPr>
        <w:spacing w:before="0" w:after="80"/>
      </w:pPr>
      <w:r>
        <w:rPr>
          <w:i/>
          <w:color w:val="3C465A"/>
          <w:sz w:val="20"/>
        </w:rPr>
        <w:t>Manager, Technology Operations &amp; IT (de facto Head of IT)</w:t>
      </w:r>
    </w:p>
    <w:p>
      <w:pPr>
        <w:pStyle w:val="ListBullet"/>
        <w:spacing w:before="20" w:after="20"/>
        <w:ind w:left="360"/>
      </w:pPr>
      <w:r>
        <w:rPr>
          <w:b w:val="0"/>
          <w:sz w:val="20"/>
        </w:rPr>
        <w:t>Functioned as Head of IT for global biopharmaceutical company manufacturing FDA-regulated iPSC cell therapy products</w:t>
      </w:r>
    </w:p>
    <w:p>
      <w:pPr>
        <w:pStyle w:val="ListBullet"/>
        <w:spacing w:before="20" w:after="20"/>
        <w:ind w:left="360"/>
      </w:pPr>
      <w:r>
        <w:rPr>
          <w:b w:val="0"/>
          <w:sz w:val="20"/>
        </w:rPr>
        <w:t>Built the IT organization from the ground up — architecture, operations, compliance, team, and culture</w:t>
      </w:r>
    </w:p>
    <w:p>
      <w:pPr>
        <w:pStyle w:val="ListBullet"/>
        <w:spacing w:before="20" w:after="20"/>
        <w:ind w:left="360"/>
      </w:pPr>
      <w:r>
        <w:rPr>
          <w:b w:val="0"/>
          <w:sz w:val="20"/>
        </w:rPr>
        <w:t>Owned and delivered OPEX and CAPEX technology budget with full financial accountability; zero overruns</w:t>
      </w:r>
    </w:p>
    <w:p>
      <w:pPr>
        <w:pStyle w:val="ListBullet"/>
        <w:spacing w:before="20" w:after="20"/>
        <w:ind w:left="360"/>
      </w:pPr>
      <w:r>
        <w:rPr>
          <w:b w:val="0"/>
          <w:sz w:val="20"/>
        </w:rPr>
        <w:t>Set and executed multi-year IT strategy encompassing infrastructure, cloud transformation, and security hardening</w:t>
      </w:r>
    </w:p>
    <w:p>
      <w:pPr>
        <w:pStyle w:val="ListBullet"/>
        <w:spacing w:before="20" w:after="20"/>
        <w:ind w:left="360"/>
      </w:pPr>
      <w:r>
        <w:rPr>
          <w:b w:val="0"/>
          <w:sz w:val="20"/>
        </w:rPr>
        <w:t>Led Computer System Validation (CSV) program — all IT systems validated to FDA 21 CFR Part 11 and cGMP requirements</w:t>
      </w:r>
    </w:p>
    <w:p>
      <w:pPr>
        <w:pStyle w:val="ListBullet"/>
        <w:spacing w:before="20" w:after="20"/>
        <w:ind w:left="360"/>
      </w:pPr>
      <w:r>
        <w:rPr>
          <w:b w:val="0"/>
          <w:sz w:val="20"/>
        </w:rPr>
        <w:t xml:space="preserve">Maintained </w:t>
      </w:r>
      <w:r>
        <w:rPr>
          <w:b/>
          <w:sz w:val="20"/>
        </w:rPr>
        <w:t>99.99% uptime</w:t>
      </w:r>
      <w:r>
        <w:rPr>
          <w:b w:val="0"/>
          <w:sz w:val="20"/>
        </w:rPr>
        <w:t xml:space="preserve"> across all manufacturing-critical systems; zero production impact from IT failures</w:t>
      </w:r>
    </w:p>
    <w:p>
      <w:pPr>
        <w:pStyle w:val="ListBullet"/>
        <w:spacing w:before="20" w:after="20"/>
        <w:ind w:left="360"/>
      </w:pPr>
      <w:r>
        <w:rPr>
          <w:b w:val="0"/>
          <w:sz w:val="20"/>
        </w:rPr>
        <w:t>Served as IT executive liaison to FDA inspection teams; achieved zero IT-related audit findings across all inspections</w:t>
      </w:r>
    </w:p>
    <w:p>
      <w:pPr>
        <w:pStyle w:val="ListBullet"/>
        <w:spacing w:before="20" w:after="20"/>
        <w:ind w:left="360"/>
      </w:pPr>
      <w:r>
        <w:rPr>
          <w:b w:val="0"/>
          <w:sz w:val="20"/>
        </w:rPr>
        <w:t xml:space="preserve">Directed HL7 FHIR R4 integration platform initiative — </w:t>
      </w:r>
      <w:r>
        <w:rPr>
          <w:b/>
          <w:sz w:val="20"/>
        </w:rPr>
        <w:t>30% improvement</w:t>
      </w:r>
      <w:r>
        <w:rPr>
          <w:b w:val="0"/>
          <w:sz w:val="20"/>
        </w:rPr>
        <w:t xml:space="preserve"> in laboratory data retrieval</w:t>
      </w:r>
    </w:p>
    <w:p>
      <w:pPr>
        <w:pStyle w:val="ListBullet"/>
        <w:spacing w:before="20" w:after="20"/>
        <w:ind w:left="360"/>
      </w:pPr>
      <w:r>
        <w:rPr>
          <w:b w:val="0"/>
          <w:sz w:val="20"/>
        </w:rPr>
        <w:t>Negotiated and managed technology vendor relationships, contracts, and service agreements</w:t>
      </w:r>
    </w:p>
    <w:p>
      <w:pPr>
        <w:spacing w:before="160" w:after="20"/>
      </w:pPr>
      <w:r>
        <w:rPr>
          <w:b/>
          <w:color w:val="0D3B6E"/>
          <w:sz w:val="22"/>
        </w:rPr>
        <w:t>FUJIFILM Holdings America Corporation</w:t>
      </w:r>
      <w:r>
        <w:rPr>
          <w:color w:val="646E82"/>
          <w:sz w:val="20"/>
        </w:rPr>
        <w:t xml:space="preserve">  —  Valhalla, NY</w:t>
      </w:r>
      <w:r>
        <w:rPr>
          <w:b w:val="0"/>
          <w:color w:val="A0781E"/>
          <w:sz w:val="18"/>
        </w:rPr>
        <w:t xml:space="preserve">   Aug 2017 – May 2022</w:t>
      </w:r>
    </w:p>
    <w:p>
      <w:pPr>
        <w:spacing w:before="0" w:after="80"/>
      </w:pPr>
      <w:r>
        <w:rPr>
          <w:i/>
          <w:color w:val="3C465A"/>
          <w:sz w:val="20"/>
        </w:rPr>
        <w:t>IT System Administrator II — Enterprise Infrastructure</w:t>
      </w:r>
    </w:p>
    <w:p>
      <w:pPr>
        <w:pStyle w:val="ListBullet"/>
        <w:spacing w:before="20" w:after="20"/>
        <w:ind w:left="360"/>
      </w:pPr>
      <w:r>
        <w:rPr>
          <w:b w:val="0"/>
          <w:sz w:val="20"/>
        </w:rPr>
        <w:t xml:space="preserve">Led strategic migration of </w:t>
      </w:r>
      <w:r>
        <w:rPr>
          <w:b/>
          <w:sz w:val="20"/>
        </w:rPr>
        <w:t>60,000+ users</w:t>
      </w:r>
      <w:r>
        <w:rPr>
          <w:b w:val="0"/>
          <w:sz w:val="20"/>
        </w:rPr>
        <w:t xml:space="preserve"> from Google Workspace to Microsoft 365 — enterprise-wide transformation program</w:t>
      </w:r>
    </w:p>
    <w:p>
      <w:pPr>
        <w:pStyle w:val="ListBullet"/>
        <w:spacing w:before="20" w:after="20"/>
        <w:ind w:left="360"/>
      </w:pPr>
      <w:r>
        <w:rPr>
          <w:b w:val="0"/>
          <w:sz w:val="20"/>
        </w:rPr>
        <w:t>Managed data center infrastructure strategy, capacity planning, and disaster recovery framework</w:t>
      </w:r>
    </w:p>
    <w:p>
      <w:pPr>
        <w:pStyle w:val="ListBullet"/>
        <w:spacing w:before="20" w:after="20"/>
        <w:ind w:left="360"/>
      </w:pPr>
      <w:r>
        <w:rPr>
          <w:b w:val="0"/>
          <w:sz w:val="20"/>
        </w:rPr>
        <w:t>Contributed to enterprise IT governance and standardization initiatives across global business units</w:t>
      </w:r>
    </w:p>
    <w:p>
      <w:pPr>
        <w:spacing w:before="160" w:after="20"/>
      </w:pPr>
      <w:r>
        <w:rPr>
          <w:b/>
          <w:color w:val="0D3B6E"/>
          <w:sz w:val="22"/>
        </w:rPr>
        <w:t>Madison Computer Works, Inc.</w:t>
      </w:r>
      <w:r>
        <w:rPr>
          <w:color w:val="646E82"/>
          <w:sz w:val="20"/>
        </w:rPr>
        <w:t xml:space="preserve">  —  Madison, WI</w:t>
      </w:r>
      <w:r>
        <w:rPr>
          <w:b w:val="0"/>
          <w:color w:val="A0781E"/>
          <w:sz w:val="18"/>
        </w:rPr>
        <w:t xml:space="preserve">   Mar 2016 – Aug 2017</w:t>
      </w:r>
    </w:p>
    <w:p>
      <w:pPr>
        <w:spacing w:before="0" w:after="80"/>
      </w:pPr>
      <w:r>
        <w:rPr>
          <w:i/>
          <w:color w:val="3C465A"/>
          <w:sz w:val="20"/>
        </w:rPr>
        <w:t>Senior Network Infrastructure Specialist / vCIO</w:t>
      </w:r>
    </w:p>
    <w:p>
      <w:pPr>
        <w:pStyle w:val="ListBullet"/>
        <w:spacing w:before="20" w:after="20"/>
        <w:ind w:left="360"/>
      </w:pPr>
      <w:r>
        <w:rPr>
          <w:b w:val="0"/>
          <w:sz w:val="20"/>
        </w:rPr>
        <w:t>Served as virtual CIO for SMB clients — technology strategy, investment planning, and transformation advisory</w:t>
      </w:r>
    </w:p>
    <w:p>
      <w:pPr>
        <w:pStyle w:val="ListBullet"/>
        <w:spacing w:before="20" w:after="20"/>
        <w:ind w:left="360"/>
      </w:pPr>
      <w:r>
        <w:rPr>
          <w:b w:val="0"/>
          <w:sz w:val="20"/>
        </w:rPr>
        <w:t>Delivered infrastructure projects across multiple client verticals simultaneously</w:t>
      </w:r>
    </w:p>
    <w:p>
      <w:pPr>
        <w:spacing w:before="160" w:after="20"/>
      </w:pPr>
      <w:r>
        <w:rPr>
          <w:b/>
          <w:color w:val="0D3B6E"/>
          <w:sz w:val="22"/>
        </w:rPr>
        <w:t>TBC Consulting LLC</w:t>
      </w:r>
      <w:r>
        <w:rPr>
          <w:color w:val="646E82"/>
          <w:sz w:val="20"/>
        </w:rPr>
        <w:t xml:space="preserve">  —  Mount Horeb, WI</w:t>
      </w:r>
      <w:r>
        <w:rPr>
          <w:b w:val="0"/>
          <w:color w:val="A0781E"/>
          <w:sz w:val="18"/>
        </w:rPr>
        <w:t xml:space="preserve">   Apr 2012 – Mar 2016</w:t>
      </w:r>
    </w:p>
    <w:p>
      <w:pPr>
        <w:spacing w:before="0" w:after="80"/>
      </w:pPr>
      <w:r>
        <w:rPr>
          <w:i/>
          <w:color w:val="3C465A"/>
          <w:sz w:val="20"/>
        </w:rPr>
        <w:t>CEO &amp; Founder — Managed Service Provider</w:t>
      </w:r>
    </w:p>
    <w:p>
      <w:pPr>
        <w:pStyle w:val="ListBullet"/>
        <w:spacing w:before="20" w:after="20"/>
        <w:ind w:left="360"/>
      </w:pPr>
      <w:r>
        <w:rPr>
          <w:b w:val="0"/>
          <w:sz w:val="20"/>
        </w:rPr>
        <w:t>Founded and scaled technology services business to 25+ client organizations; full P&amp;L responsibility</w:t>
      </w:r>
    </w:p>
    <w:p>
      <w:pPr>
        <w:pStyle w:val="ListBullet"/>
        <w:spacing w:before="20" w:after="20"/>
        <w:ind w:left="360"/>
      </w:pPr>
      <w:r>
        <w:rPr>
          <w:b w:val="0"/>
          <w:sz w:val="20"/>
        </w:rPr>
        <w:t>Set business strategy, managed investor/client relationships, directed all operations and service delivery</w:t>
      </w:r>
    </w:p>
    <w:p>
      <w:pPr>
        <w:pStyle w:val="ListBullet"/>
        <w:spacing w:before="20" w:after="20"/>
        <w:ind w:left="360"/>
      </w:pPr>
      <w:r>
        <w:rPr>
          <w:b w:val="0"/>
          <w:sz w:val="20"/>
        </w:rPr>
        <w:t>Served as Chief Technology Officer and virtual CIO for client organizations across multiple industries</w:t>
      </w:r>
    </w:p>
    <w:p>
      <w:pPr>
        <w:spacing w:before="280" w:after="80"/>
        <w:pBdr>
          <w:bottom w:val="single" w:sz="8" w:space="2" w:color="5A1A00"/>
        </w:pBdr>
      </w:pPr>
      <w:r>
        <w:rPr>
          <w:b/>
          <w:color w:val="5A1A00"/>
          <w:sz w:val="18"/>
        </w:rPr>
        <w:t>CORE TECHNICAL SKILLS</w:t>
      </w:r>
    </w:p>
    <w:p>
      <w:pPr>
        <w:spacing w:before="80" w:after="20"/>
      </w:pPr>
      <w:r>
        <w:rPr>
          <w:b/>
          <w:color w:val="0D3B6E"/>
          <w:sz w:val="20"/>
        </w:rPr>
        <w:t xml:space="preserve">Leadership &amp; Strategy:  </w:t>
      </w:r>
      <w:r>
        <w:rPr>
          <w:color w:val="3C465A"/>
          <w:sz w:val="20"/>
        </w:rPr>
        <w:t>Technology Strategy · Digital Transformation · IT Organization Design · Board-Level Communication · Vendor Strategy · IT Governance</w:t>
      </w:r>
    </w:p>
    <w:p>
      <w:pPr>
        <w:spacing w:before="80" w:after="20"/>
      </w:pPr>
      <w:r>
        <w:rPr>
          <w:b/>
          <w:color w:val="0D3B6E"/>
          <w:sz w:val="20"/>
        </w:rPr>
        <w:t xml:space="preserve">Regulatory &amp; Compliance:  </w:t>
      </w:r>
      <w:r>
        <w:rPr>
          <w:color w:val="3C465A"/>
          <w:sz w:val="20"/>
        </w:rPr>
        <w:t>FDA 21 CFR Part 11 · cGMP Computer System Validation · IT Risk Management · Security Governance · ITIL 4</w:t>
      </w:r>
    </w:p>
    <w:p>
      <w:pPr>
        <w:spacing w:before="80" w:after="20"/>
      </w:pPr>
      <w:r>
        <w:rPr>
          <w:b/>
          <w:color w:val="0D3B6E"/>
          <w:sz w:val="20"/>
        </w:rPr>
        <w:t xml:space="preserve">Technology Domains:  </w:t>
      </w:r>
      <w:r>
        <w:rPr>
          <w:color w:val="3C465A"/>
          <w:sz w:val="20"/>
        </w:rPr>
        <w:t>Hybrid Cloud (Azure / AWS) · Enterprise Security · Zero Trust Architecture · Data Center · AI Infrastructure</w:t>
      </w:r>
    </w:p>
    <w:p>
      <w:pPr>
        <w:spacing w:before="80" w:after="20"/>
      </w:pPr>
      <w:r>
        <w:rPr>
          <w:b/>
          <w:color w:val="0D3B6E"/>
          <w:sz w:val="20"/>
        </w:rPr>
        <w:t xml:space="preserve">Business Acumen:  </w:t>
      </w:r>
      <w:r>
        <w:rPr>
          <w:color w:val="3C465A"/>
          <w:sz w:val="20"/>
        </w:rPr>
        <w:t>OPEX / CAPEX Ownership · Contract Negotiation · Entrepreneurship · P&amp;L Responsibility · Stakeholder Management</w:t>
      </w:r>
    </w:p>
    <w:p>
      <w:pPr>
        <w:spacing w:before="280" w:after="80"/>
        <w:pBdr>
          <w:bottom w:val="single" w:sz="8" w:space="2" w:color="5A1A00"/>
        </w:pBdr>
      </w:pPr>
      <w:r>
        <w:rPr>
          <w:b/>
          <w:color w:val="5A1A00"/>
          <w:sz w:val="18"/>
        </w:rPr>
        <w:t>CERTIFICATIONS &amp; CREDENTIALS</w:t>
      </w:r>
    </w:p>
    <w:p>
      <w:pPr>
        <w:spacing w:before="40" w:after="40"/>
      </w:pPr>
      <w:r>
        <w:rPr>
          <w:sz w:val="20"/>
        </w:rPr>
        <w:t>AWS Certified Cloud Practitioner</w:t>
      </w:r>
      <w:r>
        <w:rPr>
          <w:b/>
          <w:color w:val="A0781E"/>
          <w:sz w:val="18"/>
        </w:rPr>
        <w:t xml:space="preserve">   2025–2028</w:t>
      </w:r>
    </w:p>
    <w:p>
      <w:pPr>
        <w:spacing w:before="40" w:after="40"/>
      </w:pPr>
      <w:r>
        <w:rPr>
          <w:sz w:val="20"/>
        </w:rPr>
        <w:t>Microsoft Azure Fundamentals (AZ-900)</w:t>
      </w:r>
      <w:r>
        <w:rPr>
          <w:b/>
          <w:color w:val="A0781E"/>
          <w:sz w:val="18"/>
        </w:rPr>
        <w:t xml:space="preserve">   2026</w:t>
      </w:r>
    </w:p>
    <w:p>
      <w:pPr>
        <w:spacing w:before="40" w:after="40"/>
      </w:pPr>
      <w:r>
        <w:rPr>
          <w:sz w:val="20"/>
        </w:rPr>
        <w:t>CISSP Domain 1: Security &amp; Risk Management</w:t>
      </w:r>
      <w:r>
        <w:rPr>
          <w:b/>
          <w:color w:val="A0781E"/>
          <w:sz w:val="18"/>
        </w:rPr>
        <w:t xml:space="preserve">   Active</w:t>
      </w:r>
    </w:p>
    <w:p>
      <w:pPr>
        <w:spacing w:before="40" w:after="40"/>
      </w:pPr>
      <w:r>
        <w:rPr>
          <w:sz w:val="20"/>
        </w:rPr>
        <w:t>ITIL 4: Foundations &amp; Framework</w:t>
      </w:r>
      <w:r>
        <w:rPr>
          <w:b/>
          <w:color w:val="A0781E"/>
          <w:sz w:val="18"/>
        </w:rPr>
        <w:t xml:space="preserve">   Active</w:t>
      </w:r>
    </w:p>
    <w:p>
      <w:pPr>
        <w:spacing w:before="40" w:after="40"/>
      </w:pPr>
      <w:r>
        <w:rPr>
          <w:sz w:val="20"/>
        </w:rPr>
        <w:t>Google Project Management Specialization</w:t>
      </w:r>
      <w:r>
        <w:rPr>
          <w:b/>
          <w:color w:val="A0781E"/>
          <w:sz w:val="18"/>
        </w:rPr>
        <w:t xml:space="preserve">   Active</w:t>
      </w:r>
    </w:p>
    <w:p>
      <w:pPr>
        <w:spacing w:before="40" w:after="40"/>
      </w:pPr>
      <w:r>
        <w:rPr>
          <w:sz w:val="20"/>
        </w:rPr>
        <w:t>Computer System Validation Boot Camp — ProPharma</w:t>
      </w:r>
      <w:r>
        <w:rPr>
          <w:b/>
          <w:color w:val="A0781E"/>
          <w:sz w:val="18"/>
        </w:rPr>
        <w:t xml:space="preserve">   2023</w:t>
      </w:r>
    </w:p>
    <w:p>
      <w:pPr>
        <w:spacing w:before="40" w:after="40"/>
      </w:pPr>
      <w:r>
        <w:rPr>
          <w:sz w:val="20"/>
        </w:rPr>
        <w:t>Siemens PLC / TIA Portal (Industrial Automation)</w:t>
      </w:r>
      <w:r>
        <w:rPr>
          <w:b/>
          <w:color w:val="A0781E"/>
          <w:sz w:val="18"/>
        </w:rPr>
        <w:t xml:space="preserve">   Active</w:t>
      </w:r>
    </w:p>
    <w:p>
      <w:pPr>
        <w:spacing w:before="280" w:after="80"/>
        <w:pBdr>
          <w:bottom w:val="single" w:sz="8" w:space="2" w:color="5A1A00"/>
        </w:pBdr>
      </w:pPr>
      <w:r>
        <w:rPr>
          <w:b/>
          <w:color w:val="5A1A00"/>
          <w:sz w:val="18"/>
        </w:rPr>
        <w:t>EDUCATION</w:t>
      </w:r>
    </w:p>
    <w:p>
      <w:pPr>
        <w:spacing w:before="40" w:after="40"/>
      </w:pPr>
      <w:r>
        <w:rPr>
          <w:sz w:val="20"/>
        </w:rPr>
        <w:t>BA — Political Science &amp; History, University of Wisconsin – Platteville</w:t>
      </w:r>
    </w:p>
    <w:p>
      <w:pPr>
        <w:spacing w:before="40" w:after="40"/>
      </w:pPr>
      <w:r>
        <w:rPr>
          <w:sz w:val="20"/>
        </w:rPr>
        <w:t>Computer Systems Networking, Madison Area Technical College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