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70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0"/>
              <w:left w:type="dxa" w:w="1440"/>
              <w:bottom w:type="dxa" w:w="400"/>
              <w:right w:type="dxa" w:w="144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MORWAY</w:t>
            </w:r>
          </w:p>
          <w:p>
            <w:r>
              <w:rPr>
                <w:rFonts w:ascii="Arial" w:cs="Arial" w:eastAsia="Arial" w:hAnsi="Arial"/>
                <w:color w:val="AABBCC"/>
                <w:sz w:val="28"/>
                <w:szCs w:val="28"/>
              </w:rPr>
              <w:t xml:space="preserve">Invoice Automation for Accounting Firms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8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46B" w:val="clear"/>
          </w:tcPr>
          <w:p>
            <w:r>
              <w:t xml:space="preserve"/>
            </w:r>
          </w:p>
        </w:tc>
      </w:tr>
    </w:tbl>
    <w:p>
      <w:pPr>
        <w:spacing w:before="600"/>
      </w:pPr>
    </w:p>
    <w:tbl>
      <w:tblPr>
        <w:tblW w:type="dxa" w:w="8000"/>
        <w:tblInd w:type="dxa" w:w="195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B88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How Morway Transforms Your Invoices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Into FEC Accounting Entries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DD"/>
                <w:sz w:val="22"/>
                <w:szCs w:val="22"/>
              </w:rPr>
              <w:t xml:space="preserve">Functional Guide  |  March 2026</w:t>
            </w:r>
          </w:p>
        </w:tc>
      </w:tr>
    </w:tbl>
    <w:p>
      <w:pPr>
        <w:spacing w:before="600"/>
      </w:pPr>
    </w:p>
    <w:p>
      <w:pPr>
        <w:ind w:left="14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</w:t>
      </w:r>
    </w:p>
    <w:p>
      <w:pPr>
        <w:spacing w:after="80"/>
        <w:ind w:left="1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Fiteco</w:t>
      </w:r>
    </w:p>
    <w:p>
      <w:pPr>
        <w:ind w:left="14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Best Accounting Firm 2026 — Le Point x Statista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2A7B88"/>
          <w:sz w:val="18"/>
          <w:szCs w:val="18"/>
        </w:rPr>
        <w:t xml:space="preserve">Morway  |</w:t>
      </w:r>
      <w:r>
        <w:rPr>
          <w:rFonts w:ascii="Arial" w:cs="Arial" w:eastAsia="Arial" w:hAnsi="Arial"/>
          <w:color w:val="2A7B88"/>
          <w:sz w:val="18"/>
          <w:szCs w:val="18"/>
        </w:rPr>
        <w:t xml:space="preserve">walt@morway.app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The Problem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72%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of supplier invoices arrive by email — as PDF, scan, or photo</w:t>
            </w:r>
          </w:p>
        </w:tc>
      </w:tr>
      <w:tr>
        <w:trPr>
          <w:trHeight w:val="12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15 min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average manual entry time per invoice in a firm</w:t>
            </w:r>
          </w:p>
        </w:tc>
      </w:tr>
      <w:tr>
        <w:trPr>
          <w:trHeight w:val="12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3–5%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error rate on manual entry (amounts, accounts, VAT)</w:t>
            </w:r>
          </w:p>
        </w:tc>
      </w:tr>
      <w:tr>
        <w:trPr>
          <w:trHeight w:val="12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FEC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The accounting entries file must be perfect for tax authorities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A7B88"/>
          <w:sz w:val="26"/>
          <w:szCs w:val="26"/>
        </w:rPr>
        <w:t xml:space="preserve">Morway eliminates these manual steps.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The E-Invoicing Reform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46B" w:val="clear"/>
            <w:tcMar>
              <w:top w:type="dxa" w:w="250"/>
              <w:left w:type="dxa" w:w="300"/>
              <w:bottom w:type="dxa" w:w="25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September 1,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Deadline for large and mid-size companies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290,000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large and mid-size companies must issue structured electronic invoices</w:t>
            </w:r>
          </w:p>
        </w:tc>
      </w:tr>
      <w:tr>
        <w:trPr>
          <w:trHeight w:val="12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3.7M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SMEs and micro-enterprises join the scheme in September 2027</w:t>
            </w:r>
          </w:p>
        </w:tc>
      </w:tr>
      <w:tr>
        <w:trPr>
          <w:trHeight w:val="12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36"/>
                <w:szCs w:val="36"/>
              </w:rPr>
              <w:t xml:space="preserve">2.5 Bn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invoices per year shift from PDF/paper to machine-readable formats</w:t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 Mandatory Formats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Factur-X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Hybrid PDF with embedded XML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UBL 2.1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Pure XML — European standard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CII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Cross Industry Invoice — pure XML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46B"/>
                <w:sz w:val="22"/>
                <w:szCs w:val="22"/>
              </w:rPr>
              <w:t xml:space="preserve">Non-compliance: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€15 per invoice, up to €15,000 per year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Article 289 bis of the CGI — effective September 2026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B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Morway prepares you for this transition.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How It Works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Reception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client sends their invoice by email to a dedicated address (@morway.app)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AI Extraction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Our AI reads the PDF or photo and extracts: supplier, amounts, VAT, line items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Validation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Automatic duplicate detection, amount verification, and business rule checks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Review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team approves or corrects from the Morway dashboard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 Export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click: compliant FEC file, ready to import into your accounting software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  </w:t>
      </w: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Email Reception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26"/>
        <w:gridCol w:w="380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Fiteco Client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supplier@example.fr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A7B88"/>
                <w:sz w:val="36"/>
                <w:szCs w:val="36"/>
              </w:rPr>
              <w:t xml:space="preserve">→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Morway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A7B88"/>
                <w:sz w:val="18"/>
                <w:szCs w:val="18"/>
              </w:rPr>
              <w:t xml:space="preserve">fiteco-client@morway.app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PDF, Scan, Photo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invoice formats accepted — native PDF, scan, phone photo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Forwarded Emails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client can forward an email with an invoice attachment — we preserve the original sender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Multiple Attachments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email with 5 invoices? All 5 are processed separately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CAF50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Acknowledgment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 client receives an automatic confirmation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  </w:t>
      </w: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Intelligent Extraction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p>
      <w:pP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Our AI (Claude, by Anthropic) analyses each invoice and extracts: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Supplier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SAS Durand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Invoice No.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FAC-2026-0847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Currency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Amount (excl. tax)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1,450.00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VAT (20%)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(incl. tax)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1,740.00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Line Items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line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(not credit note)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Multilingual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French, German, Dutch, English — the AI understands all European languages.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  </w:t>
      </w: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Validation &amp; Dashboard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8546B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Duplicates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Same number + same amount + same supplier = duplicate alert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8546B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Amounts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Verifies excl. tax + VAT = incl. tax — flags discrepancies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8546B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Rules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Customizable per client (thresholds, accounts, suppliers)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E8546B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Credit Notes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Automatic detection via UBL + invoice type</w:t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Dashboard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Each team member sees only their own clients.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44"/>
                <w:szCs w:val="44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Pending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Exceptions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7B88"/>
                <w:sz w:val="44"/>
                <w:szCs w:val="44"/>
              </w:rPr>
              <w:t xml:space="preserve">847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Processed this month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 each invoice: Approve or Reject in one click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Approved invoices are ready for export. Rejected ones go back to the client with a reason.</w:t>
            </w:r>
          </w:p>
        </w:tc>
      </w:tr>
    </w:tbl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  </w:t>
      </w: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FEC Export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p>
      <w:pP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One click generates a FEC file compliant with Article A.47 A-1 of the LPF.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Morway FEC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 mandatory columns (JournalCode, EcritureNum, CompteNum...)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Separator: pipe (|) — official format compliant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Encoding: UTF-8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Dates in YYYYMMDD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Amounts with decimal comma (French standard)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Double entry: debit charge + debit deductible VAT + credit supplier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PCG accounts: class 6 (charges), 401 (suppliers), 445660 (deductible VAT)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Filename: {SIREN}FEC{YYYYMMDD}.txt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Cegid / Quadratus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— Standard FEC import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Sage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— Standard FEC import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ACD Suite Expert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— Standard FEC import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Pennylane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— Direct API (in development)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Ready for the e-invoicing reform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FEC export + Factur-X and UBL 2.1 support for September 2026 compliance.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FEC is the universal format.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Regardless of your accounting software, Morway’s FEC file imports directly.</w:t>
            </w:r>
          </w:p>
        </w:tc>
      </w:tr>
    </w:tbl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3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Next Step</w:t>
      </w:r>
    </w:p>
    <w:p>
      <w:pPr>
        <w:pBdr>
          <w:bottom w:val="single" w:color="E8546B" w:sz="6" w:space="1"/>
        </w:pBdr>
        <w:spacing w:after="200"/>
      </w:pPr>
      <w:r>
        <w:rPr>
          <w:sz w:val="8"/>
          <w:szCs w:val="8"/>
        </w:rPr>
        <w:t xml:space="preserve">  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 minutes for a live demo: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 show you the full flow with a real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 generate a FEC file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 tell me if this meets a real need at Fiteco</w:t>
      </w:r>
    </w:p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You Gain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Time: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more manual entry — invoices become entries in seconds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Precision: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 doesn’t make typos, auto-detects duplicates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Compliance: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FEC generated per official tax authority specs, e-invoicing ready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B88"/>
                <w:sz w:val="22"/>
                <w:szCs w:val="22"/>
              </w:rPr>
              <w:t xml:space="preserve">Simplicity: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Your clients send an email, you click Export — that’s it</w:t>
            </w:r>
          </w:p>
        </w:tc>
      </w:tr>
    </w:tbl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B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walt@morway.app  |  morway.app</w:t>
            </w:r>
          </w:p>
        </w:tc>
      </w:tr>
    </w:tbl>
    <w:sectPr>
      <w:headerReference w:type="default" r:id="rId21"/>
      <w:footerReference w:type="default" r:id="rId2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Morway  |  walt@morway.app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tabs>
        <w:tab w:val="right" w:pos="9026"/>
      </w:tabs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MORWAY</w:t>
    </w:r>
    <w:r>
      <w:rPr>
        <w:rFonts w:ascii="Arial" w:cs="Arial" w:eastAsia="Arial" w:hAnsi="Arial"/>
        <w:color w:val="666666"/>
        <w:sz w:val="18"/>
        <w:szCs w:val="18"/>
      </w:rPr>
      <w:t xml:space="preserve">	morway.app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2A4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2026-03-16T22:27:05.158Z</dcterms:created>
  <dcterms:modified xsi:type="dcterms:W3CDTF">2026-03-16T22:27:05.159Z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