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280"/>
        <w:jc w:val="center"/>
      </w:pPr>
      <w:r>
        <w:drawing>
          <wp:inline xmlns:a="http://schemas.openxmlformats.org/drawingml/2006/main" xmlns:pic="http://schemas.openxmlformats.org/drawingml/2006/picture">
            <wp:extent cx="1858554" cy="278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s-login-bran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8554" cy="278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hAnsi="Arial"/>
          <w:b/>
          <w:i w:val="0"/>
          <w:color w:val="B38A3D"/>
          <w:sz w:val="18"/>
        </w:rPr>
        <w:t>ARQUITECTURA MAESTRA · NIVEL CONSULTORÍA SENIOR</w:t>
      </w:r>
    </w:p>
    <w:p>
      <w:pPr>
        <w:spacing w:after="160"/>
        <w:jc w:val="center"/>
      </w:pPr>
      <w:r>
        <w:rPr>
          <w:rFonts w:ascii="Georgia" w:hAnsi="Georgia"/>
          <w:b/>
          <w:i w:val="0"/>
          <w:color w:val="0D2944"/>
          <w:sz w:val="56"/>
        </w:rPr>
        <w:t>BLOS Enterprise System</w:t>
      </w:r>
    </w:p>
    <w:p>
      <w:pPr>
        <w:spacing w:after="360"/>
        <w:jc w:val="center"/>
      </w:pPr>
      <w:r>
        <w:rPr>
          <w:rFonts w:ascii="Georgia" w:hAnsi="Georgia"/>
          <w:b/>
          <w:i w:val="0"/>
          <w:color w:val="12375E"/>
          <w:sz w:val="34"/>
        </w:rPr>
        <w:t>Arquitectura organizacional y operativa BES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cantSplit/>
        </w:trPr>
        <w:tc>
          <w:tcPr>
            <w:tcW w:type="dxa" w:w="2500"/>
            <w:shd w:fill="F4EAD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Pilar</w:t>
            </w:r>
          </w:p>
        </w:tc>
        <w:tc>
          <w:tcPr>
            <w:tcW w:type="dxa" w:w="6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00 · Gobierno BES</w:t>
            </w:r>
          </w:p>
        </w:tc>
      </w:tr>
      <w:tr>
        <w:trPr>
          <w:cantSplit/>
        </w:trPr>
        <w:tc>
          <w:tcPr>
            <w:tcW w:type="dxa" w:w="2500"/>
            <w:shd w:fill="F4EAD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Código</w:t>
            </w:r>
          </w:p>
        </w:tc>
        <w:tc>
          <w:tcPr>
            <w:tcW w:type="dxa" w:w="6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BES-00-MAN-001-v2.0</w:t>
            </w:r>
          </w:p>
        </w:tc>
      </w:tr>
      <w:tr>
        <w:trPr>
          <w:cantSplit/>
        </w:trPr>
        <w:tc>
          <w:tcPr>
            <w:tcW w:type="dxa" w:w="2500"/>
            <w:shd w:fill="F4EAD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Versión</w:t>
            </w:r>
          </w:p>
        </w:tc>
        <w:tc>
          <w:tcPr>
            <w:tcW w:type="dxa" w:w="6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2.0 · Propuesta ejecutiva para aprobación</w:t>
            </w:r>
          </w:p>
        </w:tc>
      </w:tr>
      <w:tr>
        <w:trPr>
          <w:cantSplit/>
        </w:trPr>
        <w:tc>
          <w:tcPr>
            <w:tcW w:type="dxa" w:w="2500"/>
            <w:shd w:fill="F4EAD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Clasificación</w:t>
            </w:r>
          </w:p>
        </w:tc>
        <w:tc>
          <w:tcPr>
            <w:tcW w:type="dxa" w:w="6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Confidencial · Uso interno Best Linen</w:t>
            </w:r>
          </w:p>
        </w:tc>
      </w:tr>
      <w:tr>
        <w:trPr>
          <w:cantSplit/>
        </w:trPr>
        <w:tc>
          <w:tcPr>
            <w:tcW w:type="dxa" w:w="2500"/>
            <w:shd w:fill="F4EAD5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Fecha de emisión</w:t>
            </w:r>
          </w:p>
        </w:tc>
        <w:tc>
          <w:tcPr>
            <w:tcW w:type="dxa" w:w="6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11/08/2026</w:t>
            </w:r>
          </w:p>
        </w:tc>
      </w:tr>
    </w:tbl>
    <w:p>
      <w:pPr>
        <w:spacing w:before="400"/>
        <w:jc w:val="center"/>
        <w:pBdr>
          <w:top w:val="single" w:sz="12" w:space="5" w:color="B38A3D"/>
        </w:pBdr>
      </w:pPr>
      <w:r>
        <w:rPr>
          <w:rFonts w:ascii="Georgia" w:hAnsi="Georgia"/>
          <w:b/>
          <w:i/>
          <w:color w:val="0D2944"/>
          <w:sz w:val="22"/>
        </w:rPr>
        <w:t>No estamos documentando una empresa. Estamos diseñando la empresa que Best Linen quiere llegar a ser.</w:t>
      </w:r>
    </w:p>
    <w:p>
      <w:r>
        <w:br w:type="page"/>
      </w:r>
    </w:p>
    <w:p>
      <w:pPr>
        <w:pStyle w:val="Heading1"/>
      </w:pPr>
      <w:r>
        <w:t>2. Control de Versiones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150"/>
        <w:gridCol w:w="3020"/>
        <w:gridCol w:w="1450"/>
        <w:gridCol w:w="1470"/>
        <w:gridCol w:w="1370"/>
      </w:tblGrid>
      <w:tr>
        <w:trPr>
          <w:tblHeader w:val="true"/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Versión</w:t>
            </w:r>
          </w:p>
        </w:tc>
        <w:tc>
          <w:tcPr>
            <w:tcW w:type="dxa" w:w="11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Fecha</w:t>
            </w:r>
          </w:p>
        </w:tc>
        <w:tc>
          <w:tcPr>
            <w:tcW w:type="dxa" w:w="3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Cambio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Elaboró</w:t>
            </w:r>
          </w:p>
        </w:tc>
        <w:tc>
          <w:tcPr>
            <w:tcW w:type="dxa" w:w="14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Revisó</w:t>
            </w:r>
          </w:p>
        </w:tc>
        <w:tc>
          <w:tcPr>
            <w:tcW w:type="dxa" w:w="13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Aprobó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1.0</w:t>
            </w:r>
          </w:p>
        </w:tc>
        <w:tc>
          <w:tcPr>
            <w:tcW w:type="dxa" w:w="11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27/07/2026</w:t>
            </w:r>
          </w:p>
        </w:tc>
        <w:tc>
          <w:tcPr>
            <w:tcW w:type="dxa" w:w="3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Portal BES y estructura base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Arquitectura BES</w:t>
            </w:r>
          </w:p>
        </w:tc>
        <w:tc>
          <w:tcPr>
            <w:tcW w:type="dxa" w:w="14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Dueños de proceso</w:t>
            </w:r>
          </w:p>
        </w:tc>
        <w:tc>
          <w:tcPr>
            <w:tcW w:type="dxa" w:w="13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Pendiente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1.8</w:t>
            </w:r>
          </w:p>
        </w:tc>
        <w:tc>
          <w:tcPr>
            <w:tcW w:type="dxa" w:w="11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31/07/2026</w:t>
            </w:r>
          </w:p>
        </w:tc>
        <w:tc>
          <w:tcPr>
            <w:tcW w:type="dxa" w:w="3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Acceso, MFA, usuarios y gobierno documental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Arquitectura BES</w:t>
            </w:r>
          </w:p>
        </w:tc>
        <w:tc>
          <w:tcPr>
            <w:tcW w:type="dxa" w:w="14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Administración BES</w:t>
            </w:r>
          </w:p>
        </w:tc>
        <w:tc>
          <w:tcPr>
            <w:tcW w:type="dxa" w:w="13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Pendiente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2.0</w:t>
            </w:r>
          </w:p>
        </w:tc>
        <w:tc>
          <w:tcPr>
            <w:tcW w:type="dxa" w:w="11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11/08/2026</w:t>
            </w:r>
          </w:p>
        </w:tc>
        <w:tc>
          <w:tcPr>
            <w:tcW w:type="dxa" w:w="30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Expansión organizacional, operativa y arquitectura maestra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Arquitectura BES</w:t>
            </w:r>
          </w:p>
        </w:tc>
        <w:tc>
          <w:tcPr>
            <w:tcW w:type="dxa" w:w="14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Responsables de pilar</w:t>
            </w:r>
          </w:p>
        </w:tc>
        <w:tc>
          <w:tcPr>
            <w:tcW w:type="dxa" w:w="13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 General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5F2EC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ESTADO DE CONTROL</w:t>
            </w:r>
          </w:p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Documento propuesto para aprobación. No se considera liberado hasta completar la sección 10.</w:t>
            </w:r>
          </w:p>
        </w:tc>
      </w:tr>
    </w:tbl>
    <w:p>
      <w:pPr>
        <w:pStyle w:val="Heading1"/>
      </w:pPr>
      <w:r>
        <w:t>3. Objetivo</w:t>
      </w:r>
    </w:p>
    <w:p>
      <w:pPr>
        <w:spacing w:after="120" w:line="264" w:lineRule="auto"/>
      </w:pPr>
      <w:r>
        <w:rPr>
          <w:rFonts w:ascii="Arial" w:hAnsi="Arial"/>
          <w:b w:val="0"/>
          <w:i w:val="0"/>
          <w:color w:val="122439"/>
          <w:sz w:val="21"/>
        </w:rPr>
        <w:t>Definir la arquitectura integral del Sistema BES para gobernar de forma coherente la estrategia, estructura organizacional, procesos, información, tecnología, talento, calidad y mejora continua de Best Linen.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Establecer una única estructura de 14 pilares y 22 subcarpetas estándar.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Asignar responsables y reglas de decisión mediante gobierno RACI.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Conectar la operación física con Odoo Enterprise, BL RACKS, SIGO-BL, BLOS y Business Intelligence.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Convertir documentos, datos y evidencias en mecanismos de control, aprendizaje y escalabilidad.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Proveer a Dirección General un modelo verificable para priorizar, aprobar y supervisar la transformación.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5F2EC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PRINCIPIO RECTOR</w:t>
            </w:r>
          </w:p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Los procesos construyen resultados; las personas construyen el futuro.</w:t>
            </w:r>
          </w:p>
        </w:tc>
      </w:tr>
    </w:tbl>
    <w:p>
      <w:pPr>
        <w:pStyle w:val="Heading1"/>
      </w:pPr>
      <w:r>
        <w:t>4. Alcance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4620"/>
        <w:gridCol w:w="2990"/>
      </w:tblGrid>
      <w:tr>
        <w:trPr>
          <w:tblHeader w:val="true"/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Dimensión</w:t>
            </w:r>
          </w:p>
        </w:tc>
        <w:tc>
          <w:tcPr>
            <w:tcW w:type="dxa" w:w="4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Incluye</w:t>
            </w:r>
          </w:p>
        </w:tc>
        <w:tc>
          <w:tcPr>
            <w:tcW w:type="dxa" w:w="29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Organización</w:t>
            </w:r>
          </w:p>
        </w:tc>
        <w:tc>
          <w:tcPr>
            <w:tcW w:type="dxa" w:w="4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Dirección, gerencias, jefaturas, coordinaciones, supervisiones y puestos operativos</w:t>
            </w:r>
          </w:p>
        </w:tc>
        <w:tc>
          <w:tcPr>
            <w:tcW w:type="dxa" w:w="29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Línea de mando y accountability explícitos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Procesos</w:t>
            </w:r>
          </w:p>
        </w:tc>
        <w:tc>
          <w:tcPr>
            <w:tcW w:type="dxa" w:w="4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Cadena de suministro, operación, finanzas, calidad, talento, mantenimiento y seguridad</w:t>
            </w:r>
          </w:p>
        </w:tc>
        <w:tc>
          <w:tcPr>
            <w:tcW w:type="dxa" w:w="29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Flujos punta a punta gobernados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Sistemas</w:t>
            </w:r>
          </w:p>
        </w:tc>
        <w:tc>
          <w:tcPr>
            <w:tcW w:type="dxa" w:w="4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Odoo, BL RACKS, SIGO-BL, BLOS, BI y repositorio documental</w:t>
            </w:r>
          </w:p>
        </w:tc>
        <w:tc>
          <w:tcPr>
            <w:tcW w:type="dxa" w:w="29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Fuente maestra, validación y consumo definidos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Documentos</w:t>
            </w:r>
          </w:p>
        </w:tc>
        <w:tc>
          <w:tcPr>
            <w:tcW w:type="dxa" w:w="4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Manual, SOP, PRO, FOR, WI, POL, STD, CAP, PPT, A3, KPI, DASH, AUD, RIE, DIAG, EVID y PLA</w:t>
            </w:r>
          </w:p>
        </w:tc>
        <w:tc>
          <w:tcPr>
            <w:tcW w:type="dxa" w:w="29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Trazabilidad, vigencia y evidencia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Mejora</w:t>
            </w:r>
          </w:p>
        </w:tc>
        <w:tc>
          <w:tcPr>
            <w:tcW w:type="dxa" w:w="4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5S, Kaizen, A3, Ishikawa, 5 Porqués, acciones correctivas y preventivas</w:t>
            </w:r>
          </w:p>
        </w:tc>
        <w:tc>
          <w:tcPr>
            <w:tcW w:type="dxa" w:w="29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Cierre de causas y estandarización</w:t>
            </w:r>
          </w:p>
        </w:tc>
      </w:tr>
    </w:tbl>
    <w:p>
      <w:pPr>
        <w:pStyle w:val="Heading1"/>
      </w:pPr>
      <w:r>
        <w:t>5. Glosario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770"/>
        <w:gridCol w:w="3090"/>
      </w:tblGrid>
      <w:tr>
        <w:trPr>
          <w:tblHeader w:val="true"/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Término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Definición operativa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Uso en BES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BLOS Enterprise System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Arquitectura empresarial integral de Best Linen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BLOS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Metodología que integra estrategia, procesos, personas, tecnología y mejora continua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Marco de diseño y transformación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SIGO-BL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Sistema Integral de Gestión Operativa Best Linen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Gobierno de la operación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Odoo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Sistema transaccional empresarial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Maestros, transacciones, inventario y finanzas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 RACKS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Sistema de ubicación y trazabilidad física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Racks, movimientos, inbound y evidencia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RACI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Responsible, Accountable, Consulted, Informed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Asignación de ejecución y autoridad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PT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Producto terminado o unidad técnica definida por el proceso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Recepción, inventario y conversiones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Evidencia</w:t>
            </w:r>
          </w:p>
        </w:tc>
        <w:tc>
          <w:tcPr>
            <w:tcW w:type="dxa" w:w="47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Registro verificable de una actividad, control o resultado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Auditoría, liberación y mejora</w:t>
            </w:r>
          </w:p>
        </w:tc>
      </w:tr>
    </w:tbl>
    <w:p>
      <w:r>
        <w:br w:type="page"/>
      </w:r>
    </w:p>
    <w:p>
      <w:pPr>
        <w:pStyle w:val="Heading1"/>
      </w:pPr>
      <w:r>
        <w:t>6. Cuerpo Técnico / Desarrollo</w:t>
      </w:r>
    </w:p>
    <w:p>
      <w:pPr>
        <w:pStyle w:val="Heading2"/>
      </w:pPr>
      <w:r>
        <w:t>6.1 Filosofía y sistema de gobierno</w:t>
      </w:r>
    </w:p>
    <w:p>
      <w:pPr>
        <w:spacing w:after="120" w:line="264" w:lineRule="auto"/>
      </w:pPr>
      <w:r>
        <w:rPr>
          <w:rFonts w:ascii="Arial" w:hAnsi="Arial"/>
          <w:b w:val="0"/>
          <w:i w:val="0"/>
          <w:color w:val="122439"/>
          <w:sz w:val="21"/>
        </w:rPr>
        <w:t>BES funciona como un sistema de gobierno, no como un archivo documental. Cada pilar define decisiones, procesos, sistemas, documentos, indicadores, responsables, controles y evidencia. Cada entregable debe tener dueño, estado, versión, fecha, aprobación y relación con la arquitectura maestra.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5F2EC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FILOSOFÍA UNIVERSIDAD BEST LINEN</w:t>
            </w:r>
          </w:p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Crecer personas para transformar procesos. Cuando una persona aprende, mejora un proceso. Cuando toda la organización aprende, evoluciona la empresa.</w:t>
            </w:r>
          </w:p>
        </w:tc>
      </w:tr>
    </w:tbl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Dirección General aprueba arquitectura, prioridades, inversión y criterios de liberación.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El propietario de cada pilar asegura vigencia, desempeño, riesgo y mejora.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Control Documental mantiene codificación, versiones, permisos, historial y evidencia.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Calidad y Auditoría valida adherencia y eficacia; no sustituye al dueño del proceso.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Universidad Best Linen convierte los estándares aprobados en competencias verificadas.</w:t>
      </w:r>
    </w:p>
    <w:p>
      <w:pPr>
        <w:pStyle w:val="Heading2"/>
      </w:pPr>
      <w:r>
        <w:t>6.2 Arquitectura de 14 pilares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00"/>
        <w:gridCol w:w="2800"/>
        <w:gridCol w:w="5760"/>
      </w:tblGrid>
      <w:tr>
        <w:trPr>
          <w:tblHeader w:val="true"/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Pilar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Nombre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Mandato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00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Gobierno BES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Gobierno, arquitectura, estrategia y reglas maestras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01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BLOS Methodology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Estrategia, procesos, personas, tecnología y mejora continua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02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SIGO-BL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Sistema Integral de Gestión Operativa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03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Operación Integral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Inbound, inventarios, outbound y control operativo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04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Odoo Enterprise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Maestro transaccional y financiero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05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 RACKS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Trazabilidad física de racks y almacenes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06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Integración Odoo ↔ BL RACKS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Conciliación y gobierno de datos compartidos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07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Business Intelligence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KPIs, tableros y decisiones basadas en datos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08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Calidad y Auditoría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Conformidad, evidencia, hallazgos y seguimiento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09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Mejora Continua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Kaizen, A3, acciones correctivas y estandarización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10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Universidad Best Linen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Competencias, formación y certificación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11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Gestión del Talento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Estructura, roles, desempeño y desarrollo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12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Control Documental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Codificación, versiones, liberación y vigencia</w:t>
            </w:r>
          </w:p>
        </w:tc>
      </w:tr>
      <w:tr>
        <w:trPr>
          <w:cantSplit/>
        </w:trPr>
        <w:tc>
          <w:tcPr>
            <w:tcW w:type="dxa" w:w="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13</w:t>
            </w:r>
          </w:p>
        </w:tc>
        <w:tc>
          <w:tcPr>
            <w:tcW w:type="dxa" w:w="2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 General</w:t>
            </w:r>
          </w:p>
        </w:tc>
        <w:tc>
          <w:tcPr>
            <w:tcW w:type="dxa" w:w="57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Portafolio, recursos, rentabilidad y gobierno ejecutivo</w:t>
            </w:r>
          </w:p>
        </w:tc>
      </w:tr>
    </w:tbl>
    <w:p>
      <w:pPr>
        <w:pStyle w:val="Heading2"/>
      </w:pPr>
      <w:r>
        <w:t>6.3 Estructura estándar de 22 subcarpetas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Subcarpetas 00–10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Subcarpetas 11–21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00. Gobierno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11. KPI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01. Manuales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12. Dashboard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02. SOP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13. Auditorías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03. PRO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14. Riesgos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04. FOR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15. Mejora Continua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05. WI (Work Instructions)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16. Diagramas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06. POL (Políticas)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17. Formatos Especiales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07. STD (Estándares)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18. Evidencias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08. CAP (Capacitación)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19. Plantillas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09. PPT (Presentaciones)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20. Historial de Versiones</w:t>
            </w:r>
          </w:p>
        </w:tc>
      </w:tr>
      <w:tr>
        <w:trPr>
          <w:cantSplit/>
        </w:trPr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10. A3</w:t>
            </w:r>
          </w:p>
        </w:tc>
        <w:tc>
          <w:tcPr>
            <w:tcW w:type="dxa" w:w="46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21. README</w:t>
            </w:r>
          </w:p>
        </w:tc>
      </w:tr>
    </w:tbl>
    <w:p>
      <w:pPr>
        <w:spacing w:after="120" w:line="264" w:lineRule="auto"/>
      </w:pPr>
      <w:r>
        <w:rPr>
          <w:rFonts w:ascii="Arial" w:hAnsi="Arial"/>
          <w:b w:val="0"/>
          <w:i w:val="0"/>
          <w:color w:val="122439"/>
          <w:sz w:val="21"/>
        </w:rPr>
        <w:t>Cada pilar incluirá un Mapa del Pilar con propósito, interacciones, procesos gobernados, documentos generados, sistemas, KPIs y relación con Mejora Continua.</w:t>
      </w:r>
    </w:p>
    <w:p>
      <w:r>
        <w:br w:type="page"/>
      </w:r>
    </w:p>
    <w:p>
      <w:pPr>
        <w:pStyle w:val="Heading2"/>
      </w:pPr>
      <w:r>
        <w:t>6.4 Jerarquía organizacional y línea de mando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4270"/>
        <w:gridCol w:w="3090"/>
      </w:tblGrid>
      <w:tr>
        <w:trPr>
          <w:tblHeader w:val="true"/>
          <w:cantSplit/>
        </w:trPr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Nivel</w:t>
            </w:r>
          </w:p>
        </w:tc>
        <w:tc>
          <w:tcPr>
            <w:tcW w:type="dxa" w:w="42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Responsabilidad principal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Decisiones</w:t>
            </w:r>
          </w:p>
        </w:tc>
      </w:tr>
      <w:tr>
        <w:trPr>
          <w:cantSplit/>
        </w:trPr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 General / Gerencia Senior</w:t>
            </w:r>
          </w:p>
        </w:tc>
        <w:tc>
          <w:tcPr>
            <w:tcW w:type="dxa" w:w="42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Estrategia, rentabilidad, gobierno corporativo y recursos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Aprobar arquitectura, prioridades, límites y desempeño</w:t>
            </w:r>
          </w:p>
        </w:tc>
      </w:tr>
      <w:tr>
        <w:trPr>
          <w:cantSplit/>
        </w:trPr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Gerencias de Área</w:t>
            </w:r>
          </w:p>
        </w:tc>
        <w:tc>
          <w:tcPr>
            <w:tcW w:type="dxa" w:w="42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Operaciones, Administración y Finanzas, Cadena de Suministro, Capital Humano y TI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Traducir estrategia en capacidad, metas y controles</w:t>
            </w:r>
          </w:p>
        </w:tc>
      </w:tr>
      <w:tr>
        <w:trPr>
          <w:cantSplit/>
        </w:trPr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Jefaturas y Coordinaciones</w:t>
            </w:r>
          </w:p>
        </w:tc>
        <w:tc>
          <w:tcPr>
            <w:tcW w:type="dxa" w:w="42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Planeación táctica y ejecución de procesos clave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Secuenciar, asignar, resolver y escalar</w:t>
            </w:r>
          </w:p>
        </w:tc>
      </w:tr>
      <w:tr>
        <w:trPr>
          <w:cantSplit/>
        </w:trPr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Supervisiones</w:t>
            </w:r>
          </w:p>
        </w:tc>
        <w:tc>
          <w:tcPr>
            <w:tcW w:type="dxa" w:w="42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Control directo en piso, almacenes y logística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Asegurar estándar, seguridad, calidad y evidencia</w:t>
            </w:r>
          </w:p>
        </w:tc>
      </w:tr>
      <w:tr>
        <w:trPr>
          <w:cantSplit/>
        </w:trPr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Especialistas y Operación</w:t>
            </w:r>
          </w:p>
        </w:tc>
        <w:tc>
          <w:tcPr>
            <w:tcW w:type="dxa" w:w="427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Ejecución técnica, análisis, auditoría y movimiento físico</w:t>
            </w:r>
          </w:p>
        </w:tc>
        <w:tc>
          <w:tcPr>
            <w:tcW w:type="dxa" w:w="309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Ejecutar conforme a SOP/WI y registrar resultado</w:t>
            </w:r>
          </w:p>
        </w:tc>
      </w:tr>
    </w:tbl>
    <w:p>
      <w:pPr>
        <w:pStyle w:val="Heading2"/>
      </w:pPr>
      <w:r>
        <w:t>6.5 Expansión de puestos operativos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50"/>
        <w:gridCol w:w="6810"/>
      </w:tblGrid>
      <w:tr>
        <w:trPr>
          <w:tblHeader w:val="true"/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Puesto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Actividades específicas y resultado esperado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Mesa de Control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Monitorear prioridades, excepciones y conciliaciones Odoo/BL RACKS; liberar alertas; custodiar bitácoras y evidencias.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Analista Inbound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Planear citas; validar OC, ETA y documentación; controlar descarga, recepción, ubicación y cierre de incidencias.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Analista Outbound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Secuenciar pedidos; validar surtido, empaque, documentación, carga y cumplimiento de ventanas de salida.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Coordinador de Operaciones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Orquestar capacidad, recursos, prioridades, turnos, riesgos y escalamiento; asegurar cumplimiento diario y cierre.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Montacarguista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Ejecutar movimientos seguros y trazables; inspeccionar equipo; confirmar rack, ubicación, producto y evidencia en sistema.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Auxiliar de Operaciones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Apoyar recibo, acomodo, surtido, empaque, conteos, 5S y evidencias bajo estándares y prioridades autorizadas.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Analista de Inventarios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Administrar conteos, conciliaciones, ajustes autorizados, causas de diferencia, exactitud y trazabilidad.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Auditor de Operaciones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Evaluar adherencia a SOP/WI, eficacia de controles, evidencia, hallazgos, acciones y cierre verificable.</w:t>
            </w:r>
          </w:p>
        </w:tc>
      </w:tr>
      <w:tr>
        <w:trPr>
          <w:cantSplit/>
        </w:trPr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Auditor de Calidad</w:t>
            </w:r>
          </w:p>
        </w:tc>
        <w:tc>
          <w:tcPr>
            <w:tcW w:type="dxa" w:w="68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Validar criterios de aceptación, no conformidades, causa raíz, liberaciones, CAPA y estandarización.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5F2EC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CRITERIO DE HABILITACIÓN</w:t>
            </w:r>
          </w:p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Ningún puesto queda habilitado sólo por nombramiento: requiere perfil autorizado, capacitación, evaluación, acceso por rol y evidencia de competencia.</w:t>
            </w:r>
          </w:p>
        </w:tc>
      </w:tr>
    </w:tbl>
    <w:p>
      <w:r>
        <w:br w:type="page"/>
      </w:r>
    </w:p>
    <w:p>
      <w:pPr>
        <w:pStyle w:val="Heading2"/>
      </w:pPr>
      <w:r>
        <w:t>6.6 Mapa de áreas y procesos transversales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540"/>
        <w:gridCol w:w="2620"/>
      </w:tblGrid>
      <w:tr>
        <w:trPr>
          <w:tblHeader w:val="true"/>
          <w:cantSplit/>
        </w:trPr>
        <w:tc>
          <w:tcPr>
            <w:tcW w:type="dxa" w:w="2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Macroárea</w:t>
            </w:r>
          </w:p>
        </w:tc>
        <w:tc>
          <w:tcPr>
            <w:tcW w:type="dxa" w:w="45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Procesos integrados</w:t>
            </w:r>
          </w:p>
        </w:tc>
        <w:tc>
          <w:tcPr>
            <w:tcW w:type="dxa" w:w="2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Resultado gobernado</w:t>
            </w:r>
          </w:p>
        </w:tc>
      </w:tr>
      <w:tr>
        <w:trPr>
          <w:cantSplit/>
        </w:trPr>
        <w:tc>
          <w:tcPr>
            <w:tcW w:type="dxa" w:w="2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Cadena de Suministro y Operaciones</w:t>
            </w:r>
          </w:p>
        </w:tc>
        <w:tc>
          <w:tcPr>
            <w:tcW w:type="dxa" w:w="45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Compras · Importación · Insumos · Fabricación · Logística · Almacén · Inventarios · Facturación · Ventas · Atención al Cliente</w:t>
            </w:r>
          </w:p>
        </w:tc>
        <w:tc>
          <w:tcPr>
            <w:tcW w:type="dxa" w:w="2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Flujo punta a punta, servicio, costo y cumplimiento</w:t>
            </w:r>
          </w:p>
        </w:tc>
      </w:tr>
      <w:tr>
        <w:trPr>
          <w:cantSplit/>
        </w:trPr>
        <w:tc>
          <w:tcPr>
            <w:tcW w:type="dxa" w:w="2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Administración y Finanzas</w:t>
            </w:r>
          </w:p>
        </w:tc>
        <w:tc>
          <w:tcPr>
            <w:tcW w:type="dxa" w:w="45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Control de Gastos · Cuentas por Cobrar · Cuentas por Pagar</w:t>
            </w:r>
          </w:p>
        </w:tc>
        <w:tc>
          <w:tcPr>
            <w:tcW w:type="dxa" w:w="2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Liquidez, rentabilidad, control y cierre confiable</w:t>
            </w:r>
          </w:p>
        </w:tc>
      </w:tr>
      <w:tr>
        <w:trPr>
          <w:cantSplit/>
        </w:trPr>
        <w:tc>
          <w:tcPr>
            <w:tcW w:type="dxa" w:w="2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Calidad y Mejora Continua</w:t>
            </w:r>
          </w:p>
        </w:tc>
        <w:tc>
          <w:tcPr>
            <w:tcW w:type="dxa" w:w="45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Calidad · 5S · Kaizen · Ishikawa · 5 Porqués · A3</w:t>
            </w:r>
          </w:p>
        </w:tc>
        <w:tc>
          <w:tcPr>
            <w:tcW w:type="dxa" w:w="2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Prevención, causa raíz, aprendizaje y estandarización</w:t>
            </w:r>
          </w:p>
        </w:tc>
      </w:tr>
      <w:tr>
        <w:trPr>
          <w:cantSplit/>
        </w:trPr>
        <w:tc>
          <w:tcPr>
            <w:tcW w:type="dxa" w:w="2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Soporte y Capital Humano</w:t>
            </w:r>
          </w:p>
        </w:tc>
        <w:tc>
          <w:tcPr>
            <w:tcW w:type="dxa" w:w="45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Recursos Humanos · Mantenimiento · Seguridad Patrimonial</w:t>
            </w:r>
          </w:p>
        </w:tc>
        <w:tc>
          <w:tcPr>
            <w:tcW w:type="dxa" w:w="2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Capacidad, continuidad, seguridad y disciplina operativa</w:t>
            </w:r>
          </w:p>
        </w:tc>
      </w:tr>
      <w:tr>
        <w:trPr>
          <w:cantSplit/>
        </w:trPr>
        <w:tc>
          <w:tcPr>
            <w:tcW w:type="dxa" w:w="2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Ingeniería de Procesos</w:t>
            </w:r>
          </w:p>
        </w:tc>
        <w:tc>
          <w:tcPr>
            <w:tcW w:type="dxa" w:w="45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Conversión técnica a PT · BPMN · SIPOC · Organigramas · KPIs</w:t>
            </w:r>
          </w:p>
        </w:tc>
        <w:tc>
          <w:tcPr>
            <w:tcW w:type="dxa" w:w="26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Diseño, medición y escalabilidad de procesos</w:t>
            </w:r>
          </w:p>
        </w:tc>
      </w:tr>
    </w:tbl>
    <w:p>
      <w:pPr>
        <w:pStyle w:val="Heading2"/>
      </w:pPr>
      <w:r>
        <w:t>6.7 Mapa Maestro de Información Odoo ↔ BL RACKS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600"/>
        <w:gridCol w:w="1550"/>
        <w:gridCol w:w="2110"/>
        <w:gridCol w:w="2600"/>
      </w:tblGrid>
      <w:tr>
        <w:trPr>
          <w:tblHeader w:val="true"/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Dato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Maestro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Valida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Consume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Control mínimo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Orden de Compra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Odoo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Compras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Compras, Logística, Finanzas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OC autorizada y vigente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ETA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 RACKS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Logística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Compras, Operaciones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ETA validada y comunicada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Alta de Rack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 RACKS + Odoo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Operaciones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Almacén, Inventarios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Identidad única y ubicación inicial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Movimiento de Rack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 RACKS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Operaciones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Odoo (conciliación)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Origen, destino, usuario y sello de tiempo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Recepción PT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 RACKS Inbound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Inventarios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Operaciones, Dirección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Cantidad, lote, condición y evidencia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Inventario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Odoo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Inventarios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Dirección, Finanzas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Existencia conciliada y diferencias explicadas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Trazabilidad de Rack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BL RACKS</w:t>
            </w:r>
          </w:p>
        </w:tc>
        <w:tc>
          <w:tcPr>
            <w:tcW w:type="dxa" w:w="1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Operaciones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Dirección, Calidad</w:t>
            </w:r>
          </w:p>
        </w:tc>
        <w:tc>
          <w:tcPr>
            <w:tcW w:type="dxa" w:w="2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Historia completa conciliada con Odoo</w:t>
            </w:r>
          </w:p>
        </w:tc>
      </w:tr>
    </w:tbl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La fuente maestra crea y mantiene el dato; el validador confirma integridad y oportunidad.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Los consumidores no corrigen silenciosamente el maestro: registran incidencia, contienen riesgo y escalan.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Toda conciliación debe dejar sello de tiempo, usuario, causa, decisión y evidencia.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Las diferencias críticas se gobiernan mediante Mesa de Control y cierre diario documentado.</w:t>
      </w:r>
    </w:p>
    <w:p>
      <w:r>
        <w:br w:type="page"/>
      </w:r>
    </w:p>
    <w:p>
      <w:pPr>
        <w:pStyle w:val="Heading2"/>
      </w:pPr>
      <w:r>
        <w:t>6.8 Estándar documental universal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5F2EC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CODIFICACIÓN OFICIAL</w:t>
            </w:r>
          </w:p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BES-[Nodo/Pilar##]-[Tipo]-[Consecutivo###]-v[Versión] · Ejemplo: BES-03-PRO-001-v1.0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780"/>
        <w:gridCol w:w="900"/>
        <w:gridCol w:w="3780"/>
      </w:tblGrid>
      <w:tr>
        <w:trPr>
          <w:tblHeader w:val="true"/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Definición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Tipo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Definición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MAN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Manual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SOP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Procedimiento Operativo Estándar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Proceso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FOR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Formato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WI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Instrucción de trabajo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POL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Política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STD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Estándar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CAP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Capacitación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PPT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Presentación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A3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Proyecto de mejora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KPI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Indicador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DASH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Dashboard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AUD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Auditoría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RIE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Riesgo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DIAG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Diagrama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EVID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Evidencia</w:t>
            </w:r>
          </w:p>
        </w:tc>
      </w:tr>
      <w:tr>
        <w:trPr>
          <w:cantSplit/>
        </w:trPr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PLA</w:t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Plantilla</w:t>
            </w:r>
          </w:p>
        </w:tc>
        <w:tc>
          <w:tcPr>
            <w:tcW w:type="dxa" w:w="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378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</w:tr>
    </w:tbl>
    <w:p>
      <w:pPr>
        <w:pStyle w:val="Heading2"/>
      </w:pPr>
      <w:r>
        <w:t>6.9 Estructura obligatoria de 10 secciones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1. Portada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2. Control de Versiones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3. Objetivo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4. Alcance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5. Glosario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6. Cuerpo Técnico / Desarrollo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7. Relación con la Arquitectura Maestra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8. Responsables (RACI)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9. Anexos / Evidencias</w:t>
      </w:r>
    </w:p>
    <w:p>
      <w:pPr>
        <w:pStyle w:val="ListBullet"/>
        <w:spacing w:after="60"/>
      </w:pPr>
      <w:r>
        <w:rPr>
          <w:rFonts w:ascii="Arial" w:hAnsi="Arial"/>
          <w:b w:val="0"/>
          <w:i w:val="0"/>
          <w:color w:val="122439"/>
          <w:sz w:val="20"/>
        </w:rPr>
        <w:t>10. Aprobación con Firmas</w:t>
      </w:r>
    </w:p>
    <w:p>
      <w:pPr>
        <w:spacing w:after="120" w:line="264" w:lineRule="auto"/>
      </w:pPr>
      <w:r>
        <w:rPr>
          <w:rFonts w:ascii="Arial" w:hAnsi="Arial"/>
          <w:b w:val="0"/>
          <w:i w:val="0"/>
          <w:color w:val="122439"/>
          <w:sz w:val="21"/>
        </w:rPr>
        <w:t>Formato gráfico obligatorio: encabezado con Nombre de Pilar + Código + Versión; pie de página con Confidencialidad + Fecha + Paginación + “Documento controlado – Best Linen”.</w:t>
      </w:r>
    </w:p>
    <w:p>
      <w:r>
        <w:br w:type="page"/>
      </w:r>
    </w:p>
    <w:p>
      <w:pPr>
        <w:pStyle w:val="Heading2"/>
      </w:pPr>
      <w:r>
        <w:t>6.10 KPIs y cadencia de gobierno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850"/>
        <w:gridCol w:w="1200"/>
        <w:gridCol w:w="1200"/>
        <w:gridCol w:w="1500"/>
        <w:gridCol w:w="2110"/>
      </w:tblGrid>
      <w:tr>
        <w:trPr>
          <w:tblHeader w:val="true"/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KPI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Fórmula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Meta inicial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Frecuencia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Escalamiento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On Time Shipping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Embarques a tiempo / total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≥ 98%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Diaria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Outbound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Coordinación → Gerencia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Fill Rate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Líneas completas / líneas solicitadas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≥ 98%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Diaria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Operaciones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Mesa de Control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Exactitud de inventario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SKUs sin diferencia / auditados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≥ 99.5%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Semanal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Inventarios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Gerencia + Auditoría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Dock-to-stock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Hora disponible − hora arribo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≤ estándar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 recepción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Inbound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Coordinación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Conciliación de racks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Racks conciliados / total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100%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Diaria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Mesa de Control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Operaciones + TI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Cierre de hallazgos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Hallazgos cerrados en plazo / total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≥ 95%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Semanal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Dueño del proceso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Calidad → Dirección</w:t>
            </w:r>
          </w:p>
        </w:tc>
      </w:tr>
      <w:tr>
        <w:trPr>
          <w:cantSplit/>
        </w:trPr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Competencia certificada</w:t>
            </w:r>
          </w:p>
        </w:tc>
        <w:tc>
          <w:tcPr>
            <w:tcW w:type="dxa" w:w="18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Personas aprobadas / planificadas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100%</w:t>
            </w:r>
          </w:p>
        </w:tc>
        <w:tc>
          <w:tcPr>
            <w:tcW w:type="dxa" w:w="12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Mensual</w:t>
            </w:r>
          </w:p>
        </w:tc>
        <w:tc>
          <w:tcPr>
            <w:tcW w:type="dxa" w:w="1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Universidad BL</w:t>
            </w:r>
          </w:p>
        </w:tc>
        <w:tc>
          <w:tcPr>
            <w:tcW w:type="dxa" w:w="211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Capital Humano</w:t>
            </w:r>
          </w:p>
        </w:tc>
      </w:tr>
    </w:tbl>
    <w:p>
      <w:r>
        <w:br w:type="page"/>
      </w:r>
    </w:p>
    <w:p>
      <w:pPr>
        <w:pStyle w:val="Heading1"/>
      </w:pPr>
      <w:r>
        <w:t>7. Relación con la Arquitectura Maestra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560"/>
        <w:gridCol w:w="3000"/>
      </w:tblGrid>
      <w:tr>
        <w:trPr>
          <w:tblHeader w:val="true"/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Relación BES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Evidencia esperada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Propósito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Unificar cómo Best Linen diseña, ejecuta, mide, aprende y escala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Mapa del Pilar y objetivos aprobados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Interacción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Los 14 pilares comparten procesos, datos, roles, indicadores y decisiones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Matriz de interfaces y RACI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Procesos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Cada flujo tiene inicio, fin, entradas, salidas, controles y dueño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SIPOC, BPMN, SOP, WI y registros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Documentos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Todo entregable usa código, versión, estado, aprobación y ubicación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Índice maestro e historial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Sistemas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Odoo y BL RACKS se integran mediante fuente maestra, validación y conciliación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Matriz de datos y bitácoras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KPIs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Los indicadores conectan resultado, causa, responsable y cadencia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Ficha KPI y dashboard</w:t>
            </w:r>
          </w:p>
        </w:tc>
      </w:tr>
      <w:tr>
        <w:trPr>
          <w:cantSplit/>
        </w:trPr>
        <w:tc>
          <w:tcPr>
            <w:tcW w:type="dxa" w:w="18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Mejora Continua</w:t>
            </w:r>
          </w:p>
        </w:tc>
        <w:tc>
          <w:tcPr>
            <w:tcW w:type="dxa" w:w="45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Las desviaciones alimentan A3, CAPA, lecciones y actualización de estándar</w:t>
            </w:r>
          </w:p>
        </w:tc>
        <w:tc>
          <w:tcPr>
            <w:tcW w:type="dxa" w:w="3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Expediente de mejora cerrado</w:t>
            </w:r>
          </w:p>
        </w:tc>
      </w:tr>
    </w:tbl>
    <w:p>
      <w:pPr>
        <w:pStyle w:val="Heading1"/>
      </w:pPr>
      <w:r>
        <w:t>8. Responsables (RACI)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1400"/>
        <w:gridCol w:w="1500"/>
        <w:gridCol w:w="1550"/>
        <w:gridCol w:w="1250"/>
        <w:gridCol w:w="1060"/>
      </w:tblGrid>
      <w:tr>
        <w:trPr>
          <w:tblHeader w:val="true"/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Actividad / decisión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R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A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C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I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6"/>
              </w:rPr>
              <w:t>Evidencia</w:t>
            </w:r>
          </w:p>
        </w:tc>
      </w:tr>
      <w:tr>
        <w:trPr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Aprobar arquitectura BES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Arquitectura BES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Dirección General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Gerencias, Control Documental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Organización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Acta y versión aprobada</w:t>
            </w:r>
          </w:p>
        </w:tc>
      </w:tr>
      <w:tr>
        <w:trPr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Mantener pilar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Propietario del pilar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Gerencia responsable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Calidad, TI, procesos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Usuarios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Mapa, índice y revisión</w:t>
            </w:r>
          </w:p>
        </w:tc>
      </w:tr>
      <w:tr>
        <w:trPr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Liberar documento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Control Documental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Dueño del proceso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Calidad, responsables RACI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Usuarios afectados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Firmas e historial</w:t>
            </w:r>
          </w:p>
        </w:tc>
      </w:tr>
      <w:tr>
        <w:trPr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Gobernar dato maestro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Administrador del sistema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Gerencia del dato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Operaciones, TI, Auditoría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Consumidores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Bitácora y conciliación</w:t>
            </w:r>
          </w:p>
        </w:tc>
      </w:tr>
      <w:tr>
        <w:trPr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Habilitar puesto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Capital Humano + Universidad BL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Gerencia de Área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Jefatura, Calidad, TI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Colaborador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Perfil, examen y acceso</w:t>
            </w:r>
          </w:p>
        </w:tc>
      </w:tr>
      <w:tr>
        <w:trPr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Cerrar hallazgo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Dueño del proceso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Gerencia de Área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Auditor, Mejora Continua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Dirección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Causa, acción y eficacia</w:t>
            </w:r>
          </w:p>
        </w:tc>
      </w:tr>
      <w:tr>
        <w:trPr>
          <w:cantSplit/>
        </w:trPr>
        <w:tc>
          <w:tcPr>
            <w:tcW w:type="dxa" w:w="26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Revisar desempeño</w:t>
            </w:r>
          </w:p>
        </w:tc>
        <w:tc>
          <w:tcPr>
            <w:tcW w:type="dxa" w:w="14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Business Intelligence</w:t>
            </w:r>
          </w:p>
        </w:tc>
        <w:tc>
          <w:tcPr>
            <w:tcW w:type="dxa" w:w="150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Dirección General</w:t>
            </w:r>
          </w:p>
        </w:tc>
        <w:tc>
          <w:tcPr>
            <w:tcW w:type="dxa" w:w="15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Gerencias y dueños KPI</w:t>
            </w:r>
          </w:p>
        </w:tc>
        <w:tc>
          <w:tcPr>
            <w:tcW w:type="dxa" w:w="125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Organización</w:t>
            </w:r>
          </w:p>
        </w:tc>
        <w:tc>
          <w:tcPr>
            <w:tcW w:type="dxa" w:w="1060"/>
            <w:tcMar>
              <w:top w:w="55" w:type="dxa"/>
              <w:start w:w="85" w:type="dxa"/>
              <w:bottom w:w="55" w:type="dxa"/>
              <w:end w:w="85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6"/>
              </w:rPr>
              <w:t>Dashboard y minuta</w:t>
            </w:r>
          </w:p>
        </w:tc>
      </w:tr>
    </w:tbl>
    <w:p>
      <w:r>
        <w:br w:type="page"/>
      </w:r>
    </w:p>
    <w:p>
      <w:pPr>
        <w:pStyle w:val="Heading1"/>
      </w:pPr>
      <w:r>
        <w:t>9. Anexos / Evidencias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2100"/>
        <w:gridCol w:w="1450"/>
        <w:gridCol w:w="1860"/>
      </w:tblGrid>
      <w:tr>
        <w:trPr>
          <w:tblHeader w:val="true"/>
          <w:cantSplit/>
        </w:trPr>
        <w:tc>
          <w:tcPr>
            <w:tcW w:type="dxa" w:w="6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33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Entregable</w:t>
            </w:r>
          </w:p>
        </w:tc>
        <w:tc>
          <w:tcPr>
            <w:tcW w:type="dxa" w:w="21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1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Ubicación</w:t>
            </w:r>
          </w:p>
        </w:tc>
      </w:tr>
      <w:tr>
        <w:trPr>
          <w:cantSplit/>
        </w:trPr>
        <w:tc>
          <w:tcPr>
            <w:tcW w:type="dxa" w:w="6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A1</w:t>
            </w:r>
          </w:p>
        </w:tc>
        <w:tc>
          <w:tcPr>
            <w:tcW w:type="dxa" w:w="33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Dictamen ejecutivo de creación de nueve puestos</w:t>
            </w:r>
          </w:p>
        </w:tc>
        <w:tc>
          <w:tcPr>
            <w:tcW w:type="dxa" w:w="21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BES-GT-DIC-001-v1.0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Propuesta</w:t>
            </w:r>
          </w:p>
        </w:tc>
        <w:tc>
          <w:tcPr>
            <w:tcW w:type="dxa" w:w="1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Portal BES / Biblioteca</w:t>
            </w:r>
          </w:p>
        </w:tc>
      </w:tr>
      <w:tr>
        <w:trPr>
          <w:cantSplit/>
        </w:trPr>
        <w:tc>
          <w:tcPr>
            <w:tcW w:type="dxa" w:w="6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A2</w:t>
            </w:r>
          </w:p>
        </w:tc>
        <w:tc>
          <w:tcPr>
            <w:tcW w:type="dxa" w:w="33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Manual integral de nueve perfiles</w:t>
            </w:r>
          </w:p>
        </w:tc>
        <w:tc>
          <w:tcPr>
            <w:tcW w:type="dxa" w:w="21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BES-GT-MAN-001-v1.0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Propuesta</w:t>
            </w:r>
          </w:p>
        </w:tc>
        <w:tc>
          <w:tcPr>
            <w:tcW w:type="dxa" w:w="1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Portal BES / Biblioteca</w:t>
            </w:r>
          </w:p>
        </w:tc>
      </w:tr>
      <w:tr>
        <w:trPr>
          <w:cantSplit/>
        </w:trPr>
        <w:tc>
          <w:tcPr>
            <w:tcW w:type="dxa" w:w="6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A3</w:t>
            </w:r>
          </w:p>
        </w:tc>
        <w:tc>
          <w:tcPr>
            <w:tcW w:type="dxa" w:w="33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Matriz RACI, sistemas y KPIs</w:t>
            </w:r>
          </w:p>
        </w:tc>
        <w:tc>
          <w:tcPr>
            <w:tcW w:type="dxa" w:w="21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BES-GT-MAT-001-v1.0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Propuesta</w:t>
            </w:r>
          </w:p>
        </w:tc>
        <w:tc>
          <w:tcPr>
            <w:tcW w:type="dxa" w:w="1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Portal BES / Biblioteca</w:t>
            </w:r>
          </w:p>
        </w:tc>
      </w:tr>
      <w:tr>
        <w:trPr>
          <w:cantSplit/>
        </w:trPr>
        <w:tc>
          <w:tcPr>
            <w:tcW w:type="dxa" w:w="6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A4</w:t>
            </w:r>
          </w:p>
        </w:tc>
        <w:tc>
          <w:tcPr>
            <w:tcW w:type="dxa" w:w="33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Roadmap de habilitación 90 días</w:t>
            </w:r>
          </w:p>
        </w:tc>
        <w:tc>
          <w:tcPr>
            <w:tcW w:type="dxa" w:w="21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BES-GT-RMP-001-v1.0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Propuesta</w:t>
            </w:r>
          </w:p>
        </w:tc>
        <w:tc>
          <w:tcPr>
            <w:tcW w:type="dxa" w:w="1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Portal BES / Biblioteca</w:t>
            </w:r>
          </w:p>
        </w:tc>
      </w:tr>
      <w:tr>
        <w:trPr>
          <w:cantSplit/>
        </w:trPr>
        <w:tc>
          <w:tcPr>
            <w:tcW w:type="dxa" w:w="6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A5</w:t>
            </w:r>
          </w:p>
        </w:tc>
        <w:tc>
          <w:tcPr>
            <w:tcW w:type="dxa" w:w="33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Presentación ejecutiva de expansión BES</w:t>
            </w:r>
          </w:p>
        </w:tc>
        <w:tc>
          <w:tcPr>
            <w:tcW w:type="dxa" w:w="21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BES-13-PPT-001-v2.0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Propuesta</w:t>
            </w:r>
          </w:p>
        </w:tc>
        <w:tc>
          <w:tcPr>
            <w:tcW w:type="dxa" w:w="1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Portal BES / Biblioteca</w:t>
            </w:r>
          </w:p>
        </w:tc>
      </w:tr>
      <w:tr>
        <w:trPr>
          <w:cantSplit/>
        </w:trPr>
        <w:tc>
          <w:tcPr>
            <w:tcW w:type="dxa" w:w="6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A6</w:t>
            </w:r>
          </w:p>
        </w:tc>
        <w:tc>
          <w:tcPr>
            <w:tcW w:type="dxa" w:w="33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Portal BLOS Enterprise System</w:t>
            </w:r>
          </w:p>
        </w:tc>
        <w:tc>
          <w:tcPr>
            <w:tcW w:type="dxa" w:w="21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BES-PORTAL-v2.0.0</w:t>
            </w:r>
          </w:p>
        </w:tc>
        <w:tc>
          <w:tcPr>
            <w:tcW w:type="dxa" w:w="14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Publicación controlada</w:t>
            </w:r>
          </w:p>
        </w:tc>
        <w:tc>
          <w:tcPr>
            <w:tcW w:type="dxa" w:w="18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GitHub Pages</w:t>
            </w:r>
          </w:p>
        </w:tc>
      </w:tr>
    </w:tbl>
    <w:p>
      <w:pPr>
        <w:pStyle w:val="Heading2"/>
      </w:pPr>
      <w:r>
        <w:t>9.1 Roadmap de implementación 90 días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50"/>
        <w:gridCol w:w="2550"/>
        <w:gridCol w:w="3240"/>
        <w:gridCol w:w="1820"/>
      </w:tblGrid>
      <w:tr>
        <w:trPr>
          <w:tblHeader w:val="true"/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Horizonte</w:t>
            </w:r>
          </w:p>
        </w:tc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32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Entregables</w:t>
            </w:r>
          </w:p>
        </w:tc>
        <w:tc>
          <w:tcPr>
            <w:tcW w:type="dxa" w:w="18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Puerta de control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0–30 días · Gobierno</w:t>
            </w:r>
          </w:p>
        </w:tc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Aprobar arquitectura y propietarios</w:t>
            </w:r>
          </w:p>
        </w:tc>
        <w:tc>
          <w:tcPr>
            <w:tcW w:type="dxa" w:w="32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Acta, RACI, índice maestro, backlog, perfiles prioritarios</w:t>
            </w:r>
          </w:p>
        </w:tc>
        <w:tc>
          <w:tcPr>
            <w:tcW w:type="dxa" w:w="18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 aprueba alcance, dueños y cadencia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31–60 días · Control</w:t>
            </w:r>
          </w:p>
        </w:tc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Estandarizar operación y datos críticos</w:t>
            </w:r>
          </w:p>
        </w:tc>
        <w:tc>
          <w:tcPr>
            <w:tcW w:type="dxa" w:w="32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SOP/WI, matriz Odoo-RACKS, tableros y formación inicial</w:t>
            </w:r>
          </w:p>
        </w:tc>
        <w:tc>
          <w:tcPr>
            <w:tcW w:type="dxa" w:w="18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Gerencias validan evidencia y capacidad</w:t>
            </w:r>
          </w:p>
        </w:tc>
      </w:tr>
      <w:tr>
        <w:trPr>
          <w:cantSplit/>
        </w:trPr>
        <w:tc>
          <w:tcPr>
            <w:tcW w:type="dxa" w:w="17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61–90 días · Escala</w:t>
            </w:r>
          </w:p>
        </w:tc>
        <w:tc>
          <w:tcPr>
            <w:tcW w:type="dxa" w:w="255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Medir, auditar y cerrar brechas</w:t>
            </w:r>
          </w:p>
        </w:tc>
        <w:tc>
          <w:tcPr>
            <w:tcW w:type="dxa" w:w="324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Auditorías, A3/CAPA, certificaciones y liberaciones</w:t>
            </w:r>
          </w:p>
        </w:tc>
        <w:tc>
          <w:tcPr>
            <w:tcW w:type="dxa" w:w="182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Dirección revisa KPIs y autoriza siguiente ola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shd w:fill="F5F2EC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DECISIÓN SOLICITADA A DIRECCIÓN</w:t>
            </w:r>
          </w:p>
          <w:p>
            <w:pPr>
              <w:spacing w:after="0" w:before="0" w:line="252" w:lineRule="auto"/>
            </w:pPr>
            <w:r>
              <w:rPr>
                <w:rFonts w:ascii="Arial" w:hAnsi="Arial"/>
                <w:b/>
                <w:i w:val="0"/>
                <w:color w:val="122439"/>
                <w:sz w:val="18"/>
              </w:rPr>
              <w:t>Aprobar BES v2.0 como arquitectura rectora; designar propietarios de pilar; autorizar la primera ola 0–30 días y su cadencia de gobierno.</w:t>
            </w:r>
          </w:p>
        </w:tc>
      </w:tr>
    </w:tbl>
    <w:p>
      <w:r>
        <w:br w:type="page"/>
      </w:r>
    </w:p>
    <w:p>
      <w:pPr>
        <w:pStyle w:val="Heading1"/>
      </w:pPr>
      <w:r>
        <w:t>10. Aprobación con Firmas</w:t>
      </w:r>
    </w:p>
    <w:p>
      <w:pPr>
        <w:spacing w:after="120" w:line="264" w:lineRule="auto"/>
      </w:pPr>
      <w:r>
        <w:rPr>
          <w:rFonts w:ascii="Arial" w:hAnsi="Arial"/>
          <w:b w:val="0"/>
          <w:i w:val="0"/>
          <w:color w:val="122439"/>
          <w:sz w:val="21"/>
        </w:rPr>
        <w:t>La firma confirma autoridad, alcance y compromiso de implementación. Los campos se dejan intencionalmente en blanco para aprobación formal; no se inventan nombres ni firmas.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900"/>
        <w:gridCol w:w="2000"/>
        <w:gridCol w:w="1600"/>
        <w:gridCol w:w="1360"/>
      </w:tblGrid>
      <w:tr>
        <w:trPr>
          <w:tblHeader w:val="true"/>
          <w:cantSplit/>
        </w:trPr>
        <w:tc>
          <w:tcPr>
            <w:tcW w:type="dxa" w:w="2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Rol de aprobación</w:t>
            </w:r>
          </w:p>
        </w:tc>
        <w:tc>
          <w:tcPr>
            <w:tcW w:type="dxa" w:w="1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Nombre</w:t>
            </w:r>
          </w:p>
        </w:tc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Puesto</w:t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Firma</w:t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shd w:fill="0D2944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b/>
                <w:color w:val="FFFFFF"/>
                <w:sz w:val="17"/>
              </w:rPr>
              <w:t>Fecha</w:t>
            </w:r>
          </w:p>
        </w:tc>
      </w:tr>
      <w:tr>
        <w:trPr>
          <w:cantSplit/>
        </w:trPr>
        <w:tc>
          <w:tcPr>
            <w:tcW w:type="dxa" w:w="2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Elaboró · Arquitectura BES</w:t>
            </w:r>
          </w:p>
        </w:tc>
        <w:tc>
          <w:tcPr>
            <w:tcW w:type="dxa" w:w="1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Revisó · Propietario Gobierno BES</w:t>
            </w:r>
          </w:p>
        </w:tc>
        <w:tc>
          <w:tcPr>
            <w:tcW w:type="dxa" w:w="1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Revisó · Control Documental</w:t>
            </w:r>
          </w:p>
        </w:tc>
        <w:tc>
          <w:tcPr>
            <w:tcW w:type="dxa" w:w="1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Revisó · Calidad y Auditoría</w:t>
            </w:r>
          </w:p>
        </w:tc>
        <w:tc>
          <w:tcPr>
            <w:tcW w:type="dxa" w:w="1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</w:tr>
      <w:tr>
        <w:trPr>
          <w:cantSplit/>
        </w:trPr>
        <w:tc>
          <w:tcPr>
            <w:tcW w:type="dxa" w:w="25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  <w:t>Aprobó · Dirección General</w:t>
            </w:r>
          </w:p>
        </w:tc>
        <w:tc>
          <w:tcPr>
            <w:tcW w:type="dxa" w:w="19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20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60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  <w:tc>
          <w:tcPr>
            <w:tcW w:type="dxa" w:w="1360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rial" w:hAnsi="Arial"/>
                <w:color w:val="122439"/>
                <w:sz w:val="18"/>
              </w:rPr>
            </w:r>
          </w:p>
        </w:tc>
      </w:tr>
    </w:tbl>
    <w:p>
      <w:pPr>
        <w:spacing w:before="440"/>
        <w:jc w:val="center"/>
        <w:pBdr>
          <w:top w:val="single" w:sz="12" w:space="5" w:color="B38A3D"/>
        </w:pBdr>
      </w:pPr>
      <w:r>
        <w:rPr>
          <w:rFonts w:ascii="Georgia" w:hAnsi="Georgia"/>
          <w:b/>
          <w:i w:val="0"/>
          <w:color w:val="0D2944"/>
          <w:sz w:val="26"/>
        </w:rPr>
        <w:t>BLOS Enterprise System · Best Linen S.A. de C.V.</w:t>
      </w:r>
    </w:p>
    <w:p>
      <w:pPr>
        <w:jc w:val="center"/>
      </w:pPr>
      <w:r>
        <w:rPr>
          <w:rFonts w:ascii="Arial" w:hAnsi="Arial"/>
          <w:b/>
          <w:i w:val="0"/>
          <w:color w:val="B38A3D"/>
          <w:sz w:val="20"/>
        </w:rPr>
        <w:t>Diseñamos la forma en que Best Linen trabajará mañana.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05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1760"/>
      <w:gridCol w:w="1500"/>
      <w:gridCol w:w="1820"/>
      <w:gridCol w:w="4280"/>
    </w:tblGrid>
    <w:tr>
      <w:tc>
        <w:tcPr>
          <w:tcW w:type="dxa" w:w="1760"/>
          <w:tcMar>
            <w:top w:w="80" w:type="dxa"/>
            <w:start w:w="70" w:type="dxa"/>
            <w:bottom w:w="60" w:type="dxa"/>
            <w:end w:w="70" w:type="dxa"/>
          </w:tcMar>
          <w:vAlign w:val="center"/>
          <w:tcBorders>
            <w:top w:val="single" w:sz="14" w:color="B38A3D" w:space="0"/>
          </w:tcBorders>
        </w:tcPr>
        <w:p>
          <w:pPr>
            <w:spacing w:after="0"/>
            <w:jc w:val="left"/>
          </w:pPr>
          <w:r>
            <w:rPr>
              <w:rFonts w:ascii="Arial" w:hAnsi="Arial"/>
              <w:b/>
              <w:i w:val="0"/>
              <w:color w:val="667486"/>
              <w:sz w:val="15"/>
            </w:rPr>
            <w:t>CONFIDENCIAL</w:t>
          </w:r>
        </w:p>
      </w:tc>
      <w:tc>
        <w:tcPr>
          <w:tcW w:type="dxa" w:w="1500"/>
          <w:tcMar>
            <w:top w:w="80" w:type="dxa"/>
            <w:start w:w="70" w:type="dxa"/>
            <w:bottom w:w="60" w:type="dxa"/>
            <w:end w:w="70" w:type="dxa"/>
          </w:tcMar>
          <w:vAlign w:val="center"/>
          <w:tcBorders>
            <w:top w:val="single" w:sz="14" w:color="B38A3D" w:space="0"/>
          </w:tcBorders>
        </w:tcPr>
        <w:p>
          <w:pPr>
            <w:spacing w:after="0"/>
            <w:jc w:val="center"/>
          </w:pPr>
          <w:r>
            <w:rPr>
              <w:rFonts w:ascii="Arial" w:hAnsi="Arial"/>
              <w:b w:val="0"/>
              <w:i w:val="0"/>
              <w:color w:val="667486"/>
              <w:sz w:val="15"/>
            </w:rPr>
            <w:t>11/08/2026</w:t>
          </w:r>
        </w:p>
      </w:tc>
      <w:tc>
        <w:tcPr>
          <w:tcW w:type="dxa" w:w="1820"/>
          <w:tcMar>
            <w:top w:w="80" w:type="dxa"/>
            <w:start w:w="70" w:type="dxa"/>
            <w:bottom w:w="60" w:type="dxa"/>
            <w:end w:w="70" w:type="dxa"/>
          </w:tcMar>
          <w:vAlign w:val="center"/>
          <w:tcBorders>
            <w:top w:val="single" w:sz="14" w:color="B38A3D" w:space="0"/>
          </w:tcBorders>
        </w:tcPr>
        <w:p>
          <w:pPr>
            <w:spacing w:after="0"/>
            <w:jc w:val="center"/>
          </w:pPr>
          <w:r>
            <w:rPr>
              <w:rFonts w:ascii="Arial" w:hAnsi="Arial"/>
              <w:b/>
              <w:i w:val="0"/>
              <w:color w:val="667486"/>
              <w:sz w:val="15"/>
            </w:rPr>
            <w:t xml:space="preserve">Página </w:t>
          </w:r>
          <w:r>
            <w:rPr>
              <w:rFonts w:ascii="Arial" w:hAnsi="Arial"/>
              <w:b/>
              <w:color w:val="667486"/>
              <w:sz w:val="15"/>
            </w:rPr>
            <w:fldChar w:fldCharType="begin"/>
          </w:r>
          <w:r>
            <w:rPr>
              <w:rFonts w:ascii="Arial" w:hAnsi="Arial"/>
              <w:b/>
              <w:color w:val="667486"/>
              <w:sz w:val="15"/>
            </w:rPr>
            <w:instrText xml:space="preserve"> PAGE </w:instrText>
          </w:r>
          <w:r>
            <w:rPr>
              <w:rFonts w:ascii="Arial" w:hAnsi="Arial"/>
              <w:b/>
              <w:color w:val="667486"/>
              <w:sz w:val="15"/>
            </w:rPr>
            <w:fldChar w:fldCharType="separate"/>
          </w:r>
          <w:r>
            <w:rPr>
              <w:rFonts w:ascii="Arial" w:hAnsi="Arial"/>
              <w:b/>
              <w:color w:val="667486"/>
              <w:sz w:val="15"/>
            </w:rPr>
            <w:t>1</w:t>
          </w:r>
          <w:r>
            <w:rPr>
              <w:rFonts w:ascii="Arial" w:hAnsi="Arial"/>
              <w:b/>
              <w:color w:val="667486"/>
              <w:sz w:val="15"/>
            </w:rPr>
            <w:fldChar w:fldCharType="end"/>
          </w:r>
          <w:r>
            <w:rPr>
              <w:rFonts w:ascii="Arial" w:hAnsi="Arial"/>
              <w:b/>
              <w:i w:val="0"/>
              <w:color w:val="667486"/>
              <w:sz w:val="15"/>
            </w:rPr>
            <w:t xml:space="preserve"> de </w:t>
          </w:r>
          <w:r>
            <w:rPr>
              <w:rFonts w:ascii="Arial" w:hAnsi="Arial"/>
              <w:b/>
              <w:color w:val="667486"/>
              <w:sz w:val="15"/>
            </w:rPr>
            <w:fldChar w:fldCharType="begin"/>
          </w:r>
          <w:r>
            <w:rPr>
              <w:rFonts w:ascii="Arial" w:hAnsi="Arial"/>
              <w:b/>
              <w:color w:val="667486"/>
              <w:sz w:val="15"/>
            </w:rPr>
            <w:instrText xml:space="preserve"> NUMPAGES </w:instrText>
          </w:r>
          <w:r>
            <w:rPr>
              <w:rFonts w:ascii="Arial" w:hAnsi="Arial"/>
              <w:b/>
              <w:color w:val="667486"/>
              <w:sz w:val="15"/>
            </w:rPr>
            <w:fldChar w:fldCharType="separate"/>
          </w:r>
          <w:r>
            <w:rPr>
              <w:rFonts w:ascii="Arial" w:hAnsi="Arial"/>
              <w:b/>
              <w:color w:val="667486"/>
              <w:sz w:val="15"/>
            </w:rPr>
            <w:t>1</w:t>
          </w:r>
          <w:r>
            <w:rPr>
              <w:rFonts w:ascii="Arial" w:hAnsi="Arial"/>
              <w:b/>
              <w:color w:val="667486"/>
              <w:sz w:val="15"/>
            </w:rPr>
            <w:fldChar w:fldCharType="end"/>
          </w:r>
        </w:p>
      </w:tc>
      <w:tc>
        <w:tcPr>
          <w:tcW w:type="dxa" w:w="4280"/>
          <w:tcMar>
            <w:top w:w="80" w:type="dxa"/>
            <w:start w:w="70" w:type="dxa"/>
            <w:bottom w:w="60" w:type="dxa"/>
            <w:end w:w="70" w:type="dxa"/>
          </w:tcMar>
          <w:vAlign w:val="center"/>
          <w:tcBorders>
            <w:top w:val="single" w:sz="14" w:color="B38A3D" w:space="0"/>
          </w:tcBorders>
        </w:tcPr>
        <w:p>
          <w:pPr>
            <w:spacing w:after="0"/>
            <w:jc w:val="right"/>
          </w:pPr>
          <w:r>
            <w:rPr>
              <w:rFonts w:ascii="Arial" w:hAnsi="Arial"/>
              <w:b/>
              <w:i w:val="0"/>
              <w:color w:val="667486"/>
              <w:sz w:val="15"/>
            </w:rPr>
            <w:t>Documento controlado – Best Linen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360"/>
      <w:jc w:val="left"/>
      <w:tblLayout w:type="fixed"/>
      <w:tblLook w:firstColumn="1" w:firstRow="1" w:lastColumn="0" w:lastRow="0" w:noHBand="0" w:noVBand="1" w:val="04A0"/>
      <w:tblInd w:w="0" w:type="dxa"/>
    </w:tblPr>
    <w:tblGrid>
      <w:gridCol w:w="5320"/>
      <w:gridCol w:w="2160"/>
      <w:gridCol w:w="1880"/>
    </w:tblGrid>
    <w:tr>
      <w:tc>
        <w:tcPr>
          <w:tcW w:type="dxa" w:w="5320"/>
          <w:tcMar>
            <w:top w:w="80" w:type="dxa"/>
            <w:start w:w="100" w:type="dxa"/>
            <w:bottom w:w="80" w:type="dxa"/>
            <w:end w:w="100" w:type="dxa"/>
          </w:tcMar>
          <w:vAlign w:val="center"/>
          <w:shd w:fill="0D2944"/>
          <w:tcBorders>
            <w:bottom w:val="single" w:sz="18" w:color="B38A3D" w:space="0"/>
          </w:tcBorders>
        </w:tcPr>
        <w:p>
          <w:pPr>
            <w:spacing w:after="0"/>
            <w:jc w:val="left"/>
          </w:pPr>
          <w:r>
            <w:rPr>
              <w:rFonts w:ascii="Arial" w:hAnsi="Arial"/>
              <w:b/>
              <w:i w:val="0"/>
              <w:color w:val="FFFFFF"/>
              <w:sz w:val="16"/>
            </w:rPr>
            <w:t>00 · GOBIERNO BES</w:t>
          </w:r>
        </w:p>
      </w:tc>
      <w:tc>
        <w:tcPr>
          <w:tcW w:type="dxa" w:w="2160"/>
          <w:tcMar>
            <w:top w:w="80" w:type="dxa"/>
            <w:start w:w="100" w:type="dxa"/>
            <w:bottom w:w="80" w:type="dxa"/>
            <w:end w:w="100" w:type="dxa"/>
          </w:tcMar>
          <w:vAlign w:val="center"/>
          <w:shd w:fill="0D2944"/>
          <w:tcBorders>
            <w:bottom w:val="single" w:sz="18" w:color="B38A3D" w:space="0"/>
          </w:tcBorders>
        </w:tcPr>
        <w:p>
          <w:pPr>
            <w:spacing w:after="0"/>
            <w:jc w:val="center"/>
          </w:pPr>
          <w:r>
            <w:rPr>
              <w:rFonts w:ascii="Arial" w:hAnsi="Arial"/>
              <w:b/>
              <w:i w:val="0"/>
              <w:color w:val="FFFFFF"/>
              <w:sz w:val="16"/>
            </w:rPr>
            <w:t>BES-00-MAN-001</w:t>
          </w:r>
        </w:p>
      </w:tc>
      <w:tc>
        <w:tcPr>
          <w:tcW w:type="dxa" w:w="1880"/>
          <w:tcMar>
            <w:top w:w="80" w:type="dxa"/>
            <w:start w:w="100" w:type="dxa"/>
            <w:bottom w:w="80" w:type="dxa"/>
            <w:end w:w="100" w:type="dxa"/>
          </w:tcMar>
          <w:vAlign w:val="center"/>
          <w:shd w:fill="0D2944"/>
          <w:tcBorders>
            <w:bottom w:val="single" w:sz="18" w:color="B38A3D" w:space="0"/>
          </w:tcBorders>
        </w:tcPr>
        <w:p>
          <w:pPr>
            <w:spacing w:after="0"/>
            <w:jc w:val="right"/>
          </w:pPr>
          <w:r>
            <w:rPr>
              <w:rFonts w:ascii="Arial" w:hAnsi="Arial"/>
              <w:b/>
              <w:i w:val="0"/>
              <w:color w:val="FFFFFF"/>
              <w:sz w:val="16"/>
            </w:rPr>
            <w:t>VERSIÓN 2.0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/>
      <w:color w:val="1224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Georgia" w:hAnsi="Georgia"/>
      <w:b/>
      <w:bCs/>
      <w:color w:val="0D29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Georgia" w:hAnsi="Georgia"/>
      <w:b/>
      <w:bCs/>
      <w:color w:val="1237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Georgia" w:hAnsi="Georgia"/>
      <w:b/>
      <w:bCs/>
      <w:color w:val="12375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Arquitectura Organizacional y Operativa BES v2.0</dc:title>
  <dc:subject>Gobierno, operación, sistemas, talento y mejora continua</dc:subject>
  <dc:creator>Best Linen · Arquitectura BES</dc:creator>
  <cp:keywords>BES, BLOS, Odoo, BL RACKS, gobierno, procesos, RACI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