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</w:pPr>
      <w:r>
        <w:rPr>
          <w:rFonts w:ascii="Calibri" w:cs="Calibri" w:eastAsia="Calibri" w:hAnsi="Calibri"/>
          <w:b/>
          <w:bCs/>
          <w:color w:val="6B5B4A"/>
          <w:spacing w:val="30"/>
          <w:sz w:val="15"/>
          <w:szCs w:val="15"/>
        </w:rPr>
        <w:t xml:space="preserve">CAFFEVOLVE™ · ROYALTY MODEL v4 — SEEDED-ONLY BASE CASE</w:t>
      </w:r>
    </w:p>
    <w:p>
      <w:pPr>
        <w:spacing w:after="20"/>
      </w:pPr>
      <w:r>
        <w:rPr>
          <w:rFonts w:ascii="Calibri" w:cs="Calibri" w:eastAsia="Calibri" w:hAnsi="Calibri"/>
          <w:b/>
          <w:bCs/>
          <w:color w:val="1A1A1A"/>
          <w:sz w:val="34"/>
          <w:szCs w:val="34"/>
        </w:rPr>
        <w:t xml:space="preserve">Caffevolve Royalty Model — Base Case</w:t>
      </w:r>
    </w:p>
    <w:p>
      <w:pPr>
        <w:spacing w:after="40"/>
      </w:pPr>
      <w:r>
        <w:rPr>
          <w:rFonts w:ascii="Calibri" w:cs="Calibri" w:eastAsia="Calibri" w:hAnsi="Calibri"/>
          <w:i/>
          <w:iCs/>
          <w:color w:val="6F4E37"/>
          <w:sz w:val="20"/>
          <w:szCs w:val="20"/>
        </w:rPr>
        <w:t xml:space="preserve">Investor summary · one-pager</w:t>
      </w:r>
    </w:p>
    <w:p>
      <w:pPr>
        <w:pBdr>
          <w:bottom w:val="single" w:color="6F4E37" w:sz="8"/>
        </w:pBdr>
        <w:spacing w:after="130"/>
      </w:pPr>
      <w:r>
        <w:rPr>
          <w:rFonts w:ascii="Calibri" w:cs="Calibri" w:eastAsia="Calibri" w:hAnsi="Calibri"/>
        </w:rPr>
        <w:t xml:space="preserve"/>
      </w:r>
    </w:p>
    <w:p>
      <w:pPr>
        <w:spacing w:after="170"/>
      </w:pPr>
      <w:r>
        <w:rPr>
          <w:rFonts w:ascii="Calibri" w:cs="Calibri" w:eastAsia="Calibri" w:hAnsi="Calibri"/>
          <w:i/>
          <w:iCs/>
          <w:color w:val="6B5B4A"/>
          <w:sz w:val="14"/>
          <w:szCs w:val="14"/>
        </w:rPr>
        <w:t xml:space="preserve">Confidential — Internal Planning · NDA-gated · directional model, not a forecast · prepared September 2026</w:t>
      </w:r>
    </w:p>
    <w:tbl>
      <w:tblPr>
        <w:tblW w:type="dxa" w:w="10224"/>
        <w:tblBorders>
          <w:top w:val="none"/>
          <w:left w:val="none"/>
          <w:bottom w:val="none"/>
          <w:right w:val="none"/>
          <w:insideH w:val="none"/>
          <w:insideV w:val="single" w:color="FFFFFF" w:sz="12"/>
        </w:tblBorders>
        <w:tblLayout w:type="fixed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tcBorders>
              <w:top w:val="single" w:color="7A3E1E" w:sz="24"/>
              <w:left w:val="single" w:color="D9CFC6" w:sz="2"/>
              <w:bottom w:val="single" w:color="D9CFC6" w:sz="2"/>
              <w:right w:val="single" w:color="D9CFC6" w:sz="2"/>
            </w:tcBorders>
            <w:shd w:fill="FBF7E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5B4A"/>
                <w:spacing w:val="20"/>
                <w:sz w:val="13"/>
                <w:szCs w:val="13"/>
              </w:rPr>
              <w:t xml:space="preserve">COMMERCIAL UNITS · 5-YR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15,756</w:t>
            </w:r>
          </w:p>
          <w:p>
            <w:r>
              <w:rPr>
                <w:rFonts w:ascii="Calibri" w:cs="Calibri" w:eastAsia="Calibri" w:hAnsi="Calibri"/>
                <w:color w:val="6B5B4A"/>
                <w:sz w:val="13"/>
                <w:szCs w:val="13"/>
              </w:rPr>
              <w:t xml:space="preserve">anchored · office 9,484 · café 6,272</w:t>
            </w:r>
          </w:p>
        </w:tc>
        <w:tc>
          <w:tcPr>
            <w:tcW w:type="dxa" w:w="2556"/>
            <w:tcBorders>
              <w:top w:val="single" w:color="6F4E37" w:sz="24"/>
              <w:left w:val="single" w:color="D9CFC6" w:sz="2"/>
              <w:bottom w:val="single" w:color="D9CFC6" w:sz="2"/>
              <w:right w:val="single" w:color="D9CFC6" w:sz="2"/>
            </w:tcBorders>
            <w:shd w:fill="FBF7E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5B4A"/>
                <w:spacing w:val="20"/>
                <w:sz w:val="13"/>
                <w:szCs w:val="13"/>
              </w:rPr>
              <w:t xml:space="preserve">TOTAL ROYALTY · 5-YR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$1.74M</w:t>
            </w:r>
          </w:p>
          <w:p>
            <w:r>
              <w:rPr>
                <w:rFonts w:ascii="Calibri" w:cs="Calibri" w:eastAsia="Calibri" w:hAnsi="Calibri"/>
                <w:color w:val="6B5B4A"/>
                <w:sz w:val="13"/>
                <w:szCs w:val="13"/>
              </w:rPr>
              <w:t xml:space="preserve">at Base band 7%</w:t>
            </w:r>
          </w:p>
        </w:tc>
        <w:tc>
          <w:tcPr>
            <w:tcW w:type="dxa" w:w="2556"/>
            <w:tcBorders>
              <w:top w:val="single" w:color="3E7C7A" w:sz="24"/>
              <w:left w:val="single" w:color="D9CFC6" w:sz="2"/>
              <w:bottom w:val="single" w:color="D9CFC6" w:sz="2"/>
              <w:right w:val="single" w:color="D9CFC6" w:sz="2"/>
            </w:tcBorders>
            <w:shd w:fill="FBF7E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5B4A"/>
                <w:spacing w:val="20"/>
                <w:sz w:val="13"/>
                <w:szCs w:val="13"/>
              </w:rPr>
              <w:t xml:space="preserve">CONSUMER UNITS · 5-YR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28.5K</w:t>
            </w:r>
          </w:p>
          <w:p>
            <w:r>
              <w:rPr>
                <w:rFonts w:ascii="Calibri" w:cs="Calibri" w:eastAsia="Calibri" w:hAnsi="Calibri"/>
                <w:color w:val="6B5B4A"/>
                <w:sz w:val="13"/>
                <w:szCs w:val="13"/>
              </w:rPr>
              <w:t xml:space="preserve">seeded · café 13,919 · office 14,545</w:t>
            </w:r>
          </w:p>
        </w:tc>
        <w:tc>
          <w:tcPr>
            <w:tcW w:type="dxa" w:w="2556"/>
            <w:tcBorders>
              <w:top w:val="single" w:color="7A3E1E" w:sz="24"/>
              <w:left w:val="single" w:color="D9CFC6" w:sz="2"/>
              <w:bottom w:val="single" w:color="D9CFC6" w:sz="2"/>
              <w:right w:val="single" w:color="D9CFC6" w:sz="2"/>
            </w:tcBorders>
            <w:shd w:fill="FBF7EF" w:color="auto" w:val="clear"/>
            <w:tcMar>
              <w:top w:type="dxa" w:w="110"/>
              <w:left w:type="dxa" w:w="130"/>
              <w:bottom w:type="dxa" w:w="110"/>
              <w:right w:type="dxa" w:w="13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color w:val="6B5B4A"/>
                <w:spacing w:val="20"/>
                <w:sz w:val="13"/>
                <w:szCs w:val="13"/>
              </w:rPr>
              <w:t xml:space="preserve">COMMERCIAL SHARE</w:t>
            </w:r>
          </w:p>
          <w:p>
            <w:pPr>
              <w:spacing w:after="30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30"/>
                <w:szCs w:val="30"/>
              </w:rPr>
              <w:t xml:space="preserve">79%</w:t>
            </w:r>
          </w:p>
          <w:p>
            <w:r>
              <w:rPr>
                <w:rFonts w:ascii="Calibri" w:cs="Calibri" w:eastAsia="Calibri" w:hAnsi="Calibri"/>
                <w:color w:val="6B5B4A"/>
                <w:sz w:val="13"/>
                <w:szCs w:val="13"/>
              </w:rPr>
              <w:t xml:space="preserve">of total royalty</w:t>
            </w:r>
          </w:p>
        </w:tc>
      </w:tr>
    </w:tbl>
    <w:p>
      <w:pPr>
        <w:spacing w:after="4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Ramp scenarios (Low / Base / High)</w:t>
      </w:r>
    </w:p>
    <w:p>
      <w:pPr>
        <w:spacing w:after="110"/>
      </w:pPr>
      <w:r>
        <w:rPr>
          <w:rFonts w:ascii="Calibri" w:cs="Calibri" w:eastAsia="Calibri" w:hAnsi="Calibri"/>
          <w:color w:val="6B5B4A"/>
          <w:sz w:val="14"/>
          <w:szCs w:val="14"/>
        </w:rPr>
        <w:t xml:space="preserve">OEM-anchored: Low / Base / High = 1 / 2 / 4 OEMs signed by Year 5, total ramp split office/café by the OFRAC share ramp. 5-yr commercial units and total royalty at Base band 7%, seeded-only (Direct off).</w:t>
      </w:r>
    </w:p>
    <w:tbl>
      <w:tblPr>
        <w:tblW w:type="dxa" w:w="10224"/>
        <w:tblBorders>
          <w:top w:val="single" w:color="D9CFC6" w:sz="2"/>
          <w:left w:val="none" w:color="FFFFFF" w:sz="0"/>
          <w:bottom w:val="single" w:color="D9CFC6" w:sz="2"/>
          <w:right w:val="none" w:color="FFFFFF" w:sz="0"/>
          <w:insideH w:val="single" w:color="D9CFC6" w:sz="2"/>
          <w:insideV w:val="none" w:color="FFFFFF" w:sz="0"/>
        </w:tblBorders>
        <w:tblLayout w:type="fixed"/>
      </w:tblPr>
      <w:tblGrid>
        <w:gridCol w:w="3400"/>
        <w:gridCol w:w="2300"/>
        <w:gridCol w:w="2300"/>
        <w:gridCol w:w="2224"/>
      </w:tblGrid>
      <w:tr>
        <w:trPr>
          <w:tblHeader/>
        </w:trPr>
        <w:tc>
          <w:tcPr>
            <w:tcW w:type="dxa" w:w="34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Scenario</w:t>
            </w:r>
          </w:p>
        </w:tc>
        <w:tc>
          <w:tcPr>
            <w:tcW w:type="dxa" w:w="2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Commercial units</w:t>
            </w:r>
          </w:p>
        </w:tc>
        <w:tc>
          <w:tcPr>
            <w:tcW w:type="dxa" w:w="2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 royalty · 5-yr</w:t>
            </w:r>
          </w:p>
        </w:tc>
        <w:tc>
          <w:tcPr>
            <w:tcW w:type="dxa" w:w="2224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Consumer royalty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Low · 1 OEM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6,623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$735,120</w:t>
            </w:r>
          </w:p>
        </w:tc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$155,608</w:t>
            </w:r>
          </w:p>
        </w:tc>
      </w:tr>
      <w:tr>
        <w:tc>
          <w:tcPr>
            <w:tcW w:type="dxa" w:w="34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6F4E37"/>
                <w:sz w:val="15"/>
                <w:szCs w:val="15"/>
              </w:rPr>
              <w:t xml:space="preserve">Base · 2 OEMs</w:t>
            </w:r>
          </w:p>
        </w:tc>
        <w:tc>
          <w:tcPr>
            <w:tcW w:type="dxa" w:w="2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15,756</w:t>
            </w:r>
          </w:p>
        </w:tc>
        <w:tc>
          <w:tcPr>
            <w:tcW w:type="dxa" w:w="2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$1,737,297</w:t>
            </w:r>
          </w:p>
        </w:tc>
        <w:tc>
          <w:tcPr>
            <w:tcW w:type="dxa" w:w="2224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$358,647</w:t>
            </w:r>
          </w:p>
        </w:tc>
      </w:tr>
      <w:tr>
        <w:tc>
          <w:tcPr>
            <w:tcW w:type="dxa" w:w="34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High · 4 OEMs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37,408</w:t>
            </w:r>
          </w:p>
        </w:tc>
        <w:tc>
          <w:tcPr>
            <w:tcW w:type="dxa" w:w="2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$4,159,990</w:t>
            </w:r>
          </w:p>
        </w:tc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$886,790</w:t>
            </w:r>
          </w:p>
        </w:tc>
      </w:tr>
    </w:tbl>
    <w:p>
      <w:pPr>
        <w:spacing w:after="4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Base case — royalty by year &amp; source</w:t>
      </w:r>
    </w:p>
    <w:p>
      <w:pPr>
        <w:spacing w:after="110"/>
      </w:pPr>
      <w:r>
        <w:rPr>
          <w:rFonts w:ascii="Calibri" w:cs="Calibri" w:eastAsia="Calibri" w:hAnsi="Calibri"/>
          <w:color w:val="6B5B4A"/>
          <w:sz w:val="14"/>
          <w:szCs w:val="14"/>
        </w:rPr>
        <w:t xml:space="preserve">Seeded-only (Direct channel off). Commercial royalty on the $2,499 unit ($1,250 net wholesale) leads; seeded consumer lags placements by one year.</w:t>
      </w:r>
    </w:p>
    <w:tbl>
      <w:tblPr>
        <w:tblW w:type="dxa" w:w="10224"/>
        <w:tblBorders>
          <w:top w:val="single" w:color="D9CFC6" w:sz="2"/>
          <w:left w:val="none" w:color="FFFFFF" w:sz="0"/>
          <w:bottom w:val="single" w:color="D9CFC6" w:sz="2"/>
          <w:right w:val="none" w:color="FFFFFF" w:sz="0"/>
          <w:insideH w:val="single" w:color="D9CFC6" w:sz="2"/>
          <w:insideV w:val="none" w:color="FFFFFF" w:sz="0"/>
        </w:tblBorders>
        <w:tblLayout w:type="fixed"/>
      </w:tblPr>
      <w:tblGrid>
        <w:gridCol w:w="2224"/>
        <w:gridCol w:w="1300"/>
        <w:gridCol w:w="1300"/>
        <w:gridCol w:w="1300"/>
        <w:gridCol w:w="1300"/>
        <w:gridCol w:w="1300"/>
        <w:gridCol w:w="1500"/>
      </w:tblGrid>
      <w:tr>
        <w:trPr>
          <w:tblHeader/>
        </w:trPr>
        <w:tc>
          <w:tcPr>
            <w:tcW w:type="dxa" w:w="2224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Royalty ($)</w:t>
            </w:r>
          </w:p>
        </w:tc>
        <w:tc>
          <w:tcPr>
            <w:tcW w:type="dxa" w:w="1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Y1</w:t>
            </w:r>
          </w:p>
        </w:tc>
        <w:tc>
          <w:tcPr>
            <w:tcW w:type="dxa" w:w="1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Y2</w:t>
            </w:r>
          </w:p>
        </w:tc>
        <w:tc>
          <w:tcPr>
            <w:tcW w:type="dxa" w:w="1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Y3</w:t>
            </w:r>
          </w:p>
        </w:tc>
        <w:tc>
          <w:tcPr>
            <w:tcW w:type="dxa" w:w="1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Y4</w:t>
            </w:r>
          </w:p>
        </w:tc>
        <w:tc>
          <w:tcPr>
            <w:tcW w:type="dxa" w:w="13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Y5</w:t>
            </w:r>
          </w:p>
        </w:tc>
        <w:tc>
          <w:tcPr>
            <w:tcW w:type="dxa" w:w="1500"/>
            <w:shd w:fill="6F4E37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5"/>
                <w:szCs w:val="15"/>
              </w:rPr>
              <w:t xml:space="preserve">Total</w:t>
            </w:r>
          </w:p>
        </w:tc>
      </w:tr>
      <w:tr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Café-seeded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$147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$3,735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$31,695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$139,803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$175,381</w:t>
            </w:r>
          </w:p>
        </w:tc>
      </w:tr>
      <w:tr>
        <w:tc>
          <w:tcPr>
            <w:tcW w:type="dxa" w:w="2224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Office-seeded</w:t>
            </w:r>
          </w:p>
        </w:tc>
        <w:tc>
          <w:tcPr>
            <w:tcW w:type="dxa" w:w="1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$0</w:t>
            </w:r>
          </w:p>
        </w:tc>
        <w:tc>
          <w:tcPr>
            <w:tcW w:type="dxa" w:w="1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$106</w:t>
            </w:r>
          </w:p>
        </w:tc>
        <w:tc>
          <w:tcPr>
            <w:tcW w:type="dxa" w:w="1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$6,456</w:t>
            </w:r>
          </w:p>
        </w:tc>
        <w:tc>
          <w:tcPr>
            <w:tcW w:type="dxa" w:w="1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$41,681</w:t>
            </w:r>
          </w:p>
        </w:tc>
        <w:tc>
          <w:tcPr>
            <w:tcW w:type="dxa" w:w="13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$135,023</w:t>
            </w:r>
          </w:p>
        </w:tc>
        <w:tc>
          <w:tcPr>
            <w:tcW w:type="dxa" w:w="1500"/>
            <w:shd w:fill="F5F1EA" w:color="auto" w:val="clear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$183,267</w:t>
            </w:r>
          </w:p>
        </w:tc>
      </w:tr>
      <w:tr>
        <w:tc>
          <w:tcPr>
            <w:tcW w:type="dxa" w:w="2224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Commercial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$525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$21,875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$131,250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$393,750</w:t>
            </w:r>
          </w:p>
        </w:tc>
        <w:tc>
          <w:tcPr>
            <w:tcW w:type="dxa" w:w="13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$831,250</w:t>
            </w:r>
          </w:p>
        </w:tc>
        <w:tc>
          <w:tcPr>
            <w:tcW w:type="dxa" w:w="1500"/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5"/>
                <w:szCs w:val="15"/>
              </w:rPr>
              <w:t xml:space="preserve">$1,378,650</w:t>
            </w:r>
          </w:p>
        </w:tc>
      </w:tr>
      <w:tr>
        <w:tc>
          <w:tcPr>
            <w:tcW w:type="dxa" w:w="2224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Total</w:t>
            </w:r>
          </w:p>
        </w:tc>
        <w:tc>
          <w:tcPr>
            <w:tcW w:type="dxa" w:w="13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$525</w:t>
            </w:r>
          </w:p>
        </w:tc>
        <w:tc>
          <w:tcPr>
            <w:tcW w:type="dxa" w:w="13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$22,128</w:t>
            </w:r>
          </w:p>
        </w:tc>
        <w:tc>
          <w:tcPr>
            <w:tcW w:type="dxa" w:w="13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$141,441</w:t>
            </w:r>
          </w:p>
        </w:tc>
        <w:tc>
          <w:tcPr>
            <w:tcW w:type="dxa" w:w="13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$467,127</w:t>
            </w:r>
          </w:p>
        </w:tc>
        <w:tc>
          <w:tcPr>
            <w:tcW w:type="dxa" w:w="13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$1,106,077</w:t>
            </w:r>
          </w:p>
        </w:tc>
        <w:tc>
          <w:tcPr>
            <w:tcW w:type="dxa" w:w="1500"/>
            <w:tcBorders>
              <w:top w:val="single" w:color="6B5B4A" w:sz="6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5"/>
                <w:szCs w:val="15"/>
              </w:rPr>
              <w:t xml:space="preserve">$1,737,297</w:t>
            </w:r>
          </w:p>
        </w:tc>
      </w:tr>
    </w:tbl>
    <w:p>
      <w:pPr>
        <w:spacing w:before="8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Optional upside — Direct / home channel (off in base case): </w:t>
      </w:r>
      <w:r>
        <w:rPr>
          <w:rFonts w:ascii="Calibri" w:cs="Calibri" w:eastAsia="Calibri" w:hAnsi="Calibri"/>
          <w:color w:val="6B5B4A"/>
          <w:sz w:val="14"/>
          <w:szCs w:val="14"/>
        </w:rPr>
        <w:t xml:space="preserve">no home unit exists until a licensee ships, so it contributes zero before Year 2; least-anchored, gated on a DTC test. Excluded from the headline above.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Model inputs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Café engine (v3, assumed — pilot-measured): </w:t>
      </w:r>
      <w:r>
        <w:rPr>
          <w:rFonts w:ascii="Calibri" w:cs="Calibri" w:eastAsia="Calibri" w:hAnsi="Calibri"/>
          <w:sz w:val="18"/>
          <w:szCs w:val="18"/>
        </w:rPr>
        <w:t xml:space="preserve">N = 52 qualified setups/café/yr · c_cafe = 15% · r1 = 0.5. Per placement: 3.9 home units in yr 1, 7.8/yr sustained.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Office engine (v2, assumed — stock-and-flow): </w:t>
      </w:r>
      <w:r>
        <w:rPr>
          <w:rFonts w:ascii="Calibri" w:cs="Calibri" w:eastAsia="Calibri" w:hAnsi="Calibri"/>
          <w:sz w:val="18"/>
          <w:szCs w:val="18"/>
        </w:rPr>
        <w:t xml:space="preserve">S = 32 · c_stock = 17.5% · W = 2 yrs · turnover t = 13% · c_flow = 10%. Per placement: 2.8, 2.8, then 0.42/yr on turnover.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Direct / home (optional — OFF in base case): </w:t>
      </w:r>
      <w:r>
        <w:rPr>
          <w:rFonts w:ascii="Calibri" w:cs="Calibri" w:eastAsia="Calibri" w:hAnsi="Calibri"/>
          <w:sz w:val="18"/>
          <w:szCs w:val="18"/>
        </w:rPr>
        <w:t xml:space="preserve">least-anchored input; excluded from the headline. Contributes zero until the first licensee ship (Year 2 earliest), then 750 units growing 15%/yr, net of a 15% overlap haircut. Upside only, gated on a DTC test.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Commercial ramp (anchored — OEM-signed): </w:t>
      </w:r>
      <w:r>
        <w:rPr>
          <w:rFonts w:ascii="Calibri" w:cs="Calibri" w:eastAsia="Calibri" w:hAnsi="Calibri"/>
          <w:sz w:val="18"/>
          <w:szCs w:val="18"/>
        </w:rPr>
        <w:t xml:space="preserve">Base = 2 OEMs by Yr 5, total 6, 250, 1500, 4500, 9500 units/yr, split office/café by the OFRAC share ramp (office 3, 180, 1001, 2799, 5501; café 3, 70, 499, 1701, 3999). Low/High = 1 / 4 OEMs. Editable — replace with your live signings.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sz w:val="18"/>
          <w:szCs w:val="18"/>
        </w:rPr>
        <w:t xml:space="preserve">Locked economics: </w:t>
      </w:r>
      <w:r>
        <w:rPr>
          <w:rFonts w:ascii="Calibri" w:cs="Calibri" w:eastAsia="Calibri" w:hAnsi="Calibri"/>
          <w:sz w:val="18"/>
          <w:szCs w:val="18"/>
        </w:rPr>
        <w:t xml:space="preserve">net wholesale ≈ 50% MSRP ($1,250 / $300 / $100) · 5 / 7 / 8 royalty band at base 7% · Intro/Premier consumer mix 60 / 40.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Ceiling check (top-down guardrail)</w:t>
      </w:r>
    </w:p>
    <w:p>
      <w:pPr>
        <w:spacing w:after="60"/>
      </w:pPr>
      <w:r>
        <w:rPr>
          <w:rFonts w:ascii="Calibri" w:cs="Calibri" w:eastAsia="Calibri" w:hAnsi="Calibri"/>
          <w:sz w:val="18"/>
          <w:szCs w:val="18"/>
        </w:rPr>
        <w:t xml:space="preserve">Year-5 total units — 9,500 commercial + 21,812 seeded consumer = 31,312 — against a premium appliance shelf of 1,300,000 units/yr = </w:t>
      </w:r>
      <w:r>
        <w:rPr>
          <w:rFonts w:ascii="Calibri" w:cs="Calibri" w:eastAsia="Calibri" w:hAnsi="Calibri"/>
          <w:b/>
          <w:bCs/>
          <w:color w:val="3E7C4A"/>
          <w:sz w:val="18"/>
          <w:szCs w:val="18"/>
        </w:rPr>
        <w:t xml:space="preserve">2.4% </w:t>
      </w:r>
      <w:r>
        <w:rPr>
          <w:rFonts w:ascii="Calibri" w:cs="Calibri" w:eastAsia="Calibri" w:hAnsi="Calibri"/>
          <w:sz w:val="18"/>
          <w:szCs w:val="18"/>
        </w:rPr>
        <w:t xml:space="preserve">of shelf — a credible low-single-digit slice. Shelf is a derived figure (see Sources).</w:t>
      </w:r>
    </w:p>
    <w:p>
      <w:pPr>
        <w:spacing w:after="10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Assumed vs anchored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3E7C4A"/>
          <w:sz w:val="18"/>
          <w:szCs w:val="18"/>
        </w:rPr>
        <w:t xml:space="preserve">Anchored: </w:t>
      </w:r>
      <w:r>
        <w:rPr>
          <w:rFonts w:ascii="Calibri" w:cs="Calibri" w:eastAsia="Calibri" w:hAnsi="Calibri"/>
          <w:sz w:val="18"/>
          <w:szCs w:val="18"/>
        </w:rPr>
        <w:t xml:space="preserve">commercial units placed (arena-split, Low/Base/High by OEM signings) — the $2,499 unit carries most of the royalty.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B26A00"/>
          <w:sz w:val="18"/>
          <w:szCs w:val="18"/>
        </w:rPr>
        <w:t xml:space="preserve">Assumed, pilot-measured: </w:t>
      </w:r>
      <w:r>
        <w:rPr>
          <w:rFonts w:ascii="Calibri" w:cs="Calibri" w:eastAsia="Calibri" w:hAnsi="Calibri"/>
          <w:sz w:val="18"/>
          <w:szCs w:val="18"/>
        </w:rPr>
        <w:t xml:space="preserve">the five office levers, the three café levers, and the Intro/Premier mix. The Direct channel is optional, off by default, least-anchored — not in the base case; upside only, and only after first licensee ship.</w:t>
      </w:r>
    </w:p>
    <w:p>
      <w:pPr>
        <w:pStyle w:val="ListParagraph"/>
        <w:numPr>
          <w:ilvl w:val="0"/>
          <w:numId w:val="1"/>
        </w:numPr>
        <w:spacing w:after="55"/>
      </w:pPr>
      <w:r>
        <w:rPr>
          <w:rFonts w:ascii="Calibri" w:cs="Calibri" w:eastAsia="Calibri" w:hAnsi="Calibri"/>
          <w:b/>
          <w:bCs/>
          <w:color w:val="6B5B4A"/>
          <w:sz w:val="18"/>
          <w:szCs w:val="18"/>
        </w:rPr>
        <w:t xml:space="preserve">Locked: </w:t>
      </w:r>
      <w:r>
        <w:rPr>
          <w:rFonts w:ascii="Calibri" w:cs="Calibri" w:eastAsia="Calibri" w:hAnsi="Calibri"/>
          <w:sz w:val="18"/>
          <w:szCs w:val="18"/>
        </w:rPr>
        <w:t xml:space="preserve">MSRP tiers, net-wholesale basis, and the 5/7/8 royalty band.</w:t>
      </w:r>
    </w:p>
    <w:p>
      <w:pPr>
        <w:spacing w:after="40" w:before="230"/>
      </w:pPr>
      <w:r>
        <w:rPr>
          <w:rFonts w:ascii="Calibri" w:cs="Calibri" w:eastAsia="Calibri" w:hAnsi="Calibri"/>
          <w:b/>
          <w:bCs/>
          <w:color w:val="1A1A1A"/>
          <w:sz w:val="21"/>
          <w:szCs w:val="21"/>
        </w:rPr>
        <w:t xml:space="preserve">Sources &amp; citations</w:t>
      </w:r>
    </w:p>
    <w:p>
      <w:pPr>
        <w:spacing w:after="110"/>
      </w:pPr>
      <w:r>
        <w:rPr>
          <w:rFonts w:ascii="Calibri" w:cs="Calibri" w:eastAsia="Calibri" w:hAnsi="Calibri"/>
          <w:color w:val="6B5B4A"/>
          <w:sz w:val="14"/>
          <w:szCs w:val="14"/>
        </w:rPr>
        <w:t xml:space="preserve">Market anchors verified against named research firms (Sep 2026). The ceiling denominator is a derived figure — dollar size ÷ ASP — labeled as such.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Premium espresso + capsule (global) — $7.40B (2025), CAGR 5.08% (2026–34). </w:t>
      </w:r>
      <w:r>
        <w:rPr>
          <w:rFonts w:ascii="Calibri" w:cs="Calibri" w:eastAsia="Calibri" w:hAnsi="Calibri"/>
          <w:color w:val="5A4636"/>
          <w:sz w:val="14"/>
          <w:szCs w:val="14"/>
        </w:rPr>
        <w:t xml:space="preserve">Fortune Business Insights, Espresso Machine &amp; Capsule Coffee Machine Market (rpt 117856); espresso + capsule, residential + commercial; US 2025 $1.34B. fortunebusinessinsights.com/espresso-machine-and-capsule-coffee-machine-market-117856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Super-automatic bean-to-cup (global) — $1.12B (2024), CAGR 7.2% (2025–33). </w:t>
      </w:r>
      <w:r>
        <w:rPr>
          <w:rFonts w:ascii="Calibri" w:cs="Calibri" w:eastAsia="Calibri" w:hAnsi="Calibri"/>
          <w:color w:val="5A4636"/>
          <w:sz w:val="14"/>
          <w:szCs w:val="14"/>
        </w:rPr>
        <w:t xml:space="preserve">DataHorizzon Research, Bean to Cup Coffee Machines Market (27133); residential + commercial. datahorizzonresearch.com/bean-to-cup-coffee-machines-market-27133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Connected / “smart” (global) — ~$0.4–6.8B range, not cleanly tracked. </w:t>
      </w:r>
      <w:r>
        <w:rPr>
          <w:rFonts w:ascii="Calibri" w:cs="Calibri" w:eastAsia="Calibri" w:hAnsi="Calibri"/>
          <w:color w:val="5A4636"/>
          <w:sz w:val="14"/>
          <w:szCs w:val="14"/>
        </w:rPr>
        <w:t xml:space="preserve">Market.us $396.4M (2023, 16.6%) at the low end; Fact.MR $6.8B (2023 → $10.5B 2033, 4.5%) at the high end; Market Glass / ResearchAndMarkets in between. ~17× spread, definition-driven. market.us/report/smart-coffee-maker-market/</w:t>
      </w:r>
    </w:p>
    <w:p>
      <w:pPr>
        <w:spacing w:after="70"/>
      </w:pPr>
      <w:r>
        <w:rPr>
          <w:rFonts w:ascii="Calibri" w:cs="Calibri" w:eastAsia="Calibri" w:hAnsi="Calibri"/>
          <w:b/>
          <w:bCs/>
          <w:color w:val="1A1A1A"/>
          <w:sz w:val="14"/>
          <w:szCs w:val="14"/>
        </w:rPr>
        <w:t xml:space="preserve">Ceiling denominator — premium shelf ≈ 1.3M units/yr (global) · DERIVED. </w:t>
      </w:r>
      <w:r>
        <w:rPr>
          <w:rFonts w:ascii="Calibri" w:cs="Calibri" w:eastAsia="Calibri" w:hAnsi="Calibri"/>
          <w:color w:val="5A4636"/>
          <w:sz w:val="14"/>
          <w:szCs w:val="14"/>
        </w:rPr>
        <w:t xml:space="preserve">$1.12B super-automatic bean-to-cup (DataHorizzon, 2024) ÷ ~$850 blended consumer ASP (bean-to-cup retail ~$385–$2,500; De’Longhi PrimaDonna $2,499.95) ≈ 1.3M units/yr. Order-of-magnitude guardrail (range ~1.1–1.6M at $700–$1,000 ASP); not a found unit count.</w:t>
      </w:r>
    </w:p>
    <w:p>
      <w:pPr>
        <w:pBdr>
          <w:top w:val="single" w:color="D9CFC6" w:sz="4"/>
        </w:pBdr>
        <w:spacing w:after="0" w:before="130"/>
      </w:pPr>
      <w:r>
        <w:rPr>
          <w:rFonts w:ascii="Calibri" w:cs="Calibri" w:eastAsia="Calibri" w:hAnsi="Calibri"/>
        </w:rPr>
        <w:t xml:space="preserve"/>
      </w:r>
    </w:p>
    <w:p>
      <w:pPr>
        <w:spacing w:before="120"/>
      </w:pPr>
      <w:r>
        <w:rPr>
          <w:rFonts w:ascii="Calibri" w:cs="Calibri" w:eastAsia="Calibri" w:hAnsi="Calibri"/>
          <w:b/>
          <w:bCs/>
          <w:color w:val="5A4636"/>
          <w:sz w:val="14"/>
          <w:szCs w:val="14"/>
        </w:rPr>
        <w:t xml:space="preserve">Mix, not rate, is the largest driver of consumer royalty. </w:t>
      </w:r>
      <w:r>
        <w:rPr>
          <w:rFonts w:ascii="Calibri" w:cs="Calibri" w:eastAsia="Calibri" w:hAnsi="Calibri"/>
          <w:i/>
          <w:iCs/>
          <w:color w:val="6B5B4A"/>
          <w:sz w:val="14"/>
          <w:szCs w:val="14"/>
        </w:rPr>
        <w:t xml:space="preserve">Attach is folded into placements (≈100% within the licensed lane). Consumer volume is seeding-dominated and conditional; the forecast is most sensitive to N (café throughput), the least-anchored input, which the café pilot anchors — one of the 1–2 measured pilots should be a café placement.</w:t>
      </w:r>
    </w:p>
    <w:sectPr>
      <w:pgSz w:w="12240" w:h="15840" w:orient="portrait"/>
      <w:pgMar w:top="1008" w:right="1008" w:bottom="864" w:left="100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Caffevolve Royalty Model — Base Case</dc:title>
  <dc:creator>Caffevolve Royalty Model</dc:creator>
  <cp:lastModifiedBy>Un-named</cp:lastModifiedBy>
  <cp:revision>1</cp:revision>
  <dcterms:created xsi:type="dcterms:W3CDTF">2026-09-06T13:27:01.945Z</dcterms:created>
  <dcterms:modified xsi:type="dcterms:W3CDTF">2026-09-06T13:27:01.946Z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