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Entscheidungsvorlage: Zertifikats- und Secrets-Management Strategie</w:t>
      </w:r>
    </w:p>
    <w:p>
      <w:pPr>
        <w:pStyle w:val="Heading1"/>
      </w:pPr>
      <w:r>
        <w:t>1. Management Summary</w:t>
      </w:r>
    </w:p>
    <w:p>
      <w:r>
        <w:t>In modernen Cloud-Native-Umgebungen stehen wir vor dem Dilemma: Maximale Sicherheit (jedes System hat seinen eigenen Ausweis) gegen maximale Automatisierung (ein Ausweis für alle). Für den Betrieb eines OpenSearch-Clusters unter Berücksichtigung von BSI-Vorgaben ist die Wahl der Zertifikatsstrategie und der Tools zur Geheimnisverwaltung (Secrets Management) entscheidend.</w:t>
      </w:r>
    </w:p>
    <w:p>
      <w:pPr>
        <w:pStyle w:val="Heading1"/>
      </w:pPr>
      <w:r>
        <w:t>2. Vergleich: Zertifikats-Strategien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Aspekt</w:t>
            </w:r>
          </w:p>
        </w:tc>
        <w:tc>
          <w:tcPr>
            <w:tcW w:type="dxa" w:w="2880"/>
          </w:tcPr>
          <w:p>
            <w:r>
              <w:t>Zertifikat pro Node</w:t>
            </w:r>
          </w:p>
        </w:tc>
        <w:tc>
          <w:tcPr>
            <w:tcW w:type="dxa" w:w="2880"/>
          </w:tcPr>
          <w:p>
            <w:r>
              <w:t>Wildcard Zertifikate</w:t>
            </w:r>
          </w:p>
        </w:tc>
      </w:tr>
      <w:tr>
        <w:tc>
          <w:tcPr>
            <w:tcW w:type="dxa" w:w="2880"/>
          </w:tcPr>
          <w:p>
            <w:r>
              <w:t>Sicherheit (BSI)</w:t>
            </w:r>
          </w:p>
        </w:tc>
        <w:tc>
          <w:tcPr>
            <w:tcW w:type="dxa" w:w="2880"/>
          </w:tcPr>
          <w:p>
            <w:r>
              <w:t>Sehr hoch. Isolation nach dem Prinzip der Minimalen Berechtigung.</w:t>
            </w:r>
          </w:p>
        </w:tc>
        <w:tc>
          <w:tcPr>
            <w:tcW w:type="dxa" w:w="2880"/>
          </w:tcPr>
          <w:p>
            <w:r>
              <w:t>Eingeschränkt. Single Point of Failure.</w:t>
            </w:r>
          </w:p>
        </w:tc>
      </w:tr>
      <w:tr>
        <w:tc>
          <w:tcPr>
            <w:tcW w:type="dxa" w:w="2880"/>
          </w:tcPr>
          <w:p>
            <w:r>
              <w:t>Komplexität</w:t>
            </w:r>
          </w:p>
        </w:tc>
        <w:tc>
          <w:tcPr>
            <w:tcW w:type="dxa" w:w="2880"/>
          </w:tcPr>
          <w:p>
            <w:r>
              <w:t>Höher (Aggregation nötig).</w:t>
            </w:r>
          </w:p>
        </w:tc>
        <w:tc>
          <w:tcPr>
            <w:tcW w:type="dxa" w:w="2880"/>
          </w:tcPr>
          <w:p>
            <w:r>
              <w:t>Sehr niedrig.</w:t>
            </w:r>
          </w:p>
        </w:tc>
      </w:tr>
      <w:tr>
        <w:tc>
          <w:tcPr>
            <w:tcW w:type="dxa" w:w="2880"/>
          </w:tcPr>
          <w:p>
            <w:r>
              <w:t>Betrieb/Wartung</w:t>
            </w:r>
          </w:p>
        </w:tc>
        <w:tc>
          <w:tcPr>
            <w:tcW w:type="dxa" w:w="2880"/>
          </w:tcPr>
          <w:p>
            <w:r>
              <w:t>Einmaliger Setup; danach vollautomatisch.</w:t>
            </w:r>
          </w:p>
        </w:tc>
        <w:tc>
          <w:tcPr>
            <w:tcW w:type="dxa" w:w="2880"/>
          </w:tcPr>
          <w:p>
            <w:r>
              <w:t>Geringer Setup; hohes Risiko bei Kompromittierung.</w:t>
            </w:r>
          </w:p>
        </w:tc>
      </w:tr>
    </w:tbl>
    <w:p>
      <w:pPr>
        <w:pStyle w:val="Heading1"/>
      </w:pPr>
      <w:r>
        <w:t>3. Vergleich: Tooling (ESO vs. Terraform)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Tooling</w:t>
            </w:r>
          </w:p>
        </w:tc>
        <w:tc>
          <w:tcPr>
            <w:tcW w:type="dxa" w:w="2880"/>
          </w:tcPr>
          <w:p>
            <w:r>
              <w:t>External Secrets Operator (ESO)</w:t>
            </w:r>
          </w:p>
        </w:tc>
        <w:tc>
          <w:tcPr>
            <w:tcW w:type="dxa" w:w="2880"/>
          </w:tcPr>
          <w:p>
            <w:r>
              <w:t>Terraform (Vault Provider)</w:t>
            </w:r>
          </w:p>
        </w:tc>
      </w:tr>
      <w:tr>
        <w:tc>
          <w:tcPr>
            <w:tcW w:type="dxa" w:w="2880"/>
          </w:tcPr>
          <w:p>
            <w:r>
              <w:t>Modus</w:t>
            </w:r>
          </w:p>
        </w:tc>
        <w:tc>
          <w:tcPr>
            <w:tcW w:type="dxa" w:w="2880"/>
          </w:tcPr>
          <w:p>
            <w:r>
              <w:t>Dynamisch &amp; Pull-basiert (Echtzeit).</w:t>
            </w:r>
          </w:p>
        </w:tc>
        <w:tc>
          <w:tcPr>
            <w:tcW w:type="dxa" w:w="2880"/>
          </w:tcPr>
          <w:p>
            <w:r>
              <w:t>Statisch &amp; Push-basiert (Pipeline).</w:t>
            </w:r>
          </w:p>
        </w:tc>
      </w:tr>
      <w:tr>
        <w:tc>
          <w:tcPr>
            <w:tcW w:type="dxa" w:w="2880"/>
          </w:tcPr>
          <w:p>
            <w:r>
              <w:t>Skalierung</w:t>
            </w:r>
          </w:p>
        </w:tc>
        <w:tc>
          <w:tcPr>
            <w:tcW w:type="dxa" w:w="2880"/>
          </w:tcPr>
          <w:p>
            <w:r>
              <w:t>Wächst automatisch mit (0€ Mehraufwand).</w:t>
            </w:r>
          </w:p>
        </w:tc>
        <w:tc>
          <w:tcPr>
            <w:tcW w:type="dxa" w:w="2880"/>
          </w:tcPr>
          <w:p>
            <w:r>
              <w:t>Manueller Aufwand bei jeder Skalierung.</w:t>
            </w:r>
          </w:p>
        </w:tc>
      </w:tr>
      <w:tr>
        <w:tc>
          <w:tcPr>
            <w:tcW w:type="dxa" w:w="2880"/>
          </w:tcPr>
          <w:p>
            <w:r>
              <w:t>Fehlerquellen</w:t>
            </w:r>
          </w:p>
        </w:tc>
        <w:tc>
          <w:tcPr>
            <w:tcW w:type="dxa" w:w="2880"/>
          </w:tcPr>
          <w:p>
            <w:r>
              <w:t>RBAC/Konfigurations-Themen.</w:t>
            </w:r>
          </w:p>
        </w:tc>
        <w:tc>
          <w:tcPr>
            <w:tcW w:type="dxa" w:w="2880"/>
          </w:tcPr>
          <w:p>
            <w:r>
              <w:t>Configuration Drift / Pipeline-Abhängigkeit.</w:t>
            </w:r>
          </w:p>
        </w:tc>
      </w:tr>
    </w:tbl>
    <w:p>
      <w:pPr>
        <w:pStyle w:val="Heading1"/>
      </w:pPr>
      <w:r>
        <w:t>4. Wirtschaftlichkeitsbetrachtung (TCO)</w:t>
      </w:r>
    </w:p>
    <w:p>
      <w:r>
        <w:t>Die Wahl der Strategie beeinflusst maßgeblich die OpEx (Betriebskosten). Während Wildcard-Zertifikate initial günstig wirken, erhöhen sie die Risikokosten bei Sicherheitsvorfällen massiv. Der Einsatz des ESO automatisiert die Skalierung und senkt langfristig die Arbeitszeitbedarfe der DevOps-Teams.</w:t>
      </w:r>
    </w:p>
    <w:p>
      <w:pPr>
        <w:pStyle w:val="Heading1"/>
      </w:pPr>
      <w:r>
        <w:t>5. Fazit &amp; Empfehlung</w:t>
      </w:r>
    </w:p>
    <w:p>
      <w:r>
        <w:rPr>
          <w:b/>
        </w:rPr>
        <w:t xml:space="preserve">Empfehlung: </w:t>
      </w:r>
      <w:r>
        <w:t>Implementierung von Individual-Zertifikaten pro Node via External Secrets Operator (ESO). Dies vereint BSI-Konformität mit maximaler betrieblicher Effizienz durch ArgoCD-Integration.</w:t>
      </w:r>
    </w:p>
    <w:p>
      <w:pPr>
        <w:pStyle w:val="Heading1"/>
      </w:pPr>
      <w:r>
        <w:t>Quellen</w:t>
      </w:r>
    </w:p>
    <w:p>
      <w:r>
        <w:t>[1] BSI TR-02102-2: Kryptographische Verfahren und Schlüssellängen.</w:t>
      </w:r>
    </w:p>
    <w:p>
      <w:r>
        <w:t>[2] BSI IT-Grundschutz SYS.1.5: Virtualisierung und Container.</w:t>
      </w:r>
    </w:p>
    <w:p>
      <w:r>
        <w:t>[3] External Secrets Operator Documentation: Multi-Tenancy &amp; Scoped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