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2"/>
          <w:szCs w:val="32"/>
        </w:rPr>
        <w:t xml:space="preserve">AUTO SHIELD FI TECNOLOGIA LTDA</w:t>
      </w:r>
    </w:p>
    <w:p>
      <w:pPr>
        <w:spacing w:after="360"/>
        <w:jc w:val="center"/>
      </w:pPr>
      <w:r>
        <w:rPr>
          <w:rFonts w:ascii="Times New Roman" w:cs="Times New Roman" w:eastAsia="Times New Roman" w:hAnsi="Times New Roman"/>
          <w:i/>
          <w:iCs/>
          <w:sz w:val="24"/>
          <w:szCs w:val="24"/>
        </w:rPr>
        <w:t xml:space="preserve">(em constituição)</w:t>
      </w:r>
    </w:p>
    <w:p>
      <w:pPr>
        <w:spacing w:after="120"/>
        <w:jc w:val="center"/>
      </w:pPr>
      <w:r>
        <w:rPr>
          <w:rFonts w:ascii="Times New Roman" w:cs="Times New Roman" w:eastAsia="Times New Roman" w:hAnsi="Times New Roman"/>
          <w:b/>
          <w:bCs/>
          <w:sz w:val="26"/>
          <w:szCs w:val="26"/>
        </w:rPr>
        <w:t xml:space="preserve">DOSSIÊ JURÍDICO-EMPRESARIAL INTEGRAL</w:t>
      </w:r>
    </w:p>
    <w:p>
      <w:pPr>
        <w:spacing w:after="360"/>
        <w:jc w:val="center"/>
      </w:pPr>
      <w:r>
        <w:rPr>
          <w:rFonts w:ascii="Times New Roman" w:cs="Times New Roman" w:eastAsia="Times New Roman" w:hAnsi="Times New Roman"/>
          <w:sz w:val="22"/>
          <w:szCs w:val="22"/>
        </w:rPr>
        <w:t xml:space="preserve">Repositório Mestre de Atos Societários, Regulatórios, Contratuais, Tecnológicos e de Compliance</w:t>
      </w:r>
    </w:p>
    <w:p>
      <w:pPr>
        <w:pBdr>
          <w:top w:val="single" w:color="7F7F7F" w:sz="6" w:space="8"/>
        </w:pBdr>
        <w:spacing w:after="120"/>
        <w:jc w:val="center"/>
      </w:pPr>
      <w:r>
        <w:rPr>
          <w:rFonts w:ascii="Times New Roman" w:cs="Times New Roman" w:eastAsia="Times New Roman" w:hAnsi="Times New Roman"/>
          <w:b/>
          <w:bCs/>
          <w:sz w:val="28"/>
          <w:szCs w:val="28"/>
        </w:rPr>
        <w:t xml:space="preserve">BLOCO B — REGULAÇÃO E RELACIONAMENTO INSTITUCIONAL</w:t>
      </w:r>
    </w:p>
    <w:p>
      <w:pPr>
        <w:spacing w:after="360"/>
        <w:jc w:val="center"/>
      </w:pPr>
      <w:r>
        <w:rPr>
          <w:rFonts w:ascii="Times New Roman" w:cs="Times New Roman" w:eastAsia="Times New Roman" w:hAnsi="Times New Roman"/>
          <w:i/>
          <w:iCs/>
          <w:sz w:val="22"/>
          <w:szCs w:val="22"/>
        </w:rPr>
        <w:t xml:space="preserve">Instrumentos B-01 a B-13</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976"/>
        <w:gridCol w:w="5528"/>
      </w:tblGrid>
      <w:tr>
        <w:trPr>
          <w:cantSplit/>
          <w:tblHeader/>
        </w:trPr>
        <w:tc>
          <w:tcPr>
            <w:tcW w:type="dxa" w:w="2976"/>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Campo</w:t>
            </w:r>
          </w:p>
        </w:tc>
        <w:tc>
          <w:tcPr>
            <w:tcW w:type="dxa" w:w="5528"/>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Conteúdo</w:t>
            </w:r>
          </w:p>
        </w:tc>
      </w:tr>
      <w:tr>
        <w:trPr>
          <w:cantSplit/>
          <w:tblHeader w:val="false"/>
        </w:trPr>
        <w:tc>
          <w:tcPr>
            <w:tcW w:type="dxa" w:w="297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Versão</w:t>
            </w:r>
          </w:p>
        </w:tc>
        <w:tc>
          <w:tcPr>
            <w:tcW w:type="dxa" w:w="552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1.1 (preenchimento de parâmetros e fundamentação normativa)</w:t>
            </w:r>
          </w:p>
        </w:tc>
      </w:tr>
      <w:tr>
        <w:trPr>
          <w:cantSplit/>
          <w:tblHeader w:val="false"/>
        </w:trPr>
        <w:tc>
          <w:tcPr>
            <w:tcW w:type="dxa" w:w="297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Data-base</w:t>
            </w:r>
          </w:p>
        </w:tc>
        <w:tc>
          <w:tcPr>
            <w:tcW w:type="dxa" w:w="552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1º de outubro de 2026</w:t>
            </w:r>
          </w:p>
        </w:tc>
      </w:tr>
      <w:tr>
        <w:trPr>
          <w:cantSplit/>
          <w:tblHeader w:val="false"/>
        </w:trPr>
        <w:tc>
          <w:tcPr>
            <w:tcW w:type="dxa" w:w="297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Natureza</w:t>
            </w:r>
          </w:p>
        </w:tc>
        <w:tc>
          <w:tcPr>
            <w:tcW w:type="dxa" w:w="552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Documentação empresarial em implantação e simulação acadêmico-empresarial</w:t>
            </w:r>
          </w:p>
        </w:tc>
      </w:tr>
      <w:tr>
        <w:trPr>
          <w:cantSplit/>
          <w:tblHeader w:val="false"/>
        </w:trPr>
        <w:tc>
          <w:tcPr>
            <w:tcW w:type="dxa" w:w="297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Classificação</w:t>
            </w:r>
          </w:p>
        </w:tc>
        <w:tc>
          <w:tcPr>
            <w:tcW w:type="dxa" w:w="552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Confidencial — uso corporativo e acadêmico</w:t>
            </w:r>
          </w:p>
        </w:tc>
      </w:tr>
    </w:tbl>
    <w:p>
      <w:pPr>
        <w:spacing w:after="120" w:before="360"/>
      </w:pPr>
      <w:r>
        <w:rPr>
          <w:rFonts w:ascii="Times New Roman" w:cs="Times New Roman" w:eastAsia="Times New Roman" w:hAnsi="Times New Roman"/>
          <w:b/>
          <w:bCs/>
          <w:sz w:val="24"/>
          <w:szCs w:val="24"/>
        </w:rPr>
        <w:t xml:space="preserve">Instrumentos deste volume</w:t>
      </w:r>
    </w:p>
    <w:p>
      <w:pPr>
        <w:spacing w:after="20" w:line="240"/>
        <w:ind w:left="360"/>
      </w:pPr>
      <w:r>
        <w:rPr>
          <w:rFonts w:ascii="Times New Roman" w:cs="Times New Roman" w:eastAsia="Times New Roman" w:hAnsi="Times New Roman"/>
          <w:sz w:val="21"/>
          <w:szCs w:val="21"/>
        </w:rPr>
        <w:t xml:space="preserve">B-01 — MEMORANDO DE ENQUADRAMENTO SUSEP</w:t>
      </w:r>
    </w:p>
    <w:p>
      <w:pPr>
        <w:spacing w:after="20" w:line="240"/>
        <w:ind w:left="360"/>
      </w:pPr>
      <w:r>
        <w:rPr>
          <w:rFonts w:ascii="Times New Roman" w:cs="Times New Roman" w:eastAsia="Times New Roman" w:hAnsi="Times New Roman"/>
          <w:sz w:val="21"/>
          <w:szCs w:val="21"/>
        </w:rPr>
        <w:t xml:space="preserve">B-02 — MEMORANDO DE ENQUADRAMENTO CVM</w:t>
      </w:r>
    </w:p>
    <w:p>
      <w:pPr>
        <w:spacing w:after="20" w:line="240"/>
        <w:ind w:left="360"/>
      </w:pPr>
      <w:r>
        <w:rPr>
          <w:rFonts w:ascii="Times New Roman" w:cs="Times New Roman" w:eastAsia="Times New Roman" w:hAnsi="Times New Roman"/>
          <w:sz w:val="21"/>
          <w:szCs w:val="21"/>
        </w:rPr>
        <w:t xml:space="preserve">B-03 — MEMORANDO BANCO CENTRAL / ATIVOS VIRTUAIS</w:t>
      </w:r>
    </w:p>
    <w:p>
      <w:pPr>
        <w:spacing w:after="20" w:line="240"/>
        <w:ind w:left="360"/>
      </w:pPr>
      <w:r>
        <w:rPr>
          <w:rFonts w:ascii="Times New Roman" w:cs="Times New Roman" w:eastAsia="Times New Roman" w:hAnsi="Times New Roman"/>
          <w:sz w:val="21"/>
          <w:szCs w:val="21"/>
        </w:rPr>
        <w:t xml:space="preserve">B-04 — MATRIZ DE LICENÇAS, AUTORIZAÇÕES E RESPONSÁVEIS</w:t>
      </w:r>
    </w:p>
    <w:p>
      <w:pPr>
        <w:spacing w:after="20" w:line="240"/>
        <w:ind w:left="360"/>
      </w:pPr>
      <w:r>
        <w:rPr>
          <w:rFonts w:ascii="Times New Roman" w:cs="Times New Roman" w:eastAsia="Times New Roman" w:hAnsi="Times New Roman"/>
          <w:sz w:val="21"/>
          <w:szCs w:val="21"/>
        </w:rPr>
        <w:t xml:space="preserve">B-05 — DOSSIÊ PARA SANDBOX REGULATÓRIO</w:t>
      </w:r>
    </w:p>
    <w:p>
      <w:pPr>
        <w:spacing w:after="20" w:line="240"/>
        <w:ind w:left="360"/>
      </w:pPr>
      <w:r>
        <w:rPr>
          <w:rFonts w:ascii="Times New Roman" w:cs="Times New Roman" w:eastAsia="Times New Roman" w:hAnsi="Times New Roman"/>
          <w:sz w:val="21"/>
          <w:szCs w:val="21"/>
        </w:rPr>
        <w:t xml:space="preserve">B-06 — CONTRATO DE PARCERIA COM ENTIDADE REGULADA</w:t>
      </w:r>
    </w:p>
    <w:p>
      <w:pPr>
        <w:spacing w:after="20" w:line="240"/>
        <w:ind w:left="360"/>
      </w:pPr>
      <w:r>
        <w:rPr>
          <w:rFonts w:ascii="Times New Roman" w:cs="Times New Roman" w:eastAsia="Times New Roman" w:hAnsi="Times New Roman"/>
          <w:sz w:val="21"/>
          <w:szCs w:val="21"/>
        </w:rPr>
        <w:t xml:space="preserve">B-07 — ESTATUTO DA ASSOCIAÇÃO DE PROTEÇÃO PATRIMONIAL MUTUALISTA</w:t>
      </w:r>
    </w:p>
    <w:p>
      <w:pPr>
        <w:spacing w:after="20" w:line="240"/>
        <w:ind w:left="360"/>
      </w:pPr>
      <w:r>
        <w:rPr>
          <w:rFonts w:ascii="Times New Roman" w:cs="Times New Roman" w:eastAsia="Times New Roman" w:hAnsi="Times New Roman"/>
          <w:sz w:val="21"/>
          <w:szCs w:val="21"/>
        </w:rPr>
        <w:t xml:space="preserve">B-08 — REGULAMENTO DO GRUPO MUTUALISTA</w:t>
      </w:r>
    </w:p>
    <w:p>
      <w:pPr>
        <w:spacing w:after="20" w:line="240"/>
        <w:ind w:left="360"/>
      </w:pPr>
      <w:r>
        <w:rPr>
          <w:rFonts w:ascii="Times New Roman" w:cs="Times New Roman" w:eastAsia="Times New Roman" w:hAnsi="Times New Roman"/>
          <w:sz w:val="21"/>
          <w:szCs w:val="21"/>
        </w:rPr>
        <w:t xml:space="preserve">B-09 — CONTRATO ASSOCIAÇÃO–ADMINISTRADORA</w:t>
      </w:r>
    </w:p>
    <w:p>
      <w:pPr>
        <w:spacing w:after="20" w:line="240"/>
        <w:ind w:left="360"/>
      </w:pPr>
      <w:r>
        <w:rPr>
          <w:rFonts w:ascii="Times New Roman" w:cs="Times New Roman" w:eastAsia="Times New Roman" w:hAnsi="Times New Roman"/>
          <w:sz w:val="21"/>
          <w:szCs w:val="21"/>
        </w:rPr>
        <w:t xml:space="preserve">B-10 — POLÍTICA DE SELEÇÃO E FISCALIZAÇÃO DA ADMINISTRADORA</w:t>
      </w:r>
    </w:p>
    <w:p>
      <w:pPr>
        <w:spacing w:after="20" w:line="240"/>
        <w:ind w:left="360"/>
      </w:pPr>
      <w:r>
        <w:rPr>
          <w:rFonts w:ascii="Times New Roman" w:cs="Times New Roman" w:eastAsia="Times New Roman" w:hAnsi="Times New Roman"/>
          <w:sz w:val="21"/>
          <w:szCs w:val="21"/>
        </w:rPr>
        <w:t xml:space="preserve">B-11 — MANUAL DE GOVERNANÇA DO GRUPO MUTUALISTA</w:t>
      </w:r>
    </w:p>
    <w:p>
      <w:pPr>
        <w:spacing w:after="20" w:line="240"/>
        <w:ind w:left="360"/>
      </w:pPr>
      <w:r>
        <w:rPr>
          <w:rFonts w:ascii="Times New Roman" w:cs="Times New Roman" w:eastAsia="Times New Roman" w:hAnsi="Times New Roman"/>
          <w:sz w:val="21"/>
          <w:szCs w:val="21"/>
        </w:rPr>
        <w:t xml:space="preserve">B-12 — PLANO DE SAÍDA ORDENADA — RUN-OFF</w:t>
      </w:r>
    </w:p>
    <w:p>
      <w:pPr>
        <w:spacing w:after="20" w:line="240"/>
        <w:ind w:left="360"/>
      </w:pPr>
      <w:r>
        <w:rPr>
          <w:rFonts w:ascii="Times New Roman" w:cs="Times New Roman" w:eastAsia="Times New Roman" w:hAnsi="Times New Roman"/>
          <w:sz w:val="21"/>
          <w:szCs w:val="21"/>
        </w:rPr>
        <w:t xml:space="preserve">B-13 — RELATÓRIO TRIMESTRAL DE ADEQUAÇÃO REGULATÓRIA</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B-01 — MEMORANDO DE ENQUADRAMENTO SUSEP</w:t>
      </w:r>
    </w:p>
    <w:p>
      <w:pPr>
        <w:pBdr>
          <w:top w:val="single" w:color="404040" w:sz="8" w:space="4"/>
          <w:bottom w:val="single" w:color="404040" w:sz="8" w:space="4"/>
        </w:pBdr>
        <w:shd w:fill="EDEDED" w:color="auto" w:val="clear"/>
        <w:spacing w:after="180" w:before="60" w:line="276"/>
        <w:jc w:val="center"/>
      </w:pPr>
      <w:r>
        <w:rPr>
          <w:rFonts w:ascii="Times New Roman" w:cs="Times New Roman" w:eastAsia="Times New Roman" w:hAnsi="Times New Roman"/>
          <w:b/>
          <w:bCs/>
          <w:sz w:val="20"/>
          <w:szCs w:val="20"/>
        </w:rPr>
        <w:t xml:space="preserve">DOCUMENTO INTERNO DE ANÁLISE — NÃO EQUIVALE A PARECER DA SUSEP</w:t>
      </w:r>
    </w:p>
    <w:p>
      <w:pPr>
        <w:pStyle w:val="Heading2"/>
        <w:keepNext/>
        <w:spacing w:after="120" w:before="240" w:line="300"/>
      </w:pPr>
      <w:r>
        <w:rPr>
          <w:rFonts w:ascii="Times New Roman" w:cs="Times New Roman" w:eastAsia="Times New Roman" w:hAnsi="Times New Roman"/>
          <w:b/>
          <w:bCs/>
          <w:sz w:val="24"/>
          <w:szCs w:val="24"/>
        </w:rPr>
        <w:t xml:space="preserve">QUESTÃO</w:t>
      </w:r>
    </w:p>
    <w:p>
      <w:pPr>
        <w:spacing w:after="120" w:line="360"/>
        <w:jc w:val="both"/>
      </w:pPr>
      <w:r>
        <w:rPr>
          <w:rFonts w:ascii="Times New Roman" w:cs="Times New Roman" w:eastAsia="Times New Roman" w:hAnsi="Times New Roman"/>
          <w:sz w:val="24"/>
          <w:szCs w:val="24"/>
        </w:rPr>
        <w:t xml:space="preserve">Determinar os limites de atuação da Auto Shield Fi diante do regime de seguros privados e de proteção patrimonial mutualista.</w:t>
      </w:r>
    </w:p>
    <w:p>
      <w:pPr>
        <w:pStyle w:val="Heading2"/>
        <w:keepNext/>
        <w:spacing w:after="120" w:before="240" w:line="300"/>
      </w:pPr>
      <w:r>
        <w:rPr>
          <w:rFonts w:ascii="Times New Roman" w:cs="Times New Roman" w:eastAsia="Times New Roman" w:hAnsi="Times New Roman"/>
          <w:b/>
          <w:bCs/>
          <w:sz w:val="24"/>
          <w:szCs w:val="24"/>
        </w:rPr>
        <w:t xml:space="preserve">PREMISSA</w:t>
      </w:r>
    </w:p>
    <w:p>
      <w:pPr>
        <w:spacing w:after="120" w:line="360"/>
        <w:jc w:val="both"/>
      </w:pPr>
      <w:r>
        <w:rPr>
          <w:rFonts w:ascii="Times New Roman" w:cs="Times New Roman" w:eastAsia="Times New Roman" w:hAnsi="Times New Roman"/>
          <w:sz w:val="24"/>
          <w:szCs w:val="24"/>
        </w:rPr>
        <w:t xml:space="preserve">A sociedade limitada fornece software e não deverá figurar como garantidora de risco, seguradora, administradora de grupo mutualista ou destinatária das contribuições dos participantes.</w:t>
      </w:r>
    </w:p>
    <w:p>
      <w:pPr>
        <w:pStyle w:val="Heading2"/>
        <w:keepNext/>
        <w:spacing w:after="120" w:before="240" w:line="300"/>
      </w:pPr>
      <w:r>
        <w:rPr>
          <w:rFonts w:ascii="Times New Roman" w:cs="Times New Roman" w:eastAsia="Times New Roman" w:hAnsi="Times New Roman"/>
          <w:b/>
          <w:bCs/>
          <w:sz w:val="24"/>
          <w:szCs w:val="24"/>
        </w:rPr>
        <w:t xml:space="preserve">FUNDAMENTAÇÃO NORMATIVA</w:t>
      </w:r>
    </w:p>
    <w:p>
      <w:pPr>
        <w:spacing w:after="120" w:line="360"/>
        <w:jc w:val="both"/>
      </w:pPr>
      <w:r>
        <w:rPr>
          <w:rFonts w:ascii="Times New Roman" w:cs="Times New Roman" w:eastAsia="Times New Roman" w:hAnsi="Times New Roman"/>
          <w:b/>
          <w:bCs/>
          <w:sz w:val="24"/>
          <w:szCs w:val="24"/>
        </w:rPr>
        <w:t xml:space="preserve">Decreto-Lei nº 73/1966, com a redação da Lei Complementar nº 213/2025.</w:t>
      </w:r>
      <w:r>
        <w:rPr>
          <w:rFonts w:ascii="Times New Roman" w:cs="Times New Roman" w:eastAsia="Times New Roman" w:hAnsi="Times New Roman"/>
          <w:sz w:val="24"/>
          <w:szCs w:val="24"/>
        </w:rPr>
        <w:t xml:space="preserve"> Todas as operações de seguros privados e de proteção patrimonial mutualista realizadas no País subordinam-se ao Decreto-Lei (art. 1º). Somente sociedades anônimas ou cooperativas devidamente autorizadas podem operar em seguros privados (art. 24).</w:t>
      </w:r>
    </w:p>
    <w:p>
      <w:pPr>
        <w:spacing w:after="120" w:line="360"/>
        <w:jc w:val="both"/>
      </w:pPr>
      <w:r>
        <w:rPr>
          <w:rFonts w:ascii="Times New Roman" w:cs="Times New Roman" w:eastAsia="Times New Roman" w:hAnsi="Times New Roman"/>
          <w:b/>
          <w:bCs/>
          <w:sz w:val="24"/>
          <w:szCs w:val="24"/>
        </w:rPr>
        <w:t xml:space="preserve">Lei Complementar nº 213, de 15 de janeiro de 2025.</w:t>
      </w:r>
      <w:r>
        <w:rPr>
          <w:rFonts w:ascii="Times New Roman" w:cs="Times New Roman" w:eastAsia="Times New Roman" w:hAnsi="Times New Roman"/>
          <w:sz w:val="24"/>
          <w:szCs w:val="24"/>
        </w:rPr>
        <w:t xml:space="preserve"> Instituiu o regime da proteção patrimonial mutualista, com estrutura em três níveis: (i) a associação, pessoa jurídica sem fins lucrativos que organiza os grupos e representa os participantes; (ii) o grupo de proteção patrimonial mutualista, com patrimônio segregado e independente da associação, da administradora e dos participantes; e (iii) a administradora de operações de proteção patrimonial mutualista, previamente autorizada pela SUSEP.</w:t>
      </w:r>
    </w:p>
    <w:p>
      <w:pPr>
        <w:spacing w:after="120" w:line="360"/>
        <w:jc w:val="both"/>
      </w:pPr>
      <w:r>
        <w:rPr>
          <w:rFonts w:ascii="Times New Roman" w:cs="Times New Roman" w:eastAsia="Times New Roman" w:hAnsi="Times New Roman"/>
          <w:b/>
          <w:bCs/>
          <w:sz w:val="24"/>
          <w:szCs w:val="24"/>
        </w:rPr>
        <w:t xml:space="preserve">Resolução CNSP nº 491, de 4 de maio de 2026</w:t>
      </w:r>
      <w:r>
        <w:rPr>
          <w:rFonts w:ascii="Times New Roman" w:cs="Times New Roman" w:eastAsia="Times New Roman" w:hAnsi="Times New Roman"/>
          <w:sz w:val="24"/>
          <w:szCs w:val="24"/>
        </w:rPr>
        <w:t xml:space="preserve"> (DOU de 6/5/2026, em vigor na data da publicação), que estabelece as normas gerais das operações de proteção patrimonial mutualista: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arts. 5º e 8º — a administração das operações é privativa de administradora constituída como sociedade por ações, com objeto social exclusivo e autorização prévia da SUSEP;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art. 6º — a administradora não pode ter como acionistas, direta ou indiretamente, pessoas que exerçam funções nas associações vinculadas aos grupos que administra, nem as próprias associações contratantes;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art. 13 — a proteção mutualista somente pode cobrir danos patrimoniais de casco de veículos, responsabilidade civil a terceiros decorrente de acidentes com veículos protegidos e assistências vinculadas a essas coberturas;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art. 22 — prazo máximo de 90 dias para regulação e liquidação de eventos, contados da comunicação e da entrega da documentação prevista no contrato de participação;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art. 26 — as associações podem atuar na intermediação dos contratos de participação, diretamente ou por terceiros, sob responsabilidade da administradora;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arts. 81 a 87 — segregação patrimonial entre administradora e grupos, com custódia e registro dos ativos garantidores em contas específicas;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art. 106 — obrigatoriedade de política de segurança cibernética da administradora;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vedação à administradora e às suas partes relacionadas de intermediar contratos de participação, inclusive de receber comissões ou remuneração vinculada, direta ou indiretamente, à intermediação;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art. 2º — transição de 24 meses para adequação das associações; cessação voluntária em até 180 dias da publicação.</w:t>
      </w:r>
    </w:p>
    <w:p>
      <w:pPr>
        <w:spacing w:after="120" w:line="360"/>
        <w:jc w:val="both"/>
      </w:pPr>
      <w:r>
        <w:rPr>
          <w:rFonts w:ascii="Times New Roman" w:cs="Times New Roman" w:eastAsia="Times New Roman" w:hAnsi="Times New Roman"/>
          <w:b/>
          <w:bCs/>
          <w:sz w:val="24"/>
          <w:szCs w:val="24"/>
        </w:rPr>
        <w:t xml:space="preserve">Resolução CNSP nº 422/2021, art. 12.</w:t>
      </w:r>
      <w:r>
        <w:rPr>
          <w:rFonts w:ascii="Times New Roman" w:cs="Times New Roman" w:eastAsia="Times New Roman" w:hAnsi="Times New Roman"/>
          <w:sz w:val="24"/>
          <w:szCs w:val="24"/>
        </w:rPr>
        <w:t xml:space="preserve"> O pedido de autorização de funcionamento perante a SUSEP inicia-se com reunião de apresentação técnica do projeto.</w:t>
      </w:r>
    </w:p>
    <w:p>
      <w:pPr>
        <w:pStyle w:val="Heading2"/>
        <w:keepNext/>
        <w:spacing w:after="120" w:before="240" w:line="300"/>
      </w:pPr>
      <w:r>
        <w:rPr>
          <w:rFonts w:ascii="Times New Roman" w:cs="Times New Roman" w:eastAsia="Times New Roman" w:hAnsi="Times New Roman"/>
          <w:b/>
          <w:bCs/>
          <w:sz w:val="24"/>
          <w:szCs w:val="24"/>
        </w:rPr>
        <w:t xml:space="preserve">ROTA A — SEGURO</w:t>
      </w:r>
    </w:p>
    <w:p>
      <w:pPr>
        <w:spacing w:after="120" w:line="360"/>
        <w:jc w:val="both"/>
      </w:pPr>
      <w:r>
        <w:rPr>
          <w:rFonts w:ascii="Times New Roman" w:cs="Times New Roman" w:eastAsia="Times New Roman" w:hAnsi="Times New Roman"/>
          <w:sz w:val="24"/>
          <w:szCs w:val="24"/>
        </w:rPr>
        <w:t xml:space="preserve">A entidade seguradora: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assume o risco;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emite e administra os contratos;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constitui provisões;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decide a regulação conforme sua governança;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recebe os fluxos próprios da operação.</w:t>
      </w:r>
    </w:p>
    <w:p>
      <w:pPr>
        <w:spacing w:after="120" w:line="360"/>
        <w:jc w:val="both"/>
      </w:pPr>
      <w:r>
        <w:rPr>
          <w:rFonts w:ascii="Times New Roman" w:cs="Times New Roman" w:eastAsia="Times New Roman" w:hAnsi="Times New Roman"/>
          <w:sz w:val="24"/>
          <w:szCs w:val="24"/>
        </w:rPr>
        <w:t xml:space="preserve">A Auto Shield Fi limita-se ao licenciamento tecnológico.</w:t>
      </w:r>
    </w:p>
    <w:p>
      <w:pPr>
        <w:pStyle w:val="Heading2"/>
        <w:keepNext/>
        <w:spacing w:after="120" w:before="240" w:line="300"/>
      </w:pPr>
      <w:r>
        <w:rPr>
          <w:rFonts w:ascii="Times New Roman" w:cs="Times New Roman" w:eastAsia="Times New Roman" w:hAnsi="Times New Roman"/>
          <w:b/>
          <w:bCs/>
          <w:sz w:val="24"/>
          <w:szCs w:val="24"/>
        </w:rPr>
        <w:t xml:space="preserve">ROTA B — PROTEÇÃO PATRIMONIAL MUTUALISTA</w:t>
      </w:r>
    </w:p>
    <w:p>
      <w:pPr>
        <w:spacing w:after="120" w:line="360"/>
        <w:jc w:val="both"/>
      </w:pPr>
      <w:r>
        <w:rPr>
          <w:rFonts w:ascii="Times New Roman" w:cs="Times New Roman" w:eastAsia="Times New Roman" w:hAnsi="Times New Roman"/>
          <w:sz w:val="24"/>
          <w:szCs w:val="24"/>
        </w:rPr>
        <w:t xml:space="preserve">A Associação constitui o vínculo associativo e o grupo dentro do arranjo permitido.</w:t>
      </w:r>
    </w:p>
    <w:p>
      <w:pPr>
        <w:spacing w:after="120" w:line="360"/>
        <w:jc w:val="both"/>
      </w:pPr>
      <w:r>
        <w:rPr>
          <w:rFonts w:ascii="Times New Roman" w:cs="Times New Roman" w:eastAsia="Times New Roman" w:hAnsi="Times New Roman"/>
          <w:sz w:val="24"/>
          <w:szCs w:val="24"/>
        </w:rPr>
        <w:t xml:space="preserve">A gestão operacional, financeira, atuarial e regulatória ficará com administradora de operações de proteção patrimonial mutualista autorizada pela SUSEP, na extensão exigida pela LC nº 213/2025 e pela Resolução CNSP nº 491/2026.</w:t>
      </w:r>
    </w:p>
    <w:p>
      <w:pPr>
        <w:spacing w:after="120" w:line="360"/>
        <w:jc w:val="both"/>
      </w:pPr>
      <w:r>
        <w:rPr>
          <w:rFonts w:ascii="Times New Roman" w:cs="Times New Roman" w:eastAsia="Times New Roman" w:hAnsi="Times New Roman"/>
          <w:sz w:val="24"/>
          <w:szCs w:val="24"/>
        </w:rPr>
        <w:t xml:space="preserve">O escopo do produto limita-se às coberturas admitidas no art. 13 da Resolução CNSP nº 491/2026 (casco veicular, responsabilidade civil a terceiros e assistências vinculadas), o que é compatível com o produto veicular descrito no Bloco C.</w:t>
      </w:r>
    </w:p>
    <w:p>
      <w:pPr>
        <w:pStyle w:val="Heading2"/>
        <w:keepNext/>
        <w:spacing w:after="120" w:before="240" w:line="300"/>
      </w:pPr>
      <w:r>
        <w:rPr>
          <w:rFonts w:ascii="Times New Roman" w:cs="Times New Roman" w:eastAsia="Times New Roman" w:hAnsi="Times New Roman"/>
          <w:b/>
          <w:bCs/>
          <w:sz w:val="24"/>
          <w:szCs w:val="24"/>
        </w:rPr>
        <w:t xml:space="preserve">IMPLICAÇÕES PARA A AUTO SHIELD FI</w:t>
      </w:r>
    </w:p>
    <w:p>
      <w:pPr>
        <w:spacing w:after="80" w:line="360"/>
        <w:ind w:left="709" w:hanging="425"/>
        <w:jc w:val="both"/>
      </w:pPr>
      <w:r>
        <w:rPr>
          <w:rFonts w:ascii="Times New Roman" w:cs="Times New Roman" w:eastAsia="Times New Roman" w:hAnsi="Times New Roman"/>
          <w:sz w:val="24"/>
          <w:szCs w:val="24"/>
        </w:rPr>
        <w:t xml:space="preserve">1. A sociedade limitada não pode ser administradora de proteção mutualista: a função exige sociedade por ações com objeto exclusivo e autorização da SUSEP. A Rota B só é viável com administradora já autorizada.</w:t>
      </w:r>
    </w:p>
    <w:p>
      <w:pPr>
        <w:spacing w:after="80" w:line="360"/>
        <w:ind w:left="709" w:hanging="425"/>
        <w:jc w:val="both"/>
      </w:pPr>
      <w:r>
        <w:rPr>
          <w:rFonts w:ascii="Times New Roman" w:cs="Times New Roman" w:eastAsia="Times New Roman" w:hAnsi="Times New Roman"/>
          <w:sz w:val="24"/>
          <w:szCs w:val="24"/>
        </w:rPr>
        <w:t xml:space="preserve">2. A remuneração da Auto Shield Fi deve permanecer tecnológica (licença e métrica de uso da plataforma) e não pode ser vinculada à angariação ou à quantidade de contratos vendidos, para não caracterizar intermediação. Se a Sociedade vier a ser parte relacionada da administradora, a vedação de remuneração por intermediação incide diretamente.</w:t>
      </w:r>
    </w:p>
    <w:p>
      <w:pPr>
        <w:spacing w:after="80" w:line="360"/>
        <w:ind w:left="709" w:hanging="425"/>
        <w:jc w:val="both"/>
      </w:pPr>
      <w:r>
        <w:rPr>
          <w:rFonts w:ascii="Times New Roman" w:cs="Times New Roman" w:eastAsia="Times New Roman" w:hAnsi="Times New Roman"/>
          <w:sz w:val="24"/>
          <w:szCs w:val="24"/>
        </w:rPr>
        <w:t xml:space="preserve">3. Fundadores não devem exercer cargos na associação contratante enquanto a Sociedade for fornecedora da administradora; se isso ocorrer, a situação será tratada como parte relacionada (A-11) e reavaliada à luz do art. 6º da Resolução.</w:t>
      </w:r>
    </w:p>
    <w:p>
      <w:pPr>
        <w:spacing w:after="80" w:line="360"/>
        <w:ind w:left="709" w:hanging="425"/>
        <w:jc w:val="both"/>
      </w:pPr>
      <w:r>
        <w:rPr>
          <w:rFonts w:ascii="Times New Roman" w:cs="Times New Roman" w:eastAsia="Times New Roman" w:hAnsi="Times New Roman"/>
          <w:sz w:val="24"/>
          <w:szCs w:val="24"/>
        </w:rPr>
        <w:t xml:space="preserve">4. Os controles cibernéticos exigidos da administradora (art. 106) serão refletidos contratualmente nas obrigações da Auto Shield Fi como fornecedora crítica (B-06 e E-10).</w:t>
      </w:r>
    </w:p>
    <w:p>
      <w:pPr>
        <w:spacing w:after="80" w:line="360"/>
        <w:ind w:left="709" w:hanging="425"/>
        <w:jc w:val="both"/>
      </w:pPr>
      <w:r>
        <w:rPr>
          <w:rFonts w:ascii="Times New Roman" w:cs="Times New Roman" w:eastAsia="Times New Roman" w:hAnsi="Times New Roman"/>
          <w:sz w:val="24"/>
          <w:szCs w:val="24"/>
        </w:rPr>
        <w:t xml:space="preserve">5. O prazo de 90 dias do art. 22 orienta o fluxo do Manual de Regulação (C-08).</w:t>
      </w:r>
    </w:p>
    <w:p>
      <w:pPr>
        <w:pStyle w:val="Heading2"/>
        <w:keepNext/>
        <w:spacing w:after="120" w:before="240" w:line="300"/>
      </w:pPr>
      <w:r>
        <w:rPr>
          <w:rFonts w:ascii="Times New Roman" w:cs="Times New Roman" w:eastAsia="Times New Roman" w:hAnsi="Times New Roman"/>
          <w:b/>
          <w:bCs/>
          <w:sz w:val="24"/>
          <w:szCs w:val="24"/>
        </w:rPr>
        <w:t xml:space="preserve">CONCLUSÃO</w:t>
      </w:r>
    </w:p>
    <w:p>
      <w:pPr>
        <w:spacing w:after="120" w:line="360"/>
        <w:jc w:val="both"/>
      </w:pPr>
      <w:r>
        <w:rPr>
          <w:rFonts w:ascii="Times New Roman" w:cs="Times New Roman" w:eastAsia="Times New Roman" w:hAnsi="Times New Roman"/>
          <w:sz w:val="24"/>
          <w:szCs w:val="24"/>
        </w:rPr>
        <w:t xml:space="preserve">O enquadramento tecnológico depende da substância da atividade, e não do nome do contrato.</w:t>
      </w:r>
    </w:p>
    <w:p>
      <w:pPr>
        <w:spacing w:after="120" w:line="360"/>
        <w:jc w:val="both"/>
      </w:pPr>
      <w:r>
        <w:rPr>
          <w:rFonts w:ascii="Times New Roman" w:cs="Times New Roman" w:eastAsia="Times New Roman" w:hAnsi="Times New Roman"/>
          <w:sz w:val="24"/>
          <w:szCs w:val="24"/>
        </w:rPr>
        <w:t xml:space="preserve">Se a Auto Shield Fi passar a assumir risco, arrecadar contribuições, regular obrigações em nome próprio ou administrar o fundo do grupo, deverá ser realizada nova análise e obtidas as autorizações correspondentes.</w:t>
      </w:r>
    </w:p>
    <w:p>
      <w:pPr>
        <w:pBdr>
          <w:left w:val="single" w:color="8C8C8C" w:sz="12" w:space="8"/>
        </w:pBdr>
        <w:spacing w:after="100" w:line="276"/>
        <w:ind w:left="360"/>
        <w:jc w:val="both"/>
      </w:pPr>
      <w:r>
        <w:rPr>
          <w:rFonts w:ascii="Times New Roman" w:cs="Times New Roman" w:eastAsia="Times New Roman" w:hAnsi="Times New Roman"/>
          <w:sz w:val="21"/>
          <w:szCs w:val="21"/>
        </w:rPr>
        <w:t xml:space="preserve">Data de corte da pesquisa normativa: 1º/10/2026. Antes de uso externo, conferir o texto integral da Resolução CNSP nº 491/2026 no Diário Oficial da União e eventuais normas complementares da SUSEP.</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B-02 — MEMORANDO DE ENQUADRAMENTO CVM</w:t>
      </w:r>
    </w:p>
    <w:p>
      <w:pPr>
        <w:pBdr>
          <w:top w:val="single" w:color="404040" w:sz="8" w:space="4"/>
          <w:bottom w:val="single" w:color="404040" w:sz="8" w:space="4"/>
        </w:pBdr>
        <w:shd w:fill="EDEDED" w:color="auto" w:val="clear"/>
        <w:spacing w:after="180" w:before="60" w:line="276"/>
        <w:jc w:val="center"/>
      </w:pPr>
      <w:r>
        <w:rPr>
          <w:rFonts w:ascii="Times New Roman" w:cs="Times New Roman" w:eastAsia="Times New Roman" w:hAnsi="Times New Roman"/>
          <w:b/>
          <w:bCs/>
          <w:sz w:val="20"/>
          <w:szCs w:val="20"/>
        </w:rPr>
        <w:t xml:space="preserve">DOCUMENTO INTERNO DE ANÁLISE — NÃO EQUIVALE A MANIFESTAÇÃO DA CVM</w:t>
      </w:r>
    </w:p>
    <w:p>
      <w:pPr>
        <w:pStyle w:val="Heading2"/>
        <w:keepNext/>
        <w:spacing w:after="120" w:before="240" w:line="300"/>
      </w:pPr>
      <w:r>
        <w:rPr>
          <w:rFonts w:ascii="Times New Roman" w:cs="Times New Roman" w:eastAsia="Times New Roman" w:hAnsi="Times New Roman"/>
          <w:b/>
          <w:bCs/>
          <w:sz w:val="24"/>
          <w:szCs w:val="24"/>
        </w:rPr>
        <w:t xml:space="preserve">OBJETO</w:t>
      </w:r>
    </w:p>
    <w:p>
      <w:pPr>
        <w:spacing w:after="120" w:line="360"/>
        <w:jc w:val="both"/>
      </w:pPr>
      <w:r>
        <w:rPr>
          <w:rFonts w:ascii="Times New Roman" w:cs="Times New Roman" w:eastAsia="Times New Roman" w:hAnsi="Times New Roman"/>
          <w:sz w:val="24"/>
          <w:szCs w:val="24"/>
        </w:rPr>
        <w:t xml:space="preserve">Avaliar tokens, cotas Sênior/Júnior e mecanismos de aporte à luz do regime do mercado de valores mobiliários.</w:t>
      </w:r>
    </w:p>
    <w:p>
      <w:pPr>
        <w:pStyle w:val="Heading2"/>
        <w:keepNext/>
        <w:spacing w:after="120" w:before="240" w:line="300"/>
      </w:pPr>
      <w:r>
        <w:rPr>
          <w:rFonts w:ascii="Times New Roman" w:cs="Times New Roman" w:eastAsia="Times New Roman" w:hAnsi="Times New Roman"/>
          <w:b/>
          <w:bCs/>
          <w:sz w:val="24"/>
          <w:szCs w:val="24"/>
        </w:rPr>
        <w:t xml:space="preserve">FUNDAMENTAÇÃO NORMATIVA</w:t>
      </w:r>
    </w:p>
    <w:p>
      <w:pPr>
        <w:spacing w:after="120" w:line="360"/>
        <w:jc w:val="both"/>
      </w:pPr>
      <w:r>
        <w:rPr>
          <w:rFonts w:ascii="Times New Roman" w:cs="Times New Roman" w:eastAsia="Times New Roman" w:hAnsi="Times New Roman"/>
          <w:b/>
          <w:bCs/>
          <w:sz w:val="24"/>
          <w:szCs w:val="24"/>
        </w:rPr>
        <w:t xml:space="preserve">Lei nº 6.385/1976, art. 2º, IX.</w:t>
      </w:r>
      <w:r>
        <w:rPr>
          <w:rFonts w:ascii="Times New Roman" w:cs="Times New Roman" w:eastAsia="Times New Roman" w:hAnsi="Times New Roman"/>
          <w:sz w:val="24"/>
          <w:szCs w:val="24"/>
        </w:rPr>
        <w:t xml:space="preserve"> São valores mobiliários, quando ofertados publicamente, quaisquer títulos ou contratos de investimento coletivo que gerem direito de participação, de parceria ou de remuneração, inclusive resultante de prestação de serviços, cujos rendimentos advêm do esforço do empreendedor ou de terceiros.</w:t>
      </w:r>
    </w:p>
    <w:p>
      <w:pPr>
        <w:spacing w:after="120" w:line="360"/>
        <w:jc w:val="both"/>
      </w:pPr>
      <w:r>
        <w:rPr>
          <w:rFonts w:ascii="Times New Roman" w:cs="Times New Roman" w:eastAsia="Times New Roman" w:hAnsi="Times New Roman"/>
          <w:b/>
          <w:bCs/>
          <w:sz w:val="24"/>
          <w:szCs w:val="24"/>
        </w:rPr>
        <w:t xml:space="preserve">Parecer de Orientação CVM nº 40/2022.</w:t>
      </w:r>
      <w:r>
        <w:rPr>
          <w:rFonts w:ascii="Times New Roman" w:cs="Times New Roman" w:eastAsia="Times New Roman" w:hAnsi="Times New Roman"/>
          <w:sz w:val="24"/>
          <w:szCs w:val="24"/>
        </w:rPr>
        <w:t xml:space="preserve"> Consolida o entendimento da CVM sobre criptoativos: a qualificação como valor mobiliário independe da tecnologia e decorre da essência econômica do ativo. O Parecer adota taxonomia funcional (tokens de pagamento, de utilidade e referenciados a ativos) e reconhece que um criptoativo será valor mobiliário quando representar digitalmente um dos valores mobiliários do art. 2º da Lei nº 6.385/1976 ou quando se caracterizar como contrato de investimento coletivo.</w:t>
      </w:r>
    </w:p>
    <w:p>
      <w:pPr>
        <w:spacing w:after="120" w:line="360"/>
        <w:jc w:val="both"/>
      </w:pPr>
      <w:r>
        <w:rPr>
          <w:rFonts w:ascii="Times New Roman" w:cs="Times New Roman" w:eastAsia="Times New Roman" w:hAnsi="Times New Roman"/>
          <w:b/>
          <w:bCs/>
          <w:sz w:val="24"/>
          <w:szCs w:val="24"/>
        </w:rPr>
        <w:t xml:space="preserve">Ofício-Circular CVM/SSE nº 4/2023.</w:t>
      </w:r>
      <w:r>
        <w:rPr>
          <w:rFonts w:ascii="Times New Roman" w:cs="Times New Roman" w:eastAsia="Times New Roman" w:hAnsi="Times New Roman"/>
          <w:sz w:val="24"/>
          <w:szCs w:val="24"/>
        </w:rPr>
        <w:t xml:space="preserve"> Aplica os mesmos critérios a tokens de recebíveis e de renda fixa e reforça o dever de ampla e adequada informação (full and fair disclosure).</w:t>
      </w:r>
    </w:p>
    <w:p>
      <w:pPr>
        <w:spacing w:after="120" w:line="360"/>
        <w:jc w:val="both"/>
      </w:pPr>
      <w:r>
        <w:rPr>
          <w:rFonts w:ascii="Times New Roman" w:cs="Times New Roman" w:eastAsia="Times New Roman" w:hAnsi="Times New Roman"/>
          <w:b/>
          <w:bCs/>
          <w:sz w:val="24"/>
          <w:szCs w:val="24"/>
        </w:rPr>
        <w:t xml:space="preserve">Lei nº 14.478/2022, art. 1º, parágrafo único, e art. 3º, IV.</w:t>
      </w:r>
      <w:r>
        <w:rPr>
          <w:rFonts w:ascii="Times New Roman" w:cs="Times New Roman" w:eastAsia="Times New Roman" w:hAnsi="Times New Roman"/>
          <w:sz w:val="24"/>
          <w:szCs w:val="24"/>
        </w:rPr>
        <w:t xml:space="preserve"> O marco legal dos ativos virtuais não se aplica aos ativos representativos de valores mobiliários sujeitos à Lei nº 6.385/1976 e não altera a competência da CVM.</w:t>
      </w:r>
    </w:p>
    <w:p>
      <w:pPr>
        <w:spacing w:after="120" w:line="360"/>
        <w:jc w:val="both"/>
      </w:pPr>
      <w:r>
        <w:rPr>
          <w:rFonts w:ascii="Times New Roman" w:cs="Times New Roman" w:eastAsia="Times New Roman" w:hAnsi="Times New Roman"/>
          <w:b/>
          <w:bCs/>
          <w:sz w:val="24"/>
          <w:szCs w:val="24"/>
        </w:rPr>
        <w:t xml:space="preserve">Resolução CVM nº 160/2022.</w:t>
      </w:r>
      <w:r>
        <w:rPr>
          <w:rFonts w:ascii="Times New Roman" w:cs="Times New Roman" w:eastAsia="Times New Roman" w:hAnsi="Times New Roman"/>
          <w:sz w:val="24"/>
          <w:szCs w:val="24"/>
        </w:rPr>
        <w:t xml:space="preserve"> Rege as ofertas públicas de distribuição de valores mobiliários.</w:t>
      </w:r>
    </w:p>
    <w:p>
      <w:pPr>
        <w:spacing w:after="120" w:line="360"/>
        <w:jc w:val="both"/>
      </w:pPr>
      <w:r>
        <w:rPr>
          <w:rFonts w:ascii="Times New Roman" w:cs="Times New Roman" w:eastAsia="Times New Roman" w:hAnsi="Times New Roman"/>
          <w:b/>
          <w:bCs/>
          <w:sz w:val="24"/>
          <w:szCs w:val="24"/>
        </w:rPr>
        <w:t xml:space="preserve">Resolução CVM nº 88/2022.</w:t>
      </w:r>
      <w:r>
        <w:rPr>
          <w:rFonts w:ascii="Times New Roman" w:cs="Times New Roman" w:eastAsia="Times New Roman" w:hAnsi="Times New Roman"/>
          <w:sz w:val="24"/>
          <w:szCs w:val="24"/>
        </w:rPr>
        <w:t xml:space="preserve"> Disciplina a oferta pública de valores mobiliários de sociedades empresárias de pequeno porte por meio de plataformas de investimento participativo (crowdfunding).</w:t>
      </w:r>
    </w:p>
    <w:p>
      <w:pPr>
        <w:spacing w:after="120" w:line="360"/>
        <w:jc w:val="both"/>
      </w:pPr>
      <w:r>
        <w:rPr>
          <w:rFonts w:ascii="Times New Roman" w:cs="Times New Roman" w:eastAsia="Times New Roman" w:hAnsi="Times New Roman"/>
          <w:b/>
          <w:bCs/>
          <w:sz w:val="24"/>
          <w:szCs w:val="24"/>
        </w:rPr>
        <w:t xml:space="preserve">Agenda regulatória.</w:t>
      </w:r>
      <w:r>
        <w:rPr>
          <w:rFonts w:ascii="Times New Roman" w:cs="Times New Roman" w:eastAsia="Times New Roman" w:hAnsi="Times New Roman"/>
          <w:sz w:val="24"/>
          <w:szCs w:val="24"/>
        </w:rPr>
        <w:t xml:space="preserve"> Em 2026, a CVM instituiu Grupo de Trabalho de Tokenização para propor regime experimental para valores mobiliários em redes distribuídas; não há, na data de corte, regime específico em vigor que dispense as regras gerais.</w:t>
      </w:r>
    </w:p>
    <w:p>
      <w:pPr>
        <w:pStyle w:val="Heading2"/>
        <w:keepNext/>
        <w:spacing w:after="120" w:before="240" w:line="300"/>
      </w:pPr>
      <w:r>
        <w:rPr>
          <w:rFonts w:ascii="Times New Roman" w:cs="Times New Roman" w:eastAsia="Times New Roman" w:hAnsi="Times New Roman"/>
          <w:b/>
          <w:bCs/>
          <w:sz w:val="24"/>
          <w:szCs w:val="24"/>
        </w:rPr>
        <w:t xml:space="preserve">MATRIZ DE ANÁLISE (CONTRATO DE INVESTIMENTO COLETIVO)</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30"/>
        <w:gridCol w:w="3996"/>
        <w:gridCol w:w="2978"/>
      </w:tblGrid>
      <w:tr>
        <w:trPr>
          <w:cantSplit/>
          <w:tblHeader/>
        </w:trPr>
        <w:tc>
          <w:tcPr>
            <w:tcW w:type="dxa" w:w="153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Elemento</w:t>
            </w:r>
          </w:p>
        </w:tc>
        <w:tc>
          <w:tcPr>
            <w:tcW w:type="dxa" w:w="3996"/>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Pergunta-teste</w:t>
            </w:r>
          </w:p>
        </w:tc>
        <w:tc>
          <w:tcPr>
            <w:tcW w:type="dxa" w:w="2978"/>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Situação das cotas Sênior/Júnior</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Investimento</w:t>
            </w:r>
          </w:p>
        </w:tc>
        <w:tc>
          <w:tcPr>
            <w:tcW w:type="dxa" w:w="399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Há aporte em dinheiro ou bem suscetível de avaliação econômica?</w:t>
            </w:r>
          </w:p>
        </w:tc>
        <w:tc>
          <w:tcPr>
            <w:tcW w:type="dxa" w:w="297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 na concepção atual</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Formalização</w:t>
            </w:r>
          </w:p>
        </w:tc>
        <w:tc>
          <w:tcPr>
            <w:tcW w:type="dxa" w:w="399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O aporte é formalizado por título ou contrato, inclusive smart contract?</w:t>
            </w:r>
          </w:p>
        </w:tc>
        <w:tc>
          <w:tcPr>
            <w:tcW w:type="dxa" w:w="297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Caráter coletivo</w:t>
            </w:r>
          </w:p>
        </w:tc>
        <w:tc>
          <w:tcPr>
            <w:tcW w:type="dxa" w:w="399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O instrumento é ofertado a uma coletividade de aportadores?</w:t>
            </w:r>
          </w:p>
        </w:tc>
        <w:tc>
          <w:tcPr>
            <w:tcW w:type="dxa" w:w="297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 se aberto a terceiros</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Expectativa de benefício</w:t>
            </w:r>
          </w:p>
        </w:tc>
        <w:tc>
          <w:tcPr>
            <w:tcW w:type="dxa" w:w="399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Há direito ou expectativa de remuneração ou participação?</w:t>
            </w:r>
          </w:p>
        </w:tc>
        <w:tc>
          <w:tcPr>
            <w:tcW w:type="dxa" w:w="297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 (remuneração da cota Sênior; resultado residual da Júnior)</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Esforço de terceiros</w:t>
            </w:r>
          </w:p>
        </w:tc>
        <w:tc>
          <w:tcPr>
            <w:tcW w:type="dxa" w:w="399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O resultado depende da atuação do empreendedor ou de terceiros?</w:t>
            </w:r>
          </w:p>
        </w:tc>
        <w:tc>
          <w:tcPr>
            <w:tcW w:type="dxa" w:w="297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Sim (gestão do pool e regulação de eventos)</w:t>
            </w:r>
          </w:p>
        </w:tc>
      </w:tr>
      <w:tr>
        <w:trPr>
          <w:cantSplit/>
          <w:tblHeader w:val="false"/>
        </w:trPr>
        <w:tc>
          <w:tcPr>
            <w:tcW w:type="dxa" w:w="153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Oferta pública</w:t>
            </w:r>
          </w:p>
        </w:tc>
        <w:tc>
          <w:tcPr>
            <w:tcW w:type="dxa" w:w="399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Há esforço de venda dirigido ao público?</w:t>
            </w:r>
          </w:p>
        </w:tc>
        <w:tc>
          <w:tcPr>
            <w:tcW w:type="dxa" w:w="297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 evitar — vedado na fase experimental (D-03)</w:t>
            </w:r>
          </w:p>
        </w:tc>
      </w:tr>
    </w:tbl>
    <w:p>
      <w:pPr>
        <w:spacing w:after="120"/>
      </w:pPr>
    </w:p>
    <w:p>
      <w:pPr>
        <w:pStyle w:val="Heading2"/>
        <w:keepNext/>
        <w:spacing w:after="120" w:before="240" w:line="300"/>
      </w:pPr>
      <w:r>
        <w:rPr>
          <w:rFonts w:ascii="Times New Roman" w:cs="Times New Roman" w:eastAsia="Times New Roman" w:hAnsi="Times New Roman"/>
          <w:b/>
          <w:bCs/>
          <w:sz w:val="24"/>
          <w:szCs w:val="24"/>
        </w:rPr>
        <w:t xml:space="preserve">CONCLUSÃO PREVENTIVA</w:t>
      </w:r>
    </w:p>
    <w:p>
      <w:pPr>
        <w:spacing w:after="120" w:line="360"/>
        <w:jc w:val="both"/>
      </w:pPr>
      <w:r>
        <w:rPr>
          <w:rFonts w:ascii="Times New Roman" w:cs="Times New Roman" w:eastAsia="Times New Roman" w:hAnsi="Times New Roman"/>
          <w:sz w:val="24"/>
          <w:szCs w:val="24"/>
        </w:rPr>
        <w:t xml:space="preserve">A estrutura Sênior/Júnior descrita no projeto apresenta elementos capazes de suscitar enquadramento no regime do mercado de capitais, especialmente se houver aportes, subordinação de risco, expectativa de remuneração e oferta a investidores.</w:t>
      </w:r>
    </w:p>
    <w:p>
      <w:pPr>
        <w:spacing w:after="120" w:line="360"/>
        <w:jc w:val="both"/>
      </w:pPr>
      <w:r>
        <w:rPr>
          <w:rFonts w:ascii="Times New Roman" w:cs="Times New Roman" w:eastAsia="Times New Roman" w:hAnsi="Times New Roman"/>
          <w:sz w:val="24"/>
          <w:szCs w:val="24"/>
        </w:rPr>
        <w:t xml:space="preserve">Consequentemente:</w:t>
      </w:r>
    </w:p>
    <w:p>
      <w:pPr>
        <w:spacing w:after="80" w:line="360"/>
        <w:ind w:left="709" w:hanging="425"/>
        <w:jc w:val="both"/>
      </w:pPr>
      <w:r>
        <w:rPr>
          <w:rFonts w:ascii="Times New Roman" w:cs="Times New Roman" w:eastAsia="Times New Roman" w:hAnsi="Times New Roman"/>
          <w:sz w:val="24"/>
          <w:szCs w:val="24"/>
        </w:rPr>
        <w:t xml:space="preserve">1. não haverá distribuição pública durante a fase experimental;</w:t>
      </w:r>
    </w:p>
    <w:p>
      <w:pPr>
        <w:spacing w:after="80" w:line="360"/>
        <w:ind w:left="709" w:hanging="425"/>
        <w:jc w:val="both"/>
      </w:pPr>
      <w:r>
        <w:rPr>
          <w:rFonts w:ascii="Times New Roman" w:cs="Times New Roman" w:eastAsia="Times New Roman" w:hAnsi="Times New Roman"/>
          <w:sz w:val="24"/>
          <w:szCs w:val="24"/>
        </w:rPr>
        <w:t xml:space="preserve">2. nenhum token será promovido como investimento;</w:t>
      </w:r>
    </w:p>
    <w:p>
      <w:pPr>
        <w:spacing w:after="80" w:line="360"/>
        <w:ind w:left="709" w:hanging="425"/>
        <w:jc w:val="both"/>
      </w:pPr>
      <w:r>
        <w:rPr>
          <w:rFonts w:ascii="Times New Roman" w:cs="Times New Roman" w:eastAsia="Times New Roman" w:hAnsi="Times New Roman"/>
          <w:sz w:val="24"/>
          <w:szCs w:val="24"/>
        </w:rPr>
        <w:t xml:space="preserve">3. não haverá promessa de rendimento;</w:t>
      </w:r>
    </w:p>
    <w:p>
      <w:pPr>
        <w:spacing w:after="80" w:line="360"/>
        <w:ind w:left="709" w:hanging="425"/>
        <w:jc w:val="both"/>
      </w:pPr>
      <w:r>
        <w:rPr>
          <w:rFonts w:ascii="Times New Roman" w:cs="Times New Roman" w:eastAsia="Times New Roman" w:hAnsi="Times New Roman"/>
          <w:sz w:val="24"/>
          <w:szCs w:val="24"/>
        </w:rPr>
        <w:t xml:space="preserve">4. qualquer futura estrutura econômica dependerá de parecer jurídico específico e, quando necessário, de registro, dispensa ou manifestação regulatória pertinente.</w:t>
      </w:r>
    </w:p>
    <w:p>
      <w:pPr>
        <w:pStyle w:val="Heading2"/>
        <w:keepNext/>
        <w:spacing w:after="120" w:before="240" w:line="300"/>
      </w:pPr>
      <w:r>
        <w:rPr>
          <w:rFonts w:ascii="Times New Roman" w:cs="Times New Roman" w:eastAsia="Times New Roman" w:hAnsi="Times New Roman"/>
          <w:b/>
          <w:bCs/>
          <w:sz w:val="24"/>
          <w:szCs w:val="24"/>
        </w:rPr>
        <w:t xml:space="preserve">ROTA LÍCITA PARA CAPTAÇÃO DA PRÓPRIA SOCIEDADE</w:t>
      </w:r>
    </w:p>
    <w:p>
      <w:pPr>
        <w:spacing w:after="120" w:line="360"/>
        <w:jc w:val="both"/>
      </w:pPr>
      <w:r>
        <w:rPr>
          <w:rFonts w:ascii="Times New Roman" w:cs="Times New Roman" w:eastAsia="Times New Roman" w:hAnsi="Times New Roman"/>
          <w:sz w:val="24"/>
          <w:szCs w:val="24"/>
        </w:rPr>
        <w:t xml:space="preserve">A captação de recursos para a própria Auto Shield Fi (e não para os grupos de proteção) pode ocorrer por instrumentos privados com investidores profissionais ou, quando cabível, por oferta em plataforma de investimento participativo regida pela Resolução CVM nº 88/2022, sempre com aprovação unânime dos Fundadores (A-04, Cláusula 11).</w:t>
      </w:r>
    </w:p>
    <w:p>
      <w:pPr>
        <w:pBdr>
          <w:left w:val="single" w:color="8C8C8C" w:sz="12" w:space="8"/>
        </w:pBdr>
        <w:spacing w:after="100" w:line="276"/>
        <w:ind w:left="360"/>
        <w:jc w:val="both"/>
      </w:pPr>
      <w:r>
        <w:rPr>
          <w:rFonts w:ascii="Times New Roman" w:cs="Times New Roman" w:eastAsia="Times New Roman" w:hAnsi="Times New Roman"/>
          <w:sz w:val="21"/>
          <w:szCs w:val="21"/>
        </w:rPr>
        <w:t xml:space="preserve">Data de corte da pesquisa normativa: 1º/10/2026. Acompanhar a eventual edição de regime experimental de tokenização pela CVM.</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B-03 — MEMORANDO BANCO CENTRAL / ATIVOS VIRTUAIS</w:t>
      </w:r>
    </w:p>
    <w:p>
      <w:pPr>
        <w:pBdr>
          <w:top w:val="single" w:color="404040" w:sz="8" w:space="4"/>
          <w:bottom w:val="single" w:color="404040" w:sz="8" w:space="4"/>
        </w:pBdr>
        <w:shd w:fill="EDEDED" w:color="auto" w:val="clear"/>
        <w:spacing w:after="180" w:before="60" w:line="276"/>
        <w:jc w:val="center"/>
      </w:pPr>
      <w:r>
        <w:rPr>
          <w:rFonts w:ascii="Times New Roman" w:cs="Times New Roman" w:eastAsia="Times New Roman" w:hAnsi="Times New Roman"/>
          <w:b/>
          <w:bCs/>
          <w:sz w:val="20"/>
          <w:szCs w:val="20"/>
        </w:rPr>
        <w:t xml:space="preserve">DOCUMENTO INTERNO DE ANÁLISE — NÃO EQUIVALE A MANIFESTAÇÃO DO BANCO CENTRAL DO BRASIL</w:t>
      </w:r>
    </w:p>
    <w:p>
      <w:pPr>
        <w:pStyle w:val="Heading2"/>
        <w:keepNext/>
        <w:spacing w:after="120" w:before="240" w:line="300"/>
      </w:pPr>
      <w:r>
        <w:rPr>
          <w:rFonts w:ascii="Times New Roman" w:cs="Times New Roman" w:eastAsia="Times New Roman" w:hAnsi="Times New Roman"/>
          <w:b/>
          <w:bCs/>
          <w:sz w:val="24"/>
          <w:szCs w:val="24"/>
        </w:rPr>
        <w:t xml:space="preserve">PREMISSA</w:t>
      </w:r>
    </w:p>
    <w:p>
      <w:pPr>
        <w:spacing w:after="120" w:line="360"/>
        <w:jc w:val="both"/>
      </w:pPr>
      <w:r>
        <w:rPr>
          <w:rFonts w:ascii="Times New Roman" w:cs="Times New Roman" w:eastAsia="Times New Roman" w:hAnsi="Times New Roman"/>
          <w:sz w:val="24"/>
          <w:szCs w:val="24"/>
        </w:rPr>
        <w:t xml:space="preserve">A Auto Shield Fi pretende utilizar blockchain como infraestrutura tecnológica.</w:t>
      </w:r>
    </w:p>
    <w:p>
      <w:pPr>
        <w:spacing w:after="120" w:line="360"/>
        <w:jc w:val="both"/>
      </w:pPr>
      <w:r>
        <w:rPr>
          <w:rFonts w:ascii="Times New Roman" w:cs="Times New Roman" w:eastAsia="Times New Roman" w:hAnsi="Times New Roman"/>
          <w:sz w:val="24"/>
          <w:szCs w:val="24"/>
        </w:rPr>
        <w:t xml:space="preserve">O simples desenvolvimento de software não deverá ser confundido com a prestação, em nome de terceiros, de serviço regulado de ativo virtual.</w:t>
      </w:r>
    </w:p>
    <w:p>
      <w:pPr>
        <w:pStyle w:val="Heading2"/>
        <w:keepNext/>
        <w:spacing w:after="120" w:before="240" w:line="300"/>
      </w:pPr>
      <w:r>
        <w:rPr>
          <w:rFonts w:ascii="Times New Roman" w:cs="Times New Roman" w:eastAsia="Times New Roman" w:hAnsi="Times New Roman"/>
          <w:b/>
          <w:bCs/>
          <w:sz w:val="24"/>
          <w:szCs w:val="24"/>
        </w:rPr>
        <w:t xml:space="preserve">FUNDAMENTAÇÃO NORMATIVA</w:t>
      </w:r>
    </w:p>
    <w:p>
      <w:pPr>
        <w:spacing w:after="120" w:line="360"/>
        <w:jc w:val="both"/>
      </w:pPr>
      <w:r>
        <w:rPr>
          <w:rFonts w:ascii="Times New Roman" w:cs="Times New Roman" w:eastAsia="Times New Roman" w:hAnsi="Times New Roman"/>
          <w:b/>
          <w:bCs/>
          <w:sz w:val="24"/>
          <w:szCs w:val="24"/>
        </w:rPr>
        <w:t xml:space="preserve">Lei nº 14.478/2022 (marco legal dos ativos virtuais).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art. 2º — as prestadoras de serviços de ativos virtuais somente podem funcionar no País mediante prévia autorização;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art. 3º — ativo virtual é a representação digital de valor que pode ser negociada ou transferida por meios eletrônicos e utilizada para pagamentos ou com propósito de investimento, excluídos, entre outros, os valores mobiliários e os ativos financeiros regulados;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art. 5º — é prestadora a pessoa jurídica que executa, </w:t>
      </w:r>
      <w:r>
        <w:rPr>
          <w:rFonts w:ascii="Times New Roman" w:cs="Times New Roman" w:eastAsia="Times New Roman" w:hAnsi="Times New Roman"/>
          <w:b/>
          <w:bCs/>
          <w:sz w:val="24"/>
          <w:szCs w:val="24"/>
        </w:rPr>
        <w:t xml:space="preserve">em nome de terceiros</w:t>
      </w:r>
      <w:r>
        <w:rPr>
          <w:rFonts w:ascii="Times New Roman" w:cs="Times New Roman" w:eastAsia="Times New Roman" w:hAnsi="Times New Roman"/>
          <w:sz w:val="24"/>
          <w:szCs w:val="24"/>
        </w:rPr>
        <w:t xml:space="preserve">, ao menos um dos serviços de: troca entre ativos virtuais e moeda; troca entre ativos virtuais; transferência; custódia ou administração de ativos virtuais ou de instrumentos que permitam controlá-los; e participação em serviços financeiros relacionados à oferta ou venda de ativos virtuais.</w:t>
      </w:r>
    </w:p>
    <w:p>
      <w:pPr>
        <w:spacing w:after="120" w:line="360"/>
        <w:jc w:val="both"/>
      </w:pPr>
      <w:r>
        <w:rPr>
          <w:rFonts w:ascii="Times New Roman" w:cs="Times New Roman" w:eastAsia="Times New Roman" w:hAnsi="Times New Roman"/>
          <w:b/>
          <w:bCs/>
          <w:sz w:val="24"/>
          <w:szCs w:val="24"/>
        </w:rPr>
        <w:t xml:space="preserve">Decreto nº 11.563/2023.</w:t>
      </w:r>
      <w:r>
        <w:rPr>
          <w:rFonts w:ascii="Times New Roman" w:cs="Times New Roman" w:eastAsia="Times New Roman" w:hAnsi="Times New Roman"/>
          <w:sz w:val="24"/>
          <w:szCs w:val="24"/>
        </w:rPr>
        <w:t xml:space="preserve"> Atribuiu ao Banco Central do Brasil a regulação e a supervisão das prestadoras de serviços de ativos virtuais.</w:t>
      </w:r>
    </w:p>
    <w:p>
      <w:pPr>
        <w:spacing w:after="120" w:line="360"/>
        <w:jc w:val="both"/>
      </w:pPr>
      <w:r>
        <w:rPr>
          <w:rFonts w:ascii="Times New Roman" w:cs="Times New Roman" w:eastAsia="Times New Roman" w:hAnsi="Times New Roman"/>
          <w:b/>
          <w:bCs/>
          <w:sz w:val="24"/>
          <w:szCs w:val="24"/>
        </w:rPr>
        <w:t xml:space="preserve">Resoluções BCB nº 519, 520 e 521/2025</w:t>
      </w:r>
      <w:r>
        <w:rPr>
          <w:rFonts w:ascii="Times New Roman" w:cs="Times New Roman" w:eastAsia="Times New Roman" w:hAnsi="Times New Roman"/>
          <w:sz w:val="24"/>
          <w:szCs w:val="24"/>
        </w:rPr>
        <w:t xml:space="preserve"> (publicadas em 10/11/2025; em vigor desde 2/2/2026):</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 BCB nº 519/2025 — processo de autorização das sociedades prestadoras de serviços de ativos virtuais (SPSAV);</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 BCB nº 520/2025 — constituição, funcionamento e supervisão das SPSAV, nas modalidades intermediária, custodiante e corretora de ativos virtuais, com regras de segregação patrimonial, governança e PLD/FTP;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Res. BCB nº 521/2025 — integração das operações com ativos virtuais ao mercado de câmbio e de capitais internacionais.</w:t>
      </w:r>
    </w:p>
    <w:p>
      <w:pPr>
        <w:spacing w:after="120" w:line="360"/>
        <w:jc w:val="both"/>
      </w:pPr>
      <w:r>
        <w:rPr>
          <w:rFonts w:ascii="Times New Roman" w:cs="Times New Roman" w:eastAsia="Times New Roman" w:hAnsi="Times New Roman"/>
          <w:b/>
          <w:bCs/>
          <w:sz w:val="24"/>
          <w:szCs w:val="24"/>
        </w:rPr>
        <w:t xml:space="preserve">Transição.</w:t>
      </w:r>
      <w:r>
        <w:rPr>
          <w:rFonts w:ascii="Times New Roman" w:cs="Times New Roman" w:eastAsia="Times New Roman" w:hAnsi="Times New Roman"/>
          <w:sz w:val="24"/>
          <w:szCs w:val="24"/>
        </w:rPr>
        <w:t xml:space="preserve"> As prestadoras já em atividade tiveram 270 dias, contados da vigência, para protocolar o pedido de autorização (até 30/10/2026). A partir dessa data, instituições financeiras, de pagamento e demais autorizadas pelo Banco Central ficam proibidas de realizar, intermediar ou custodiar operações com prestadoras não autorizadas ou sem pedido de autorização em curso.</w:t>
      </w:r>
    </w:p>
    <w:p>
      <w:pPr>
        <w:spacing w:after="120" w:line="360"/>
        <w:jc w:val="both"/>
      </w:pPr>
      <w:r>
        <w:rPr>
          <w:rFonts w:ascii="Times New Roman" w:cs="Times New Roman" w:eastAsia="Times New Roman" w:hAnsi="Times New Roman"/>
          <w:b/>
          <w:bCs/>
          <w:sz w:val="24"/>
          <w:szCs w:val="24"/>
        </w:rPr>
        <w:t xml:space="preserve">Lei nº 12.865/2013.</w:t>
      </w:r>
      <w:r>
        <w:rPr>
          <w:rFonts w:ascii="Times New Roman" w:cs="Times New Roman" w:eastAsia="Times New Roman" w:hAnsi="Times New Roman"/>
          <w:sz w:val="24"/>
          <w:szCs w:val="24"/>
        </w:rPr>
        <w:t xml:space="preserve"> Disciplina os arranjos e as instituições de pagamento, inclusive o Pix.</w:t>
      </w:r>
    </w:p>
    <w:p>
      <w:pPr>
        <w:pStyle w:val="Heading2"/>
        <w:keepNext/>
        <w:spacing w:after="120" w:before="240" w:line="300"/>
      </w:pPr>
      <w:r>
        <w:rPr>
          <w:rFonts w:ascii="Times New Roman" w:cs="Times New Roman" w:eastAsia="Times New Roman" w:hAnsi="Times New Roman"/>
          <w:b/>
          <w:bCs/>
          <w:sz w:val="24"/>
          <w:szCs w:val="24"/>
        </w:rPr>
        <w:t xml:space="preserve">VEDAÇÕES À SOCIEDADE ATÉ REAVALIAÇÃO</w:t>
      </w:r>
    </w:p>
    <w:p>
      <w:pPr>
        <w:spacing w:after="120" w:line="360"/>
        <w:jc w:val="both"/>
      </w:pPr>
      <w:r>
        <w:rPr>
          <w:rFonts w:ascii="Times New Roman" w:cs="Times New Roman" w:eastAsia="Times New Roman" w:hAnsi="Times New Roman"/>
          <w:sz w:val="24"/>
          <w:szCs w:val="24"/>
        </w:rPr>
        <w:t xml:space="preserve">São proibidas à sociedade limitada: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custódia de criptoativos de usuários;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execução discricionária de ordens;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intermediação de compra e venda;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conversão em nome próprio para clientes;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recebimento centralizado de recursos de participantes.</w:t>
      </w:r>
    </w:p>
    <w:p>
      <w:pPr>
        <w:pStyle w:val="Heading2"/>
        <w:keepNext/>
        <w:spacing w:after="120" w:before="240" w:line="300"/>
      </w:pPr>
      <w:r>
        <w:rPr>
          <w:rFonts w:ascii="Times New Roman" w:cs="Times New Roman" w:eastAsia="Times New Roman" w:hAnsi="Times New Roman"/>
          <w:b/>
          <w:bCs/>
          <w:sz w:val="24"/>
          <w:szCs w:val="24"/>
        </w:rPr>
        <w:t xml:space="preserve">IMPLICAÇÕES PARA A AUTO SHIELD FI</w:t>
      </w:r>
    </w:p>
    <w:p>
      <w:pPr>
        <w:spacing w:after="80" w:line="360"/>
        <w:ind w:left="709" w:hanging="425"/>
        <w:jc w:val="both"/>
      </w:pPr>
      <w:r>
        <w:rPr>
          <w:rFonts w:ascii="Times New Roman" w:cs="Times New Roman" w:eastAsia="Times New Roman" w:hAnsi="Times New Roman"/>
          <w:sz w:val="24"/>
          <w:szCs w:val="24"/>
        </w:rPr>
        <w:t xml:space="preserve">1. O critério decisivo do art. 5º da Lei nº 14.478/2022 é a execução do serviço </w:t>
      </w:r>
      <w:r>
        <w:rPr>
          <w:rFonts w:ascii="Times New Roman" w:cs="Times New Roman" w:eastAsia="Times New Roman" w:hAnsi="Times New Roman"/>
          <w:b/>
          <w:bCs/>
          <w:sz w:val="24"/>
          <w:szCs w:val="24"/>
        </w:rPr>
        <w:t xml:space="preserve">em nome de terceiros</w:t>
      </w:r>
      <w:r>
        <w:rPr>
          <w:rFonts w:ascii="Times New Roman" w:cs="Times New Roman" w:eastAsia="Times New Roman" w:hAnsi="Times New Roman"/>
          <w:sz w:val="24"/>
          <w:szCs w:val="24"/>
        </w:rPr>
        <w:t xml:space="preserve">. Enquanto a Sociedade apenas desenvolver e licenciar software, sem custodiar, transferir ou trocar ativos de usuários, ela não se enquadra como prestadora.</w:t>
      </w:r>
    </w:p>
    <w:p>
      <w:pPr>
        <w:spacing w:after="80" w:line="360"/>
        <w:ind w:left="709" w:hanging="425"/>
        <w:jc w:val="both"/>
      </w:pPr>
      <w:r>
        <w:rPr>
          <w:rFonts w:ascii="Times New Roman" w:cs="Times New Roman" w:eastAsia="Times New Roman" w:hAnsi="Times New Roman"/>
          <w:sz w:val="24"/>
          <w:szCs w:val="24"/>
        </w:rPr>
        <w:t xml:space="preserve">2. Integrações necessárias ocorrerão exclusivamente mediante SPSAV ou instituição de pagamento devidamente autorizada (D-08).</w:t>
      </w:r>
    </w:p>
    <w:p>
      <w:pPr>
        <w:spacing w:after="80" w:line="360"/>
        <w:ind w:left="709" w:hanging="425"/>
        <w:jc w:val="both"/>
      </w:pPr>
      <w:r>
        <w:rPr>
          <w:rFonts w:ascii="Times New Roman" w:cs="Times New Roman" w:eastAsia="Times New Roman" w:hAnsi="Times New Roman"/>
          <w:sz w:val="24"/>
          <w:szCs w:val="24"/>
        </w:rPr>
        <w:t xml:space="preserve">3. Na seleção do parceiro, verificar a autorização ou, no período de transição, o protocolo tempestivo do pedido até 30/10/2026; parceiro sem autorização nem pedido em curso fica impedido de operar com o sistema financeiro.</w:t>
      </w:r>
    </w:p>
    <w:p>
      <w:pPr>
        <w:spacing w:after="80" w:line="360"/>
        <w:ind w:left="709" w:hanging="425"/>
        <w:jc w:val="both"/>
      </w:pPr>
      <w:r>
        <w:rPr>
          <w:rFonts w:ascii="Times New Roman" w:cs="Times New Roman" w:eastAsia="Times New Roman" w:hAnsi="Times New Roman"/>
          <w:sz w:val="24"/>
          <w:szCs w:val="24"/>
        </w:rPr>
        <w:t xml:space="preserve">4. A self-custody do usuário não elimina, por si só, a necessidade de analisar o conjunto das funcionalidades: se a interface da Sociedade passar a controlar chaves ou a executar transferências em nome do usuário, o enquadramento deverá ser revisto.</w:t>
      </w:r>
    </w:p>
    <w:p>
      <w:pPr>
        <w:pBdr>
          <w:left w:val="single" w:color="8C8C8C" w:sz="12" w:space="8"/>
        </w:pBdr>
        <w:spacing w:after="100" w:line="276"/>
        <w:ind w:left="360"/>
        <w:jc w:val="both"/>
      </w:pPr>
      <w:r>
        <w:rPr>
          <w:rFonts w:ascii="Times New Roman" w:cs="Times New Roman" w:eastAsia="Times New Roman" w:hAnsi="Times New Roman"/>
          <w:sz w:val="21"/>
          <w:szCs w:val="21"/>
        </w:rPr>
        <w:t xml:space="preserve">Data de corte da pesquisa normativa: 1º/10/2026.</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B-04 — MATRIZ DE LICENÇAS, AUTORIZAÇÕES E RESPONSÁVEIS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870"/>
        <w:gridCol w:w="2040"/>
        <w:gridCol w:w="2296"/>
        <w:gridCol w:w="2298"/>
      </w:tblGrid>
      <w:tr>
        <w:trPr>
          <w:cantSplit/>
          <w:tblHeader/>
        </w:trPr>
        <w:tc>
          <w:tcPr>
            <w:tcW w:type="dxa" w:w="187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Atividade</w:t>
            </w:r>
          </w:p>
        </w:tc>
        <w:tc>
          <w:tcPr>
            <w:tcW w:type="dxa" w:w="204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Responsável</w:t>
            </w:r>
          </w:p>
        </w:tc>
        <w:tc>
          <w:tcPr>
            <w:tcW w:type="dxa" w:w="2296"/>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Regime e autorização</w:t>
            </w:r>
          </w:p>
        </w:tc>
        <w:tc>
          <w:tcPr>
            <w:tcW w:type="dxa" w:w="2298"/>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Referência normativa</w:t>
            </w:r>
          </w:p>
        </w:tc>
      </w:tr>
      <w:tr>
        <w:trPr>
          <w:cantSplit/>
          <w:tblHeader w:val="false"/>
        </w:trPr>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Tecnologia B2B (software, APIs, dApps)</w:t>
            </w:r>
          </w:p>
        </w:tc>
        <w:tc>
          <w:tcPr>
            <w:tcW w:type="dxa" w:w="204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Auto Shield Fi — Diretoria de Tecnologia</w:t>
            </w:r>
          </w:p>
        </w:tc>
        <w:tc>
          <w:tcPr>
            <w:tcW w:type="dxa" w:w="229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Atividade livre; registro empresarial</w:t>
            </w:r>
          </w:p>
        </w:tc>
        <w:tc>
          <w:tcPr>
            <w:tcW w:type="dxa" w:w="229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Código Civil; Lei nº 9.609/1998</w:t>
            </w:r>
          </w:p>
        </w:tc>
      </w:tr>
      <w:tr>
        <w:trPr>
          <w:cantSplit/>
          <w:tblHeader w:val="false"/>
        </w:trPr>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Seguro</w:t>
            </w:r>
          </w:p>
        </w:tc>
        <w:tc>
          <w:tcPr>
            <w:tcW w:type="dxa" w:w="204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Sociedade seguradora autorizada — responsabilidade da parceira</w:t>
            </w:r>
          </w:p>
        </w:tc>
        <w:tc>
          <w:tcPr>
            <w:tcW w:type="dxa" w:w="229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Autorização da SUSEP</w:t>
            </w:r>
          </w:p>
        </w:tc>
        <w:tc>
          <w:tcPr>
            <w:tcW w:type="dxa" w:w="229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Decreto-Lei nº 73/1966</w:t>
            </w:r>
          </w:p>
        </w:tc>
      </w:tr>
      <w:tr>
        <w:trPr>
          <w:cantSplit/>
          <w:tblHeader w:val="false"/>
        </w:trPr>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Proteção patrimonial mutualista</w:t>
            </w:r>
          </w:p>
        </w:tc>
        <w:tc>
          <w:tcPr>
            <w:tcW w:type="dxa" w:w="204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Associação + administradora autorizada</w:t>
            </w:r>
          </w:p>
        </w:tc>
        <w:tc>
          <w:tcPr>
            <w:tcW w:type="dxa" w:w="229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Administradora: S.A. com objeto exclusivo e autorização da SUSEP</w:t>
            </w:r>
          </w:p>
        </w:tc>
        <w:tc>
          <w:tcPr>
            <w:tcW w:type="dxa" w:w="229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LC nº 213/2025; Res. CNSP nº 491/2026</w:t>
            </w:r>
          </w:p>
        </w:tc>
      </w:tr>
      <w:tr>
        <w:trPr>
          <w:cantSplit/>
          <w:tblHeader w:val="false"/>
        </w:trPr>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Serviços de ativos virtuais</w:t>
            </w:r>
          </w:p>
        </w:tc>
        <w:tc>
          <w:tcPr>
            <w:tcW w:type="dxa" w:w="204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SPSAV autorizada pelo Banco Central</w:t>
            </w:r>
          </w:p>
        </w:tc>
        <w:tc>
          <w:tcPr>
            <w:tcW w:type="dxa" w:w="229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Autorização do BCB</w:t>
            </w:r>
          </w:p>
        </w:tc>
        <w:tc>
          <w:tcPr>
            <w:tcW w:type="dxa" w:w="229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Lei nº 14.478/2022; Res. BCB nº 519, 520 e 521/2025</w:t>
            </w:r>
          </w:p>
        </w:tc>
      </w:tr>
      <w:tr>
        <w:trPr>
          <w:cantSplit/>
          <w:tblHeader w:val="false"/>
        </w:trPr>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Pagamentos e Pix</w:t>
            </w:r>
          </w:p>
        </w:tc>
        <w:tc>
          <w:tcPr>
            <w:tcW w:type="dxa" w:w="204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Instituição de pagamento habilitada</w:t>
            </w:r>
          </w:p>
        </w:tc>
        <w:tc>
          <w:tcPr>
            <w:tcW w:type="dxa" w:w="229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Autorização do BCB</w:t>
            </w:r>
          </w:p>
        </w:tc>
        <w:tc>
          <w:tcPr>
            <w:tcW w:type="dxa" w:w="229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Lei nº 12.865/2013</w:t>
            </w:r>
          </w:p>
        </w:tc>
      </w:tr>
      <w:tr>
        <w:trPr>
          <w:cantSplit/>
          <w:tblHeader w:val="false"/>
        </w:trPr>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Valores mobiliários</w:t>
            </w:r>
          </w:p>
        </w:tc>
        <w:tc>
          <w:tcPr>
            <w:tcW w:type="dxa" w:w="204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Emissor e intermediários registrados</w:t>
            </w:r>
          </w:p>
        </w:tc>
        <w:tc>
          <w:tcPr>
            <w:tcW w:type="dxa" w:w="229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Registro ou dispensa da CVM antes de qualquer oferta</w:t>
            </w:r>
          </w:p>
        </w:tc>
        <w:tc>
          <w:tcPr>
            <w:tcW w:type="dxa" w:w="229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Lei nº 6.385/1976; Res. CVM nº 160/2022</w:t>
            </w:r>
          </w:p>
        </w:tc>
      </w:tr>
      <w:tr>
        <w:trPr>
          <w:cantSplit/>
          <w:tblHeader w:val="false"/>
        </w:trPr>
        <w:tc>
          <w:tcPr>
            <w:tcW w:type="dxa" w:w="187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Proteção de dados</w:t>
            </w:r>
          </w:p>
        </w:tc>
        <w:tc>
          <w:tcPr>
            <w:tcW w:type="dxa" w:w="204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Controladores correspondentes e Encarregado (Founder C)</w:t>
            </w:r>
          </w:p>
        </w:tc>
        <w:tc>
          <w:tcPr>
            <w:tcW w:type="dxa" w:w="2296"/>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Sujeição à ANPD</w:t>
            </w:r>
          </w:p>
        </w:tc>
        <w:tc>
          <w:tcPr>
            <w:tcW w:type="dxa" w:w="2298"/>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Lei nº 13.709/2018</w:t>
            </w:r>
          </w:p>
        </w:tc>
      </w:tr>
    </w:tbl>
    <w:p>
      <w:pPr>
        <w:spacing w:after="120"/>
      </w:pPr>
    </w:p>
    <w:p>
      <w:pPr>
        <w:spacing w:after="120" w:line="360"/>
        <w:jc w:val="both"/>
      </w:pPr>
      <w:r>
        <w:rPr>
          <w:rFonts w:ascii="Times New Roman" w:cs="Times New Roman" w:eastAsia="Times New Roman" w:hAnsi="Times New Roman"/>
          <w:sz w:val="24"/>
          <w:szCs w:val="24"/>
        </w:rPr>
        <w:t xml:space="preserve">Nenhum responsável interno poderá alterar esta matriz sem aprovação de 75% do capital.</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B-05 — DOSSIÊ PARA SANDBOX REGULATÓRIO</w:t>
      </w:r>
    </w:p>
    <w:p>
      <w:pPr>
        <w:pBdr>
          <w:top w:val="single" w:color="404040" w:sz="8" w:space="4"/>
          <w:bottom w:val="single" w:color="404040" w:sz="8" w:space="4"/>
        </w:pBdr>
        <w:shd w:fill="EDEDED" w:color="auto" w:val="clear"/>
        <w:spacing w:after="180" w:before="60" w:line="276"/>
        <w:jc w:val="center"/>
      </w:pPr>
      <w:r>
        <w:rPr>
          <w:rFonts w:ascii="Times New Roman" w:cs="Times New Roman" w:eastAsia="Times New Roman" w:hAnsi="Times New Roman"/>
          <w:b/>
          <w:bCs/>
          <w:sz w:val="20"/>
          <w:szCs w:val="20"/>
        </w:rPr>
        <w:t xml:space="preserve">DOCUMENTO DEMONSTRATIVO — NÃO REPRESENTA PROTOCOLO OU ACEITAÇÃO EM SANDBOX</w:t>
      </w:r>
    </w:p>
    <w:p>
      <w:pPr>
        <w:pStyle w:val="Heading2"/>
        <w:keepNext/>
        <w:spacing w:after="120" w:before="240" w:line="300"/>
      </w:pPr>
      <w:r>
        <w:rPr>
          <w:rFonts w:ascii="Times New Roman" w:cs="Times New Roman" w:eastAsia="Times New Roman" w:hAnsi="Times New Roman"/>
          <w:b/>
          <w:bCs/>
          <w:sz w:val="24"/>
          <w:szCs w:val="24"/>
        </w:rPr>
        <w:t xml:space="preserve">PROJETO</w:t>
      </w:r>
    </w:p>
    <w:p>
      <w:pPr>
        <w:spacing w:after="120" w:line="360"/>
        <w:jc w:val="both"/>
      </w:pPr>
      <w:r>
        <w:rPr>
          <w:rFonts w:ascii="Times New Roman" w:cs="Times New Roman" w:eastAsia="Times New Roman" w:hAnsi="Times New Roman"/>
          <w:sz w:val="24"/>
          <w:szCs w:val="24"/>
        </w:rPr>
        <w:t xml:space="preserve">Auto Shield Fi — infraestrutura tecnológica para gestão auditável de processos de proteção patrimonial veicular.</w:t>
      </w:r>
    </w:p>
    <w:p>
      <w:pPr>
        <w:pStyle w:val="Heading2"/>
        <w:keepNext/>
        <w:spacing w:after="120" w:before="240" w:line="300"/>
      </w:pPr>
      <w:r>
        <w:rPr>
          <w:rFonts w:ascii="Times New Roman" w:cs="Times New Roman" w:eastAsia="Times New Roman" w:hAnsi="Times New Roman"/>
          <w:b/>
          <w:bCs/>
          <w:sz w:val="24"/>
          <w:szCs w:val="24"/>
        </w:rPr>
        <w:t xml:space="preserve">REGULADOR-ALVO</w:t>
      </w:r>
    </w:p>
    <w:p>
      <w:pPr>
        <w:spacing w:after="120" w:line="360"/>
        <w:jc w:val="both"/>
      </w:pPr>
      <w:r>
        <w:rPr>
          <w:rFonts w:ascii="Times New Roman" w:cs="Times New Roman" w:eastAsia="Times New Roman" w:hAnsi="Times New Roman"/>
          <w:sz w:val="24"/>
          <w:szCs w:val="24"/>
        </w:rPr>
        <w:t xml:space="preserve">Ambiente regulatório experimental do regulador competente para o produto (SUSEP, quanto a seguro e proteção mutualista; CVM, se houver componente de valor mobiliário), condicionado à abertura de edital vigente e ao cumprimento dos requisitos nele previstos.</w:t>
      </w:r>
    </w:p>
    <w:p>
      <w:pPr>
        <w:pStyle w:val="Heading2"/>
        <w:keepNext/>
        <w:spacing w:after="120" w:before="240" w:line="300"/>
      </w:pPr>
      <w:r>
        <w:rPr>
          <w:rFonts w:ascii="Times New Roman" w:cs="Times New Roman" w:eastAsia="Times New Roman" w:hAnsi="Times New Roman"/>
          <w:b/>
          <w:bCs/>
          <w:sz w:val="24"/>
          <w:szCs w:val="24"/>
        </w:rPr>
        <w:t xml:space="preserve">INOVAÇÃO</w:t>
      </w:r>
    </w:p>
    <w:p>
      <w:pPr>
        <w:spacing w:after="120" w:line="360"/>
        <w:jc w:val="both"/>
      </w:pPr>
      <w:r>
        <w:rPr>
          <w:rFonts w:ascii="Times New Roman" w:cs="Times New Roman" w:eastAsia="Times New Roman" w:hAnsi="Times New Roman"/>
          <w:sz w:val="24"/>
          <w:szCs w:val="24"/>
        </w:rPr>
        <w:t xml:space="preserve">Uso de: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blockchain pública para provas de integridade;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smart contracts para automação controlada;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dados pessoais mantidos off-chain;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multisig;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auditoria de eventos;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APIs integradas a entidades reguladas.</w:t>
      </w:r>
    </w:p>
    <w:p>
      <w:pPr>
        <w:pStyle w:val="Heading2"/>
        <w:keepNext/>
        <w:spacing w:after="120" w:before="240" w:line="300"/>
      </w:pPr>
      <w:r>
        <w:rPr>
          <w:rFonts w:ascii="Times New Roman" w:cs="Times New Roman" w:eastAsia="Times New Roman" w:hAnsi="Times New Roman"/>
          <w:b/>
          <w:bCs/>
          <w:sz w:val="24"/>
          <w:szCs w:val="24"/>
        </w:rPr>
        <w:t xml:space="preserve">OBJETIVO DO TESTE</w:t>
      </w:r>
    </w:p>
    <w:p>
      <w:pPr>
        <w:spacing w:after="120" w:line="360"/>
        <w:jc w:val="both"/>
      </w:pPr>
      <w:r>
        <w:rPr>
          <w:rFonts w:ascii="Times New Roman" w:cs="Times New Roman" w:eastAsia="Times New Roman" w:hAnsi="Times New Roman"/>
          <w:sz w:val="24"/>
          <w:szCs w:val="24"/>
        </w:rPr>
        <w:t xml:space="preserve">Demonstrar eficiência operacional sem captação real de recursos na fase preliminar.</w:t>
      </w:r>
    </w:p>
    <w:p>
      <w:pPr>
        <w:pStyle w:val="Heading2"/>
        <w:keepNext/>
        <w:spacing w:after="120" w:before="240" w:line="300"/>
      </w:pPr>
      <w:r>
        <w:rPr>
          <w:rFonts w:ascii="Times New Roman" w:cs="Times New Roman" w:eastAsia="Times New Roman" w:hAnsi="Times New Roman"/>
          <w:b/>
          <w:bCs/>
          <w:sz w:val="24"/>
          <w:szCs w:val="24"/>
        </w:rPr>
        <w:t xml:space="preserve">INDICADORES E METAS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3571"/>
        <w:gridCol w:w="4933"/>
      </w:tblGrid>
      <w:tr>
        <w:trPr>
          <w:cantSplit/>
          <w:tblHeader/>
        </w:trPr>
        <w:tc>
          <w:tcPr>
            <w:tcW w:type="dxa" w:w="3571"/>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Indicador</w:t>
            </w:r>
          </w:p>
        </w:tc>
        <w:tc>
          <w:tcPr>
            <w:tcW w:type="dxa" w:w="4933"/>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Meta</w:t>
            </w:r>
          </w:p>
        </w:tc>
      </w:tr>
      <w:tr>
        <w:trPr>
          <w:cantSplit/>
          <w:tblHeader w:val="false"/>
        </w:trPr>
        <w:tc>
          <w:tcPr>
            <w:tcW w:type="dxa" w:w="357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Tempo médio de regulação de eventos</w:t>
            </w:r>
          </w:p>
        </w:tc>
        <w:tc>
          <w:tcPr>
            <w:tcW w:type="dxa" w:w="493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Até 30 dias (limite regulatório de 90 dias na Rota B)</w:t>
            </w:r>
          </w:p>
        </w:tc>
      </w:tr>
      <w:tr>
        <w:trPr>
          <w:cantSplit/>
          <w:tblHeader w:val="false"/>
        </w:trPr>
        <w:tc>
          <w:tcPr>
            <w:tcW w:type="dxa" w:w="357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Disponibilidade da plataforma</w:t>
            </w:r>
          </w:p>
        </w:tc>
        <w:tc>
          <w:tcPr>
            <w:tcW w:type="dxa" w:w="493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Igual ou superior a 99,5% ao mês</w:t>
            </w:r>
          </w:p>
        </w:tc>
      </w:tr>
      <w:tr>
        <w:trPr>
          <w:cantSplit/>
          <w:tblHeader w:val="false"/>
        </w:trPr>
        <w:tc>
          <w:tcPr>
            <w:tcW w:type="dxa" w:w="357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Taxa de falha de transações</w:t>
            </w:r>
          </w:p>
        </w:tc>
        <w:tc>
          <w:tcPr>
            <w:tcW w:type="dxa" w:w="493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Inferior a 1%</w:t>
            </w:r>
          </w:p>
        </w:tc>
      </w:tr>
      <w:tr>
        <w:trPr>
          <w:cantSplit/>
          <w:tblHeader w:val="false"/>
        </w:trPr>
        <w:tc>
          <w:tcPr>
            <w:tcW w:type="dxa" w:w="357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Integridade dos logs</w:t>
            </w:r>
          </w:p>
        </w:tc>
        <w:tc>
          <w:tcPr>
            <w:tcW w:type="dxa" w:w="493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100% dos registros verificáveis por hash</w:t>
            </w:r>
          </w:p>
        </w:tc>
      </w:tr>
      <w:tr>
        <w:trPr>
          <w:cantSplit/>
          <w:tblHeader w:val="false"/>
        </w:trPr>
        <w:tc>
          <w:tcPr>
            <w:tcW w:type="dxa" w:w="357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Qualidade de reconciliação</w:t>
            </w:r>
          </w:p>
        </w:tc>
        <w:tc>
          <w:tcPr>
            <w:tcW w:type="dxa" w:w="493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Nenhuma divergência sem explicação ao fim de cada ciclo</w:t>
            </w:r>
          </w:p>
        </w:tc>
      </w:tr>
      <w:tr>
        <w:trPr>
          <w:cantSplit/>
          <w:tblHeader w:val="false"/>
        </w:trPr>
        <w:tc>
          <w:tcPr>
            <w:tcW w:type="dxa" w:w="3571"/>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Incidentes</w:t>
            </w:r>
          </w:p>
        </w:tc>
        <w:tc>
          <w:tcPr>
            <w:tcW w:type="dxa" w:w="4933"/>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Nenhum incidente P1 sem resposta dentro do Plano E-11</w:t>
            </w:r>
          </w:p>
        </w:tc>
      </w:tr>
    </w:tbl>
    <w:p>
      <w:pPr>
        <w:spacing w:after="120"/>
      </w:pPr>
    </w:p>
    <w:p>
      <w:pPr>
        <w:pStyle w:val="Heading2"/>
        <w:keepNext/>
        <w:spacing w:after="120" w:before="240" w:line="300"/>
      </w:pPr>
      <w:r>
        <w:rPr>
          <w:rFonts w:ascii="Times New Roman" w:cs="Times New Roman" w:eastAsia="Times New Roman" w:hAnsi="Times New Roman"/>
          <w:b/>
          <w:bCs/>
          <w:sz w:val="24"/>
          <w:szCs w:val="24"/>
        </w:rPr>
        <w:t xml:space="preserve">PROTEÇÃO DO USUÁRIO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Sem recursos reais na Devnet.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Sem oferta pública.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Sem promessa de rendimento.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Dados pessoais brutos off-chain.</w:t>
      </w:r>
    </w:p>
    <w:p>
      <w:pPr>
        <w:pStyle w:val="Heading2"/>
        <w:keepNext/>
        <w:spacing w:after="120" w:before="240" w:line="300"/>
      </w:pPr>
      <w:r>
        <w:rPr>
          <w:rFonts w:ascii="Times New Roman" w:cs="Times New Roman" w:eastAsia="Times New Roman" w:hAnsi="Times New Roman"/>
          <w:b/>
          <w:bCs/>
          <w:sz w:val="24"/>
          <w:szCs w:val="24"/>
        </w:rPr>
        <w:t xml:space="preserve">DURAÇÃO E SAÍDA</w:t>
      </w:r>
    </w:p>
    <w:p>
      <w:pPr>
        <w:spacing w:after="120" w:line="360"/>
        <w:jc w:val="both"/>
      </w:pPr>
      <w:r>
        <w:rPr>
          <w:rFonts w:ascii="Times New Roman" w:cs="Times New Roman" w:eastAsia="Times New Roman" w:hAnsi="Times New Roman"/>
          <w:sz w:val="24"/>
          <w:szCs w:val="24"/>
        </w:rPr>
        <w:t xml:space="preserve">Período de teste de 12 meses. O experimento será encerrado ou convertido para produção somente após o atendimento dos requisitos legais aplicáveis.</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B-06 — CONTRATO DE PARCERIA COM ENTIDADE REGULADA</w:t>
      </w:r>
    </w:p>
    <w:p>
      <w:pPr>
        <w:pBdr>
          <w:top w:val="single" w:color="404040" w:sz="8" w:space="4"/>
          <w:bottom w:val="single" w:color="404040" w:sz="8" w:space="4"/>
        </w:pBdr>
        <w:shd w:fill="EDEDED" w:color="auto" w:val="clear"/>
        <w:spacing w:after="180" w:before="60" w:line="276"/>
        <w:jc w:val="center"/>
      </w:pPr>
      <w:r>
        <w:rPr>
          <w:rFonts w:ascii="Times New Roman" w:cs="Times New Roman" w:eastAsia="Times New Roman" w:hAnsi="Times New Roman"/>
          <w:b/>
          <w:bCs/>
          <w:sz w:val="20"/>
          <w:szCs w:val="20"/>
        </w:rPr>
        <w:t xml:space="preserve">MINUTA DEMONSTRATIVA — CONTRAPARTE A SELECIONAR</w:t>
      </w:r>
    </w:p>
    <w:p>
      <w:pPr>
        <w:spacing w:after="120" w:line="360"/>
        <w:jc w:val="both"/>
      </w:pPr>
      <w:r>
        <w:rPr>
          <w:rFonts w:ascii="Times New Roman" w:cs="Times New Roman" w:eastAsia="Times New Roman" w:hAnsi="Times New Roman"/>
          <w:b/>
          <w:bCs/>
          <w:sz w:val="24"/>
          <w:szCs w:val="24"/>
        </w:rPr>
        <w:t xml:space="preserve">PARTES:</w:t>
      </w:r>
      <w:r>
        <w:rPr>
          <w:rFonts w:ascii="Times New Roman" w:cs="Times New Roman" w:eastAsia="Times New Roman" w:hAnsi="Times New Roman"/>
          <w:sz w:val="24"/>
          <w:szCs w:val="24"/>
        </w:rPr>
        <w:t xml:space="preserve"> AUTO SHIELD FI TECNOLOGIA LTDA ("Licenciante") e entidade regulada a selecionar conforme a Política B-10 — sociedade seguradora (Rota A) ou administradora de operações de proteção patrimonial mutualista (Rota B), ambas autorizadas pela SUSEP ("Parceira").</w:t>
      </w:r>
    </w:p>
    <w:p>
      <w:pPr>
        <w:pStyle w:val="Heading2"/>
        <w:keepNext/>
        <w:spacing w:after="120" w:before="240" w:line="300"/>
      </w:pPr>
      <w:r>
        <w:rPr>
          <w:rFonts w:ascii="Times New Roman" w:cs="Times New Roman" w:eastAsia="Times New Roman" w:hAnsi="Times New Roman"/>
          <w:b/>
          <w:bCs/>
          <w:sz w:val="24"/>
          <w:szCs w:val="24"/>
        </w:rPr>
        <w:t xml:space="preserve">OBJETO</w:t>
      </w:r>
    </w:p>
    <w:p>
      <w:pPr>
        <w:spacing w:after="120" w:line="360"/>
        <w:jc w:val="both"/>
      </w:pPr>
      <w:r>
        <w:rPr>
          <w:rFonts w:ascii="Times New Roman" w:cs="Times New Roman" w:eastAsia="Times New Roman" w:hAnsi="Times New Roman"/>
          <w:sz w:val="24"/>
          <w:szCs w:val="24"/>
        </w:rPr>
        <w:t xml:space="preserve">Licença de plataforma SaaS e integração tecnológica.</w:t>
      </w:r>
    </w:p>
    <w:p>
      <w:pPr>
        <w:pStyle w:val="Heading2"/>
        <w:keepNext/>
        <w:spacing w:after="120" w:before="240" w:line="300"/>
      </w:pPr>
      <w:r>
        <w:rPr>
          <w:rFonts w:ascii="Times New Roman" w:cs="Times New Roman" w:eastAsia="Times New Roman" w:hAnsi="Times New Roman"/>
          <w:b/>
          <w:bCs/>
          <w:sz w:val="24"/>
          <w:szCs w:val="24"/>
        </w:rPr>
        <w:t xml:space="preserve">RESPONSABILIDADE REGULATÓRIA</w:t>
      </w:r>
    </w:p>
    <w:p>
      <w:pPr>
        <w:spacing w:after="120" w:line="360"/>
        <w:jc w:val="both"/>
      </w:pPr>
      <w:r>
        <w:rPr>
          <w:rFonts w:ascii="Times New Roman" w:cs="Times New Roman" w:eastAsia="Times New Roman" w:hAnsi="Times New Roman"/>
          <w:sz w:val="24"/>
          <w:szCs w:val="24"/>
        </w:rPr>
        <w:t xml:space="preserve">A Parceira permanece exclusiva responsável pelos atos privativos inerentes à autorização que detiver.</w:t>
      </w:r>
    </w:p>
    <w:p>
      <w:pPr>
        <w:pStyle w:val="Heading2"/>
        <w:keepNext/>
        <w:spacing w:after="120" w:before="240" w:line="300"/>
      </w:pPr>
      <w:r>
        <w:rPr>
          <w:rFonts w:ascii="Times New Roman" w:cs="Times New Roman" w:eastAsia="Times New Roman" w:hAnsi="Times New Roman"/>
          <w:b/>
          <w:bCs/>
          <w:sz w:val="24"/>
          <w:szCs w:val="24"/>
        </w:rPr>
        <w:t xml:space="preserve">AUSÊNCIA DE TRANSFERÊNCIA DE RISCO</w:t>
      </w:r>
    </w:p>
    <w:p>
      <w:pPr>
        <w:spacing w:after="120" w:line="360"/>
        <w:jc w:val="both"/>
      </w:pPr>
      <w:r>
        <w:rPr>
          <w:rFonts w:ascii="Times New Roman" w:cs="Times New Roman" w:eastAsia="Times New Roman" w:hAnsi="Times New Roman"/>
          <w:sz w:val="24"/>
          <w:szCs w:val="24"/>
        </w:rPr>
        <w:t xml:space="preserve">A Licenciante não assume risco segurado ou mutualista.</w:t>
      </w:r>
    </w:p>
    <w:p>
      <w:pPr>
        <w:pStyle w:val="Heading2"/>
        <w:keepNext/>
        <w:spacing w:after="120" w:before="240" w:line="300"/>
      </w:pPr>
      <w:r>
        <w:rPr>
          <w:rFonts w:ascii="Times New Roman" w:cs="Times New Roman" w:eastAsia="Times New Roman" w:hAnsi="Times New Roman"/>
          <w:b/>
          <w:bCs/>
          <w:sz w:val="24"/>
          <w:szCs w:val="24"/>
        </w:rPr>
        <w:t xml:space="preserve">AUSÊNCIA DE INTERMEDIAÇÃO</w:t>
      </w:r>
    </w:p>
    <w:p>
      <w:pPr>
        <w:spacing w:after="120" w:line="360"/>
        <w:jc w:val="both"/>
      </w:pPr>
      <w:r>
        <w:rPr>
          <w:rFonts w:ascii="Times New Roman" w:cs="Times New Roman" w:eastAsia="Times New Roman" w:hAnsi="Times New Roman"/>
          <w:sz w:val="24"/>
          <w:szCs w:val="24"/>
        </w:rPr>
        <w:t xml:space="preserve">A Licenciante não angaria, promove ou intermedeia contratos de seguro ou de participação e não recebe remuneração vinculada à quantidade de contratos vendidos.</w:t>
      </w:r>
    </w:p>
    <w:p>
      <w:pPr>
        <w:pStyle w:val="Heading2"/>
        <w:keepNext/>
        <w:spacing w:after="120" w:before="240" w:line="300"/>
      </w:pPr>
      <w:r>
        <w:rPr>
          <w:rFonts w:ascii="Times New Roman" w:cs="Times New Roman" w:eastAsia="Times New Roman" w:hAnsi="Times New Roman"/>
          <w:b/>
          <w:bCs/>
          <w:sz w:val="24"/>
          <w:szCs w:val="24"/>
        </w:rPr>
        <w:t xml:space="preserve">DADOS</w:t>
      </w:r>
    </w:p>
    <w:p>
      <w:pPr>
        <w:spacing w:after="120" w:line="360"/>
        <w:jc w:val="both"/>
      </w:pPr>
      <w:r>
        <w:rPr>
          <w:rFonts w:ascii="Times New Roman" w:cs="Times New Roman" w:eastAsia="Times New Roman" w:hAnsi="Times New Roman"/>
          <w:sz w:val="24"/>
          <w:szCs w:val="24"/>
        </w:rPr>
        <w:t xml:space="preserve">As partes estabelecerão os papéis de controlador e operador por atividade no DPA (E-05).</w:t>
      </w:r>
    </w:p>
    <w:p>
      <w:pPr>
        <w:pStyle w:val="Heading2"/>
        <w:keepNext/>
        <w:spacing w:after="120" w:before="240" w:line="300"/>
      </w:pPr>
      <w:r>
        <w:rPr>
          <w:rFonts w:ascii="Times New Roman" w:cs="Times New Roman" w:eastAsia="Times New Roman" w:hAnsi="Times New Roman"/>
          <w:b/>
          <w:bCs/>
          <w:sz w:val="24"/>
          <w:szCs w:val="24"/>
        </w:rPr>
        <w:t xml:space="preserve">SLA</w:t>
      </w:r>
    </w:p>
    <w:p>
      <w:pPr>
        <w:spacing w:after="120" w:line="360"/>
        <w:jc w:val="both"/>
      </w:pPr>
      <w:r>
        <w:rPr>
          <w:rFonts w:ascii="Times New Roman" w:cs="Times New Roman" w:eastAsia="Times New Roman" w:hAnsi="Times New Roman"/>
          <w:sz w:val="24"/>
          <w:szCs w:val="24"/>
        </w:rPr>
        <w:t xml:space="preserve">Disponibilidade mensal alvo de 99,5%, excluídas manutenções programadas comunicadas com 72 horas de antecedência e eventos contratualmente definidos.</w:t>
      </w:r>
    </w:p>
    <w:p>
      <w:pPr>
        <w:pStyle w:val="Heading2"/>
        <w:keepNext/>
        <w:spacing w:after="120" w:before="240" w:line="300"/>
      </w:pPr>
      <w:r>
        <w:rPr>
          <w:rFonts w:ascii="Times New Roman" w:cs="Times New Roman" w:eastAsia="Times New Roman" w:hAnsi="Times New Roman"/>
          <w:b/>
          <w:bCs/>
          <w:sz w:val="24"/>
          <w:szCs w:val="24"/>
        </w:rPr>
        <w:t xml:space="preserve">SEGURANÇA</w:t>
      </w:r>
    </w:p>
    <w:p>
      <w:pPr>
        <w:spacing w:after="120" w:line="360"/>
        <w:jc w:val="both"/>
      </w:pPr>
      <w:r>
        <w:rPr>
          <w:rFonts w:ascii="Times New Roman" w:cs="Times New Roman" w:eastAsia="Times New Roman" w:hAnsi="Times New Roman"/>
          <w:sz w:val="24"/>
          <w:szCs w:val="24"/>
        </w:rPr>
        <w:t xml:space="preserve">MFA, criptografia, segregação de ambientes, logs e gestão de vulnerabilidades (E-10 e E-13), em nível compatível com a política de segurança cibernética exigida da Parceira pela regulação aplicável.</w:t>
      </w:r>
    </w:p>
    <w:p>
      <w:pPr>
        <w:pStyle w:val="Heading2"/>
        <w:keepNext/>
        <w:spacing w:after="120" w:before="240" w:line="300"/>
      </w:pPr>
      <w:r>
        <w:rPr>
          <w:rFonts w:ascii="Times New Roman" w:cs="Times New Roman" w:eastAsia="Times New Roman" w:hAnsi="Times New Roman"/>
          <w:b/>
          <w:bCs/>
          <w:sz w:val="24"/>
          <w:szCs w:val="24"/>
        </w:rPr>
        <w:t xml:space="preserve">AUDITORIA</w:t>
      </w:r>
    </w:p>
    <w:p>
      <w:pPr>
        <w:spacing w:after="120" w:line="360"/>
        <w:jc w:val="both"/>
      </w:pPr>
      <w:r>
        <w:rPr>
          <w:rFonts w:ascii="Times New Roman" w:cs="Times New Roman" w:eastAsia="Times New Roman" w:hAnsi="Times New Roman"/>
          <w:sz w:val="24"/>
          <w:szCs w:val="24"/>
        </w:rPr>
        <w:t xml:space="preserve">Cada parte poderá verificar controles relevantes mediante aviso prévio de 15 dias e salvaguardas de confidencialidade.</w:t>
      </w:r>
    </w:p>
    <w:p>
      <w:pPr>
        <w:pStyle w:val="Heading2"/>
        <w:keepNext/>
        <w:spacing w:after="120" w:before="240" w:line="300"/>
      </w:pPr>
      <w:r>
        <w:rPr>
          <w:rFonts w:ascii="Times New Roman" w:cs="Times New Roman" w:eastAsia="Times New Roman" w:hAnsi="Times New Roman"/>
          <w:b/>
          <w:bCs/>
          <w:sz w:val="24"/>
          <w:szCs w:val="24"/>
        </w:rPr>
        <w:t xml:space="preserve">PREÇO</w:t>
      </w:r>
    </w:p>
    <w:p>
      <w:pPr>
        <w:spacing w:after="120" w:line="360"/>
        <w:jc w:val="both"/>
      </w:pPr>
      <w:r>
        <w:rPr>
          <w:rFonts w:ascii="Times New Roman" w:cs="Times New Roman" w:eastAsia="Times New Roman" w:hAnsi="Times New Roman"/>
          <w:sz w:val="24"/>
          <w:szCs w:val="24"/>
        </w:rPr>
        <w:t xml:space="preserve">R$ 15.000,00 (quinze mil reais) fixos mensais, a título de licença base, acrescidos de R$ 3,00 (três reais) por contrato ou participação ativa gerida na plataforma, por mês. A métrica é tecnológica e não se confunde com prêmio, contribuição, rateio ou patrimônio do grupo.</w:t>
      </w:r>
    </w:p>
    <w:p>
      <w:pPr>
        <w:pStyle w:val="Heading2"/>
        <w:keepNext/>
        <w:spacing w:after="120" w:before="240" w:line="300"/>
      </w:pPr>
      <w:r>
        <w:rPr>
          <w:rFonts w:ascii="Times New Roman" w:cs="Times New Roman" w:eastAsia="Times New Roman" w:hAnsi="Times New Roman"/>
          <w:b/>
          <w:bCs/>
          <w:sz w:val="24"/>
          <w:szCs w:val="24"/>
        </w:rPr>
        <w:t xml:space="preserve">VIGÊNCIA</w:t>
      </w:r>
    </w:p>
    <w:p>
      <w:pPr>
        <w:spacing w:after="120" w:line="360"/>
        <w:jc w:val="both"/>
      </w:pPr>
      <w:r>
        <w:rPr>
          <w:rFonts w:ascii="Times New Roman" w:cs="Times New Roman" w:eastAsia="Times New Roman" w:hAnsi="Times New Roman"/>
          <w:sz w:val="24"/>
          <w:szCs w:val="24"/>
        </w:rPr>
        <w:t xml:space="preserve">24 (vinte e quatro) meses, renovável automaticamente por períodos de 12 meses, salvo denúncia com antecedência mínima de 90 dias.</w:t>
      </w:r>
    </w:p>
    <w:p>
      <w:pPr>
        <w:pStyle w:val="Heading2"/>
        <w:keepNext/>
        <w:spacing w:after="120" w:before="240" w:line="300"/>
      </w:pPr>
      <w:r>
        <w:rPr>
          <w:rFonts w:ascii="Times New Roman" w:cs="Times New Roman" w:eastAsia="Times New Roman" w:hAnsi="Times New Roman"/>
          <w:b/>
          <w:bCs/>
          <w:sz w:val="24"/>
          <w:szCs w:val="24"/>
        </w:rPr>
        <w:t xml:space="preserve">RESCISÃO</w:t>
      </w:r>
    </w:p>
    <w:p>
      <w:pPr>
        <w:spacing w:after="120" w:line="360"/>
        <w:jc w:val="both"/>
      </w:pPr>
      <w:r>
        <w:rPr>
          <w:rFonts w:ascii="Times New Roman" w:cs="Times New Roman" w:eastAsia="Times New Roman" w:hAnsi="Times New Roman"/>
          <w:sz w:val="24"/>
          <w:szCs w:val="24"/>
        </w:rPr>
        <w:t xml:space="preserve">Prevista saída assistida por até 90 dias e exportação segura dos dados em formato aberto.</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B-07 — ESTATUTO DA ASSOCIAÇÃO DE PROTEÇÃO PATRIMONIAL MUTUALISTA</w:t>
      </w:r>
    </w:p>
    <w:p>
      <w:pPr>
        <w:pBdr>
          <w:top w:val="single" w:color="404040" w:sz="8" w:space="4"/>
          <w:bottom w:val="single" w:color="404040" w:sz="8" w:space="4"/>
        </w:pBdr>
        <w:shd w:fill="EDEDED" w:color="auto" w:val="clear"/>
        <w:spacing w:after="180" w:before="60" w:line="276"/>
        <w:jc w:val="center"/>
      </w:pPr>
      <w:r>
        <w:rPr>
          <w:rFonts w:ascii="Times New Roman" w:cs="Times New Roman" w:eastAsia="Times New Roman" w:hAnsi="Times New Roman"/>
          <w:b/>
          <w:bCs/>
          <w:sz w:val="20"/>
          <w:szCs w:val="20"/>
        </w:rPr>
        <w:t xml:space="preserve">MINUTA DEMONSTRATIVA — SOMENTE UTILIZÁVEL MEDIANTE ADEQUAÇÃO AO REGIME DA LC Nº 213/2025 E DA RESOLUÇÃO CNSP Nº 491/2026 E REGISTRO APLICÁVEL</w:t>
      </w:r>
    </w:p>
    <w:p>
      <w:pPr>
        <w:pStyle w:val="Heading3"/>
        <w:keepNext/>
        <w:spacing w:after="100" w:before="180" w:line="300"/>
      </w:pPr>
      <w:r>
        <w:rPr>
          <w:rFonts w:ascii="Times New Roman" w:cs="Times New Roman" w:eastAsia="Times New Roman" w:hAnsi="Times New Roman"/>
          <w:b/>
          <w:bCs/>
          <w:i/>
          <w:iCs/>
          <w:sz w:val="24"/>
          <w:szCs w:val="24"/>
        </w:rPr>
        <w:t xml:space="preserve">ART. 1º</w:t>
      </w:r>
    </w:p>
    <w:p>
      <w:pPr>
        <w:spacing w:after="120" w:line="360"/>
        <w:jc w:val="both"/>
      </w:pPr>
      <w:r>
        <w:rPr>
          <w:rFonts w:ascii="Times New Roman" w:cs="Times New Roman" w:eastAsia="Times New Roman" w:hAnsi="Times New Roman"/>
          <w:sz w:val="24"/>
          <w:szCs w:val="24"/>
        </w:rPr>
        <w:t xml:space="preserve">A Associação, cuja denominação será definida em assembleia de constituição, é pessoa jurídica de direito privado, sem finalidade lucrativa, com sede no Município do Rio de Janeiro/RJ.</w:t>
      </w:r>
    </w:p>
    <w:p>
      <w:pPr>
        <w:pStyle w:val="Heading3"/>
        <w:keepNext/>
        <w:spacing w:after="100" w:before="180" w:line="300"/>
      </w:pPr>
      <w:r>
        <w:rPr>
          <w:rFonts w:ascii="Times New Roman" w:cs="Times New Roman" w:eastAsia="Times New Roman" w:hAnsi="Times New Roman"/>
          <w:b/>
          <w:bCs/>
          <w:i/>
          <w:iCs/>
          <w:sz w:val="24"/>
          <w:szCs w:val="24"/>
        </w:rPr>
        <w:t xml:space="preserve">ART. 2º</w:t>
      </w:r>
    </w:p>
    <w:p>
      <w:pPr>
        <w:spacing w:after="120" w:line="360"/>
        <w:jc w:val="both"/>
      </w:pPr>
      <w:r>
        <w:rPr>
          <w:rFonts w:ascii="Times New Roman" w:cs="Times New Roman" w:eastAsia="Times New Roman" w:hAnsi="Times New Roman"/>
          <w:sz w:val="24"/>
          <w:szCs w:val="24"/>
        </w:rPr>
        <w:t xml:space="preserve">Sua finalidade será organizar, dentro do regime legal aplicável, interesses comuns de seus associados e formar grupos de proteção patrimonial mutualista mediante contratação de administradora de operações de proteção patrimonial mutualista autorizada pela SUSEP.</w:t>
      </w:r>
    </w:p>
    <w:p>
      <w:pPr>
        <w:pStyle w:val="Heading3"/>
        <w:keepNext/>
        <w:spacing w:after="100" w:before="180" w:line="300"/>
      </w:pPr>
      <w:r>
        <w:rPr>
          <w:rFonts w:ascii="Times New Roman" w:cs="Times New Roman" w:eastAsia="Times New Roman" w:hAnsi="Times New Roman"/>
          <w:b/>
          <w:bCs/>
          <w:i/>
          <w:iCs/>
          <w:sz w:val="24"/>
          <w:szCs w:val="24"/>
        </w:rPr>
        <w:t xml:space="preserve">ART. 3º</w:t>
      </w:r>
    </w:p>
    <w:p>
      <w:pPr>
        <w:spacing w:after="120" w:line="360"/>
        <w:jc w:val="both"/>
      </w:pPr>
      <w:r>
        <w:rPr>
          <w:rFonts w:ascii="Times New Roman" w:cs="Times New Roman" w:eastAsia="Times New Roman" w:hAnsi="Times New Roman"/>
          <w:sz w:val="24"/>
          <w:szCs w:val="24"/>
        </w:rPr>
        <w:t xml:space="preserve">A Associação não substituirá a administradora em funções privativas desta, podendo atuar na intermediação de contratos de participação sob responsabilidade da administradora, nos termos da regulação.</w:t>
      </w:r>
    </w:p>
    <w:p>
      <w:pPr>
        <w:pStyle w:val="Heading3"/>
        <w:keepNext/>
        <w:spacing w:after="100" w:before="180" w:line="300"/>
      </w:pPr>
      <w:r>
        <w:rPr>
          <w:rFonts w:ascii="Times New Roman" w:cs="Times New Roman" w:eastAsia="Times New Roman" w:hAnsi="Times New Roman"/>
          <w:b/>
          <w:bCs/>
          <w:i/>
          <w:iCs/>
          <w:sz w:val="24"/>
          <w:szCs w:val="24"/>
        </w:rPr>
        <w:t xml:space="preserve">ART. 4º</w:t>
      </w:r>
    </w:p>
    <w:p>
      <w:pPr>
        <w:spacing w:after="120" w:line="360"/>
        <w:jc w:val="both"/>
      </w:pPr>
      <w:r>
        <w:rPr>
          <w:rFonts w:ascii="Times New Roman" w:cs="Times New Roman" w:eastAsia="Times New Roman" w:hAnsi="Times New Roman"/>
          <w:sz w:val="24"/>
          <w:szCs w:val="24"/>
        </w:rPr>
        <w:t xml:space="preserve">São direitos do associado: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participar das assembleias;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receber informações;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fiscalizar;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utilizar os canais de reclamação;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desligar-se conforme as regras aplicáveis.</w:t>
      </w:r>
    </w:p>
    <w:p>
      <w:pPr>
        <w:pStyle w:val="Heading3"/>
        <w:keepNext/>
        <w:spacing w:after="100" w:before="180" w:line="300"/>
      </w:pPr>
      <w:r>
        <w:rPr>
          <w:rFonts w:ascii="Times New Roman" w:cs="Times New Roman" w:eastAsia="Times New Roman" w:hAnsi="Times New Roman"/>
          <w:b/>
          <w:bCs/>
          <w:i/>
          <w:iCs/>
          <w:sz w:val="24"/>
          <w:szCs w:val="24"/>
        </w:rPr>
        <w:t xml:space="preserve">ART. 5º</w:t>
      </w:r>
    </w:p>
    <w:p>
      <w:pPr>
        <w:spacing w:after="120" w:line="360"/>
        <w:jc w:val="both"/>
      </w:pPr>
      <w:r>
        <w:rPr>
          <w:rFonts w:ascii="Times New Roman" w:cs="Times New Roman" w:eastAsia="Times New Roman" w:hAnsi="Times New Roman"/>
          <w:sz w:val="24"/>
          <w:szCs w:val="24"/>
        </w:rPr>
        <w:t xml:space="preserve">São deveres do associado: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prestar informação verdadeira;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pagar as contribuições e os rateios;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observar o regulamento;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cooperar na apuração de eventos.</w:t>
      </w:r>
    </w:p>
    <w:p>
      <w:pPr>
        <w:pStyle w:val="Heading3"/>
        <w:keepNext/>
        <w:spacing w:after="100" w:before="180" w:line="300"/>
      </w:pPr>
      <w:r>
        <w:rPr>
          <w:rFonts w:ascii="Times New Roman" w:cs="Times New Roman" w:eastAsia="Times New Roman" w:hAnsi="Times New Roman"/>
          <w:b/>
          <w:bCs/>
          <w:i/>
          <w:iCs/>
          <w:sz w:val="24"/>
          <w:szCs w:val="24"/>
        </w:rPr>
        <w:t xml:space="preserve">ART. 6º</w:t>
      </w:r>
    </w:p>
    <w:p>
      <w:pPr>
        <w:spacing w:after="120" w:line="360"/>
        <w:jc w:val="both"/>
      </w:pPr>
      <w:r>
        <w:rPr>
          <w:rFonts w:ascii="Times New Roman" w:cs="Times New Roman" w:eastAsia="Times New Roman" w:hAnsi="Times New Roman"/>
          <w:sz w:val="24"/>
          <w:szCs w:val="24"/>
        </w:rPr>
        <w:t xml:space="preserve">São órgãos da Associação: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Assembleia Geral;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Diretoria;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Conselho Fiscal.</w:t>
      </w:r>
    </w:p>
    <w:p>
      <w:pPr>
        <w:pStyle w:val="Heading3"/>
        <w:keepNext/>
        <w:spacing w:after="100" w:before="180" w:line="300"/>
      </w:pPr>
      <w:r>
        <w:rPr>
          <w:rFonts w:ascii="Times New Roman" w:cs="Times New Roman" w:eastAsia="Times New Roman" w:hAnsi="Times New Roman"/>
          <w:b/>
          <w:bCs/>
          <w:i/>
          <w:iCs/>
          <w:sz w:val="24"/>
          <w:szCs w:val="24"/>
        </w:rPr>
        <w:t xml:space="preserve">ART. 7º</w:t>
      </w:r>
    </w:p>
    <w:p>
      <w:pPr>
        <w:spacing w:after="120" w:line="360"/>
        <w:jc w:val="both"/>
      </w:pPr>
      <w:r>
        <w:rPr>
          <w:rFonts w:ascii="Times New Roman" w:cs="Times New Roman" w:eastAsia="Times New Roman" w:hAnsi="Times New Roman"/>
          <w:sz w:val="24"/>
          <w:szCs w:val="24"/>
        </w:rPr>
        <w:t xml:space="preserve">A Assembleia Geral elegerá os administradores associativos, aprovará as contas e deliberará sobre as matérias de sua competência.</w:t>
      </w:r>
    </w:p>
    <w:p>
      <w:pPr>
        <w:pStyle w:val="Heading3"/>
        <w:keepNext/>
        <w:spacing w:after="100" w:before="180" w:line="300"/>
      </w:pPr>
      <w:r>
        <w:rPr>
          <w:rFonts w:ascii="Times New Roman" w:cs="Times New Roman" w:eastAsia="Times New Roman" w:hAnsi="Times New Roman"/>
          <w:b/>
          <w:bCs/>
          <w:i/>
          <w:iCs/>
          <w:sz w:val="24"/>
          <w:szCs w:val="24"/>
        </w:rPr>
        <w:t xml:space="preserve">ART. 8º</w:t>
      </w:r>
    </w:p>
    <w:p>
      <w:pPr>
        <w:spacing w:after="120" w:line="360"/>
        <w:jc w:val="both"/>
      </w:pPr>
      <w:r>
        <w:rPr>
          <w:rFonts w:ascii="Times New Roman" w:cs="Times New Roman" w:eastAsia="Times New Roman" w:hAnsi="Times New Roman"/>
          <w:sz w:val="24"/>
          <w:szCs w:val="24"/>
        </w:rPr>
        <w:t xml:space="preserve">Os recursos do grupo não se confundem com o patrimônio livre da Associação, da administradora ou da empresa de tecnologia.</w:t>
      </w:r>
    </w:p>
    <w:p>
      <w:pPr>
        <w:pStyle w:val="Heading3"/>
        <w:keepNext/>
        <w:spacing w:after="100" w:before="180" w:line="300"/>
      </w:pPr>
      <w:r>
        <w:rPr>
          <w:rFonts w:ascii="Times New Roman" w:cs="Times New Roman" w:eastAsia="Times New Roman" w:hAnsi="Times New Roman"/>
          <w:b/>
          <w:bCs/>
          <w:i/>
          <w:iCs/>
          <w:sz w:val="24"/>
          <w:szCs w:val="24"/>
        </w:rPr>
        <w:t xml:space="preserve">ART. 9º</w:t>
      </w:r>
    </w:p>
    <w:p>
      <w:pPr>
        <w:spacing w:after="120" w:line="360"/>
        <w:jc w:val="both"/>
      </w:pPr>
      <w:r>
        <w:rPr>
          <w:rFonts w:ascii="Times New Roman" w:cs="Times New Roman" w:eastAsia="Times New Roman" w:hAnsi="Times New Roman"/>
          <w:sz w:val="24"/>
          <w:szCs w:val="24"/>
        </w:rPr>
        <w:t xml:space="preserve">É vedada a distribuição de lucros da Associação.</w:t>
      </w:r>
    </w:p>
    <w:p>
      <w:pPr>
        <w:pStyle w:val="Heading3"/>
        <w:keepNext/>
        <w:spacing w:after="100" w:before="180" w:line="300"/>
      </w:pPr>
      <w:r>
        <w:rPr>
          <w:rFonts w:ascii="Times New Roman" w:cs="Times New Roman" w:eastAsia="Times New Roman" w:hAnsi="Times New Roman"/>
          <w:b/>
          <w:bCs/>
          <w:i/>
          <w:iCs/>
          <w:sz w:val="24"/>
          <w:szCs w:val="24"/>
        </w:rPr>
        <w:t xml:space="preserve">ART. 10</w:t>
      </w:r>
    </w:p>
    <w:p>
      <w:pPr>
        <w:spacing w:after="120" w:line="360"/>
        <w:jc w:val="both"/>
      </w:pPr>
      <w:r>
        <w:rPr>
          <w:rFonts w:ascii="Times New Roman" w:cs="Times New Roman" w:eastAsia="Times New Roman" w:hAnsi="Times New Roman"/>
          <w:sz w:val="24"/>
          <w:szCs w:val="24"/>
        </w:rPr>
        <w:t xml:space="preserve">A dissolução observará a legislação, os contratos, os passivos e a destinação lícita dos bens remanescentes.</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B-08 — REGULAMENTO DO GRUPO MUTUALISTA</w:t>
      </w:r>
    </w:p>
    <w:p>
      <w:pPr>
        <w:pBdr>
          <w:top w:val="single" w:color="404040" w:sz="8" w:space="4"/>
          <w:bottom w:val="single" w:color="404040" w:sz="8" w:space="4"/>
        </w:pBdr>
        <w:shd w:fill="EDEDED" w:color="auto" w:val="clear"/>
        <w:spacing w:after="180" w:before="60" w:line="276"/>
        <w:jc w:val="center"/>
      </w:pPr>
      <w:r>
        <w:rPr>
          <w:rFonts w:ascii="Times New Roman" w:cs="Times New Roman" w:eastAsia="Times New Roman" w:hAnsi="Times New Roman"/>
          <w:b/>
          <w:bCs/>
          <w:sz w:val="20"/>
          <w:szCs w:val="20"/>
        </w:rPr>
        <w:t xml:space="preserve">MINUTA DEMONSTRATIVA — PARÂMETROS SUJEITOS À NOTA TÉCNICA ATUARIAL DA ADMINISTRADORA</w:t>
      </w:r>
    </w:p>
    <w:p>
      <w:pPr>
        <w:spacing w:after="120" w:line="360"/>
        <w:jc w:val="both"/>
      </w:pPr>
      <w:r>
        <w:rPr>
          <w:rFonts w:ascii="Times New Roman" w:cs="Times New Roman" w:eastAsia="Times New Roman" w:hAnsi="Times New Roman"/>
          <w:sz w:val="24"/>
          <w:szCs w:val="24"/>
        </w:rPr>
        <w:t xml:space="preserve">O grupo denomina-se </w:t>
      </w:r>
      <w:r>
        <w:rPr>
          <w:rFonts w:ascii="Times New Roman" w:cs="Times New Roman" w:eastAsia="Times New Roman" w:hAnsi="Times New Roman"/>
          <w:b/>
          <w:bCs/>
          <w:sz w:val="24"/>
          <w:szCs w:val="24"/>
        </w:rPr>
        <w:t xml:space="preserve">Grupo de Proteção Patrimonial Mutualista Veicular nº 01 (GPPM Veicular 01)</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Os participantes compartilharão as despesas relacionadas aos riscos previamente definidos, conforme o contrato de participação, a LC nº 213/2025 e a Resolução CNSP nº 491/2026.</w:t>
      </w:r>
    </w:p>
    <w:p>
      <w:pPr>
        <w:spacing w:after="120" w:line="360"/>
        <w:jc w:val="both"/>
      </w:pPr>
      <w:r>
        <w:rPr>
          <w:rFonts w:ascii="Times New Roman" w:cs="Times New Roman" w:eastAsia="Times New Roman" w:hAnsi="Times New Roman"/>
          <w:sz w:val="24"/>
          <w:szCs w:val="24"/>
        </w:rPr>
        <w:t xml:space="preserve">O regulamento deverá indicar: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bens elegíveis:</w:t>
      </w:r>
      <w:r>
        <w:rPr>
          <w:rFonts w:ascii="Times New Roman" w:cs="Times New Roman" w:eastAsia="Times New Roman" w:hAnsi="Times New Roman"/>
          <w:sz w:val="24"/>
          <w:szCs w:val="24"/>
        </w:rPr>
        <w:t xml:space="preserve"> automóveis e utilitários leves de uso particular, conforme C-04;</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riscos:</w:t>
      </w:r>
      <w:r>
        <w:rPr>
          <w:rFonts w:ascii="Times New Roman" w:cs="Times New Roman" w:eastAsia="Times New Roman" w:hAnsi="Times New Roman"/>
          <w:sz w:val="24"/>
          <w:szCs w:val="24"/>
        </w:rPr>
        <w:t xml:space="preserve"> danos ao casco do veículo, responsabilidade civil a terceiros decorrente de acidente com o veículo protegido e assistências vinculadas (art. 13 da Res. CNSP nº 491/2026);</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critérios de rateio:</w:t>
      </w:r>
      <w:r>
        <w:rPr>
          <w:rFonts w:ascii="Times New Roman" w:cs="Times New Roman" w:eastAsia="Times New Roman" w:hAnsi="Times New Roman"/>
          <w:sz w:val="24"/>
          <w:szCs w:val="24"/>
        </w:rPr>
        <w:t xml:space="preserve"> período de rateio de até 3 meses, com previsão contratual expressa, e contribuição mensal de estabilização;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limites:</w:t>
      </w:r>
      <w:r>
        <w:rPr>
          <w:rFonts w:ascii="Times New Roman" w:cs="Times New Roman" w:eastAsia="Times New Roman" w:hAnsi="Times New Roman"/>
          <w:sz w:val="24"/>
          <w:szCs w:val="24"/>
        </w:rPr>
        <w:t xml:space="preserve"> até 100% do valor de referência do veículo para casco; R$ 50.000,00 para responsabilidade civil a terceiros;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participação do associado:</w:t>
      </w:r>
      <w:r>
        <w:rPr>
          <w:rFonts w:ascii="Times New Roman" w:cs="Times New Roman" w:eastAsia="Times New Roman" w:hAnsi="Times New Roman"/>
          <w:sz w:val="24"/>
          <w:szCs w:val="24"/>
        </w:rPr>
        <w:t xml:space="preserve"> 5% do valor de referência, com mínimo de R$ 1.500,00;</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reservas e provisões:</w:t>
      </w:r>
      <w:r>
        <w:rPr>
          <w:rFonts w:ascii="Times New Roman" w:cs="Times New Roman" w:eastAsia="Times New Roman" w:hAnsi="Times New Roman"/>
          <w:sz w:val="24"/>
          <w:szCs w:val="24"/>
        </w:rPr>
        <w:t xml:space="preserve"> as exigidas pela regulação e pela nota técnica da administradora;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documentos:</w:t>
      </w:r>
      <w:r>
        <w:rPr>
          <w:rFonts w:ascii="Times New Roman" w:cs="Times New Roman" w:eastAsia="Times New Roman" w:hAnsi="Times New Roman"/>
          <w:sz w:val="24"/>
          <w:szCs w:val="24"/>
        </w:rPr>
        <w:t xml:space="preserve"> os estritamente necessários à regulação do evento;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procedimento de evento:</w:t>
      </w:r>
      <w:r>
        <w:rPr>
          <w:rFonts w:ascii="Times New Roman" w:cs="Times New Roman" w:eastAsia="Times New Roman" w:hAnsi="Times New Roman"/>
          <w:sz w:val="24"/>
          <w:szCs w:val="24"/>
        </w:rPr>
        <w:t xml:space="preserve"> C-07 e C-08, com prazo máximo de 90 dias;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exclusões:</w:t>
      </w:r>
      <w:r>
        <w:rPr>
          <w:rFonts w:ascii="Times New Roman" w:cs="Times New Roman" w:eastAsia="Times New Roman" w:hAnsi="Times New Roman"/>
          <w:sz w:val="24"/>
          <w:szCs w:val="24"/>
        </w:rPr>
        <w:t xml:space="preserve"> conforme C-04;</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desligamento:</w:t>
      </w:r>
      <w:r>
        <w:rPr>
          <w:rFonts w:ascii="Times New Roman" w:cs="Times New Roman" w:eastAsia="Times New Roman" w:hAnsi="Times New Roman"/>
          <w:sz w:val="24"/>
          <w:szCs w:val="24"/>
        </w:rPr>
        <w:t xml:space="preserve"> a qualquer tempo, com direito de resgate calculado segundo tempo de permanência, garantias e contribuições;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prestação de contas:</w:t>
      </w:r>
      <w:r>
        <w:rPr>
          <w:rFonts w:ascii="Times New Roman" w:cs="Times New Roman" w:eastAsia="Times New Roman" w:hAnsi="Times New Roman"/>
          <w:sz w:val="24"/>
          <w:szCs w:val="24"/>
        </w:rPr>
        <w:t xml:space="preserve"> mensal aos participantes.</w:t>
      </w:r>
    </w:p>
    <w:p>
      <w:pPr>
        <w:spacing w:after="120" w:line="360"/>
        <w:jc w:val="both"/>
      </w:pPr>
      <w:r>
        <w:rPr>
          <w:rFonts w:ascii="Times New Roman" w:cs="Times New Roman" w:eastAsia="Times New Roman" w:hAnsi="Times New Roman"/>
          <w:sz w:val="24"/>
          <w:szCs w:val="24"/>
        </w:rPr>
        <w:t xml:space="preserve">O contrato de participação usará linguagem clara, com destaque para as cláusulas restritivas, informará a possibilidade de oscilação das contribuições e observará o Código de Defesa do Consumidor.</w:t>
      </w:r>
    </w:p>
    <w:p>
      <w:pPr>
        <w:spacing w:after="120" w:line="360"/>
        <w:jc w:val="both"/>
      </w:pPr>
      <w:r>
        <w:rPr>
          <w:rFonts w:ascii="Times New Roman" w:cs="Times New Roman" w:eastAsia="Times New Roman" w:hAnsi="Times New Roman"/>
          <w:sz w:val="24"/>
          <w:szCs w:val="24"/>
        </w:rPr>
        <w:t xml:space="preserve">Nenhuma cláusula poderá sugerir garantia ilimitada pela Auto Shield Fi.</w:t>
      </w:r>
    </w:p>
    <w:p>
      <w:pPr>
        <w:spacing w:after="120" w:line="360"/>
        <w:jc w:val="both"/>
      </w:pPr>
      <w:r>
        <w:rPr>
          <w:rFonts w:ascii="Times New Roman" w:cs="Times New Roman" w:eastAsia="Times New Roman" w:hAnsi="Times New Roman"/>
          <w:sz w:val="24"/>
          <w:szCs w:val="24"/>
        </w:rPr>
        <w:t xml:space="preserve">Alterações materiais serão comunicadas aos participantes nos prazos aplicáveis.</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B-09 — CONTRATO ASSOCIAÇÃO–ADMINISTRADORA</w:t>
      </w:r>
    </w:p>
    <w:p>
      <w:pPr>
        <w:pBdr>
          <w:top w:val="single" w:color="404040" w:sz="8" w:space="4"/>
          <w:bottom w:val="single" w:color="404040" w:sz="8" w:space="4"/>
        </w:pBdr>
        <w:shd w:fill="EDEDED" w:color="auto" w:val="clear"/>
        <w:spacing w:after="180" w:before="60" w:line="276"/>
        <w:jc w:val="center"/>
      </w:pPr>
      <w:r>
        <w:rPr>
          <w:rFonts w:ascii="Times New Roman" w:cs="Times New Roman" w:eastAsia="Times New Roman" w:hAnsi="Times New Roman"/>
          <w:b/>
          <w:bCs/>
          <w:sz w:val="20"/>
          <w:szCs w:val="20"/>
        </w:rPr>
        <w:t xml:space="preserve">MINUTA DEMONSTRATIVA — NÃO REPRESENTA ADMINISTRADORA EFETIVAMENTE AUTORIZADA</w:t>
      </w:r>
    </w:p>
    <w:p>
      <w:pPr>
        <w:spacing w:after="120" w:line="360"/>
        <w:jc w:val="both"/>
      </w:pPr>
      <w:r>
        <w:rPr>
          <w:rFonts w:ascii="Times New Roman" w:cs="Times New Roman" w:eastAsia="Times New Roman" w:hAnsi="Times New Roman"/>
          <w:sz w:val="24"/>
          <w:szCs w:val="24"/>
        </w:rPr>
        <w:t xml:space="preserve">A Associação contrata administradora de operações de proteção patrimonial mutualista a selecionar conforme a Política B-10, que, após a confirmação de sua autorização pela SUSEP, exercerá as funções que a legislação lhe atribui.</w:t>
      </w:r>
    </w:p>
    <w:p>
      <w:pPr>
        <w:spacing w:after="120" w:line="360"/>
        <w:jc w:val="both"/>
      </w:pPr>
      <w:r>
        <w:rPr>
          <w:rFonts w:ascii="Times New Roman" w:cs="Times New Roman" w:eastAsia="Times New Roman" w:hAnsi="Times New Roman"/>
          <w:sz w:val="24"/>
          <w:szCs w:val="24"/>
        </w:rPr>
        <w:t xml:space="preserve">A Administradora deverá manter segregação patrimonial, contabilidade, controles, governança, prestação de contas, regulação de eventos e as obrigações prudenciais aplicáveis.</w:t>
      </w:r>
    </w:p>
    <w:p>
      <w:pPr>
        <w:spacing w:after="120" w:line="360"/>
        <w:jc w:val="both"/>
      </w:pPr>
      <w:r>
        <w:rPr>
          <w:rFonts w:ascii="Times New Roman" w:cs="Times New Roman" w:eastAsia="Times New Roman" w:hAnsi="Times New Roman"/>
          <w:sz w:val="24"/>
          <w:szCs w:val="24"/>
        </w:rPr>
        <w:t xml:space="preserve">A Associação fiscalizará a execução sem assumir atribuições privativas.</w:t>
      </w:r>
    </w:p>
    <w:p>
      <w:pPr>
        <w:spacing w:after="120" w:line="360"/>
        <w:jc w:val="both"/>
      </w:pPr>
      <w:r>
        <w:rPr>
          <w:rFonts w:ascii="Times New Roman" w:cs="Times New Roman" w:eastAsia="Times New Roman" w:hAnsi="Times New Roman"/>
          <w:b/>
          <w:bCs/>
          <w:sz w:val="24"/>
          <w:szCs w:val="24"/>
        </w:rPr>
        <w:t xml:space="preserve">Remuneração:</w:t>
      </w:r>
      <w:r>
        <w:rPr>
          <w:rFonts w:ascii="Times New Roman" w:cs="Times New Roman" w:eastAsia="Times New Roman" w:hAnsi="Times New Roman"/>
          <w:sz w:val="24"/>
          <w:szCs w:val="24"/>
        </w:rPr>
        <w:t xml:space="preserve"> taxa de administração expressa em percentual das contribuições, definida em nota técnica e divulgada aos participantes no contrato de participação.</w:t>
      </w:r>
    </w:p>
    <w:p>
      <w:pPr>
        <w:spacing w:after="120" w:line="360"/>
        <w:jc w:val="both"/>
      </w:pPr>
      <w:r>
        <w:rPr>
          <w:rFonts w:ascii="Times New Roman" w:cs="Times New Roman" w:eastAsia="Times New Roman" w:hAnsi="Times New Roman"/>
          <w:sz w:val="24"/>
          <w:szCs w:val="24"/>
        </w:rPr>
        <w:t xml:space="preserve">O contrato conterá SLA, direito de auditoria, continuidade, transferência da administração do grupo para administradora sucessora, proteção de dados e saída ordenada.</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B-10 — POLÍTICA DE SELEÇÃO E FISCALIZAÇÃO DA ADMINISTRADORA</w:t>
      </w:r>
    </w:p>
    <w:p>
      <w:pPr>
        <w:spacing w:after="120" w:line="360"/>
        <w:jc w:val="both"/>
      </w:pPr>
      <w:r>
        <w:rPr>
          <w:rFonts w:ascii="Times New Roman" w:cs="Times New Roman" w:eastAsia="Times New Roman" w:hAnsi="Times New Roman"/>
          <w:sz w:val="24"/>
          <w:szCs w:val="24"/>
        </w:rPr>
        <w:t xml:space="preserve">Antes da contratação serão avaliados: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autorização vigente, verificada diretamente na relação de supervisionadas da SUSEP;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capital, inclusive o capital mínimo requerido pela regulação;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governança;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auditoria;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controles internos;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PLD/FTP;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segurança cibernética;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continuidade;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capacidade operacional;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histórico sancionador público relevante.</w:t>
      </w:r>
    </w:p>
    <w:p>
      <w:pPr>
        <w:spacing w:after="120" w:line="360"/>
        <w:jc w:val="both"/>
      </w:pPr>
      <w:r>
        <w:rPr>
          <w:rFonts w:ascii="Times New Roman" w:cs="Times New Roman" w:eastAsia="Times New Roman" w:hAnsi="Times New Roman"/>
          <w:sz w:val="24"/>
          <w:szCs w:val="24"/>
        </w:rPr>
        <w:t xml:space="preserve">A análise será renovada anualmente.</w:t>
      </w:r>
    </w:p>
    <w:p>
      <w:pPr>
        <w:spacing w:after="120" w:line="360"/>
        <w:jc w:val="both"/>
      </w:pPr>
      <w:r>
        <w:rPr>
          <w:rFonts w:ascii="Times New Roman" w:cs="Times New Roman" w:eastAsia="Times New Roman" w:hAnsi="Times New Roman"/>
          <w:sz w:val="24"/>
          <w:szCs w:val="24"/>
        </w:rPr>
        <w:t xml:space="preserve">A perda de autorização, intervenção, insolvência material ou falha grave acionará o plano de substituição e, se necessário, o Plano de Saída Ordenada (B-12).</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B-11 — MANUAL DE GOVERNANÇA DO GRUPO MUTUALISTA</w:t>
      </w:r>
    </w:p>
    <w:p>
      <w:pPr>
        <w:spacing w:after="120" w:line="360"/>
        <w:jc w:val="both"/>
      </w:pPr>
      <w:r>
        <w:rPr>
          <w:rFonts w:ascii="Times New Roman" w:cs="Times New Roman" w:eastAsia="Times New Roman" w:hAnsi="Times New Roman"/>
          <w:sz w:val="24"/>
          <w:szCs w:val="24"/>
        </w:rPr>
        <w:t xml:space="preserve">A gestão observará:</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segregação patrimonial;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informação transparente;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reconciliação mensal;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controle de despesas;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relatórios periódicos;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trilha de auditoria;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prevenção de conflitos.</w:t>
      </w:r>
    </w:p>
    <w:p>
      <w:pPr>
        <w:spacing w:after="120" w:line="360"/>
        <w:jc w:val="both"/>
      </w:pPr>
      <w:r>
        <w:rPr>
          <w:rFonts w:ascii="Times New Roman" w:cs="Times New Roman" w:eastAsia="Times New Roman" w:hAnsi="Times New Roman"/>
          <w:sz w:val="24"/>
          <w:szCs w:val="24"/>
        </w:rPr>
        <w:t xml:space="preserve">Deliberações que afetem direitos dos participantes serão registradas e comunicadas conforme o regime aplicável.</w:t>
      </w:r>
    </w:p>
    <w:p>
      <w:pPr>
        <w:spacing w:after="120" w:line="360"/>
        <w:jc w:val="both"/>
      </w:pPr>
      <w:r>
        <w:rPr>
          <w:rFonts w:ascii="Times New Roman" w:cs="Times New Roman" w:eastAsia="Times New Roman" w:hAnsi="Times New Roman"/>
          <w:sz w:val="24"/>
          <w:szCs w:val="24"/>
        </w:rPr>
        <w:t xml:space="preserve">A blockchain será instrumento de prova técnica, não substituto das competências dos órgãos de governança.</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B-12 — PLANO DE SAÍDA ORDENADA — RUN-OFF</w:t>
      </w:r>
    </w:p>
    <w:p>
      <w:pPr>
        <w:spacing w:after="120" w:line="360"/>
        <w:jc w:val="both"/>
      </w:pPr>
      <w:r>
        <w:rPr>
          <w:rFonts w:ascii="Times New Roman" w:cs="Times New Roman" w:eastAsia="Times New Roman" w:hAnsi="Times New Roman"/>
          <w:sz w:val="24"/>
          <w:szCs w:val="24"/>
        </w:rPr>
        <w:t xml:space="preserve">São gatilhos: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perda de autorização de parceiro;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insolvência;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falha sistêmica prolongada;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determinação regulatória;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descontinuidade estratégica.</w:t>
      </w:r>
    </w:p>
    <w:p>
      <w:pPr>
        <w:spacing w:after="120" w:line="360"/>
        <w:jc w:val="both"/>
      </w:pPr>
      <w:r>
        <w:rPr>
          <w:rFonts w:ascii="Times New Roman" w:cs="Times New Roman" w:eastAsia="Times New Roman" w:hAnsi="Times New Roman"/>
          <w:sz w:val="24"/>
          <w:szCs w:val="24"/>
        </w:rPr>
        <w:t xml:space="preserve">Acionado o run-off:</w:t>
      </w:r>
    </w:p>
    <w:p>
      <w:pPr>
        <w:spacing w:after="80" w:line="360"/>
        <w:ind w:left="709" w:hanging="425"/>
        <w:jc w:val="both"/>
      </w:pPr>
      <w:r>
        <w:rPr>
          <w:rFonts w:ascii="Times New Roman" w:cs="Times New Roman" w:eastAsia="Times New Roman" w:hAnsi="Times New Roman"/>
          <w:sz w:val="24"/>
          <w:szCs w:val="24"/>
        </w:rPr>
        <w:t xml:space="preserve">1. suspender novas adesões;</w:t>
      </w:r>
    </w:p>
    <w:p>
      <w:pPr>
        <w:spacing w:after="80" w:line="360"/>
        <w:ind w:left="709" w:hanging="425"/>
        <w:jc w:val="both"/>
      </w:pPr>
      <w:r>
        <w:rPr>
          <w:rFonts w:ascii="Times New Roman" w:cs="Times New Roman" w:eastAsia="Times New Roman" w:hAnsi="Times New Roman"/>
          <w:sz w:val="24"/>
          <w:szCs w:val="24"/>
        </w:rPr>
        <w:t xml:space="preserve">2. preservar dados;</w:t>
      </w:r>
    </w:p>
    <w:p>
      <w:pPr>
        <w:spacing w:after="80" w:line="360"/>
        <w:ind w:left="709" w:hanging="425"/>
        <w:jc w:val="both"/>
      </w:pPr>
      <w:r>
        <w:rPr>
          <w:rFonts w:ascii="Times New Roman" w:cs="Times New Roman" w:eastAsia="Times New Roman" w:hAnsi="Times New Roman"/>
          <w:sz w:val="24"/>
          <w:szCs w:val="24"/>
        </w:rPr>
        <w:t xml:space="preserve">3. reconciliar valores;</w:t>
      </w:r>
    </w:p>
    <w:p>
      <w:pPr>
        <w:spacing w:after="80" w:line="360"/>
        <w:ind w:left="709" w:hanging="425"/>
        <w:jc w:val="both"/>
      </w:pPr>
      <w:r>
        <w:rPr>
          <w:rFonts w:ascii="Times New Roman" w:cs="Times New Roman" w:eastAsia="Times New Roman" w:hAnsi="Times New Roman"/>
          <w:sz w:val="24"/>
          <w:szCs w:val="24"/>
        </w:rPr>
        <w:t xml:space="preserve">4. mapear obrigações pendentes;</w:t>
      </w:r>
    </w:p>
    <w:p>
      <w:pPr>
        <w:spacing w:after="80" w:line="360"/>
        <w:ind w:left="709" w:hanging="425"/>
        <w:jc w:val="both"/>
      </w:pPr>
      <w:r>
        <w:rPr>
          <w:rFonts w:ascii="Times New Roman" w:cs="Times New Roman" w:eastAsia="Times New Roman" w:hAnsi="Times New Roman"/>
          <w:sz w:val="24"/>
          <w:szCs w:val="24"/>
        </w:rPr>
        <w:t xml:space="preserve">5. comunicar participantes;</w:t>
      </w:r>
    </w:p>
    <w:p>
      <w:pPr>
        <w:spacing w:after="80" w:line="360"/>
        <w:ind w:left="709" w:hanging="425"/>
        <w:jc w:val="both"/>
      </w:pPr>
      <w:r>
        <w:rPr>
          <w:rFonts w:ascii="Times New Roman" w:cs="Times New Roman" w:eastAsia="Times New Roman" w:hAnsi="Times New Roman"/>
          <w:sz w:val="24"/>
          <w:szCs w:val="24"/>
        </w:rPr>
        <w:t xml:space="preserve">6. manter o tratamento dos eventos já ocorridos conforme o regime aplicável;</w:t>
      </w:r>
    </w:p>
    <w:p>
      <w:pPr>
        <w:spacing w:after="80" w:line="360"/>
        <w:ind w:left="709" w:hanging="425"/>
        <w:jc w:val="both"/>
      </w:pPr>
      <w:r>
        <w:rPr>
          <w:rFonts w:ascii="Times New Roman" w:cs="Times New Roman" w:eastAsia="Times New Roman" w:hAnsi="Times New Roman"/>
          <w:sz w:val="24"/>
          <w:szCs w:val="24"/>
        </w:rPr>
        <w:t xml:space="preserve">7. providenciar a migração ou o encerramento;</w:t>
      </w:r>
    </w:p>
    <w:p>
      <w:pPr>
        <w:spacing w:after="80" w:line="360"/>
        <w:ind w:left="709" w:hanging="425"/>
        <w:jc w:val="both"/>
      </w:pPr>
      <w:r>
        <w:rPr>
          <w:rFonts w:ascii="Times New Roman" w:cs="Times New Roman" w:eastAsia="Times New Roman" w:hAnsi="Times New Roman"/>
          <w:sz w:val="24"/>
          <w:szCs w:val="24"/>
        </w:rPr>
        <w:t xml:space="preserve">8. eliminar acessos obsoletos;</w:t>
      </w:r>
    </w:p>
    <w:p>
      <w:pPr>
        <w:spacing w:after="80" w:line="360"/>
        <w:ind w:left="709" w:hanging="425"/>
        <w:jc w:val="both"/>
      </w:pPr>
      <w:r>
        <w:rPr>
          <w:rFonts w:ascii="Times New Roman" w:cs="Times New Roman" w:eastAsia="Times New Roman" w:hAnsi="Times New Roman"/>
          <w:sz w:val="24"/>
          <w:szCs w:val="24"/>
        </w:rPr>
        <w:t xml:space="preserve">9. emitir relatório final.</w:t>
      </w:r>
    </w:p>
    <w:p>
      <w:pPr>
        <w:pStyle w:val="Heading1"/>
        <w:keepNext/>
        <w:pageBreakBefore/>
        <w:pBdr>
          <w:bottom w:val="single" w:color="7F7F7F" w:sz="6" w:space="6"/>
        </w:pBdr>
        <w:spacing w:after="240" w:before="120" w:line="300"/>
        <w:jc w:val="center"/>
      </w:pPr>
      <w:r>
        <w:rPr>
          <w:rFonts w:ascii="Times New Roman" w:cs="Times New Roman" w:eastAsia="Times New Roman" w:hAnsi="Times New Roman"/>
          <w:b/>
          <w:bCs/>
          <w:sz w:val="26"/>
          <w:szCs w:val="26"/>
        </w:rPr>
        <w:t xml:space="preserve">B-13 — RELATÓRIO TRIMESTRAL DE ADEQUAÇÃO REGULATÓRIA</w:t>
      </w:r>
    </w:p>
    <w:p>
      <w:pPr>
        <w:spacing w:after="120" w:line="360"/>
        <w:jc w:val="both"/>
      </w:pPr>
      <w:r>
        <w:rPr>
          <w:rFonts w:ascii="Times New Roman" w:cs="Times New Roman" w:eastAsia="Times New Roman" w:hAnsi="Times New Roman"/>
          <w:b/>
          <w:bCs/>
          <w:sz w:val="24"/>
          <w:szCs w:val="24"/>
        </w:rPr>
        <w:t xml:space="preserve">Período:</w:t>
      </w:r>
      <w:r>
        <w:rPr>
          <w:rFonts w:ascii="Times New Roman" w:cs="Times New Roman" w:eastAsia="Times New Roman" w:hAnsi="Times New Roman"/>
          <w:sz w:val="24"/>
          <w:szCs w:val="24"/>
        </w:rPr>
        <w:t xml:space="preserve"> 3º trimestre de 2026 (julho a setembro) — fase pré-operacional (Devnet).</w:t>
      </w:r>
    </w:p>
    <w:p>
      <w:pPr>
        <w:pStyle w:val="Heading2"/>
        <w:keepNext/>
        <w:spacing w:after="120" w:before="240" w:line="300"/>
      </w:pPr>
      <w:r>
        <w:rPr>
          <w:rFonts w:ascii="Times New Roman" w:cs="Times New Roman" w:eastAsia="Times New Roman" w:hAnsi="Times New Roman"/>
          <w:b/>
          <w:bCs/>
          <w:sz w:val="24"/>
          <w:szCs w:val="24"/>
        </w:rPr>
        <w:t xml:space="preserve">SITUAÇÃO SUSEP</w:t>
      </w:r>
    </w:p>
    <w:p>
      <w:pPr>
        <w:spacing w:after="120" w:line="360"/>
        <w:jc w:val="both"/>
      </w:pPr>
      <w:r>
        <w:rPr>
          <w:rFonts w:ascii="Times New Roman" w:cs="Times New Roman" w:eastAsia="Times New Roman" w:hAnsi="Times New Roman"/>
          <w:b/>
          <w:bCs/>
          <w:sz w:val="24"/>
          <w:szCs w:val="24"/>
        </w:rPr>
        <w:t xml:space="preserve">Amarelo.</w:t>
      </w:r>
      <w:r>
        <w:rPr>
          <w:rFonts w:ascii="Times New Roman" w:cs="Times New Roman" w:eastAsia="Times New Roman" w:hAnsi="Times New Roman"/>
          <w:sz w:val="24"/>
          <w:szCs w:val="24"/>
        </w:rPr>
        <w:t xml:space="preserve"> Nenhum parceiro regulado contratado. Resolução CNSP nº 491/2026 publicada em 6/5/2026; seleção de administradora autorizada pendente.</w:t>
      </w:r>
    </w:p>
    <w:p>
      <w:pPr>
        <w:pStyle w:val="Heading2"/>
        <w:keepNext/>
        <w:spacing w:after="120" w:before="240" w:line="300"/>
      </w:pPr>
      <w:r>
        <w:rPr>
          <w:rFonts w:ascii="Times New Roman" w:cs="Times New Roman" w:eastAsia="Times New Roman" w:hAnsi="Times New Roman"/>
          <w:b/>
          <w:bCs/>
          <w:sz w:val="24"/>
          <w:szCs w:val="24"/>
        </w:rPr>
        <w:t xml:space="preserve">SITUAÇÃO CVM</w:t>
      </w:r>
    </w:p>
    <w:p>
      <w:pPr>
        <w:spacing w:after="120" w:line="360"/>
        <w:jc w:val="both"/>
      </w:pPr>
      <w:r>
        <w:rPr>
          <w:rFonts w:ascii="Times New Roman" w:cs="Times New Roman" w:eastAsia="Times New Roman" w:hAnsi="Times New Roman"/>
          <w:b/>
          <w:bCs/>
          <w:sz w:val="24"/>
          <w:szCs w:val="24"/>
        </w:rPr>
        <w:t xml:space="preserve">Verde.</w:t>
      </w:r>
      <w:r>
        <w:rPr>
          <w:rFonts w:ascii="Times New Roman" w:cs="Times New Roman" w:eastAsia="Times New Roman" w:hAnsi="Times New Roman"/>
          <w:sz w:val="24"/>
          <w:szCs w:val="24"/>
        </w:rPr>
        <w:t xml:space="preserve"> Nenhuma oferta pública realizada nem permitida sem parecer correspondente. Estrutura Sênior/Júnior desativada (D-01).</w:t>
      </w:r>
    </w:p>
    <w:p>
      <w:pPr>
        <w:pStyle w:val="Heading2"/>
        <w:keepNext/>
        <w:spacing w:after="120" w:before="240" w:line="300"/>
      </w:pPr>
      <w:r>
        <w:rPr>
          <w:rFonts w:ascii="Times New Roman" w:cs="Times New Roman" w:eastAsia="Times New Roman" w:hAnsi="Times New Roman"/>
          <w:b/>
          <w:bCs/>
          <w:sz w:val="24"/>
          <w:szCs w:val="24"/>
        </w:rPr>
        <w:t xml:space="preserve">SITUAÇÃO BCB</w:t>
      </w:r>
    </w:p>
    <w:p>
      <w:pPr>
        <w:spacing w:after="120" w:line="360"/>
        <w:jc w:val="both"/>
      </w:pPr>
      <w:r>
        <w:rPr>
          <w:rFonts w:ascii="Times New Roman" w:cs="Times New Roman" w:eastAsia="Times New Roman" w:hAnsi="Times New Roman"/>
          <w:b/>
          <w:bCs/>
          <w:sz w:val="24"/>
          <w:szCs w:val="24"/>
        </w:rPr>
        <w:t xml:space="preserve">Verde.</w:t>
      </w:r>
      <w:r>
        <w:rPr>
          <w:rFonts w:ascii="Times New Roman" w:cs="Times New Roman" w:eastAsia="Times New Roman" w:hAnsi="Times New Roman"/>
          <w:sz w:val="24"/>
          <w:szCs w:val="24"/>
        </w:rPr>
        <w:t xml:space="preserve"> Atividades limitadas ao escopo tecnológico; nenhuma custódia, troca ou transferência de ativos em nome de terceiros. Integração futura condicionada a SPSAV autorizada ou com pedido protocolado até 30/10/2026.</w:t>
      </w:r>
    </w:p>
    <w:p>
      <w:pPr>
        <w:pStyle w:val="Heading2"/>
        <w:keepNext/>
        <w:spacing w:after="120" w:before="240" w:line="300"/>
      </w:pPr>
      <w:r>
        <w:rPr>
          <w:rFonts w:ascii="Times New Roman" w:cs="Times New Roman" w:eastAsia="Times New Roman" w:hAnsi="Times New Roman"/>
          <w:b/>
          <w:bCs/>
          <w:sz w:val="24"/>
          <w:szCs w:val="24"/>
        </w:rPr>
        <w:t xml:space="preserve">LGPD</w:t>
      </w:r>
    </w:p>
    <w:p>
      <w:pPr>
        <w:spacing w:after="120" w:line="360"/>
        <w:jc w:val="both"/>
      </w:pPr>
      <w:r>
        <w:rPr>
          <w:rFonts w:ascii="Times New Roman" w:cs="Times New Roman" w:eastAsia="Times New Roman" w:hAnsi="Times New Roman"/>
          <w:sz w:val="24"/>
          <w:szCs w:val="24"/>
        </w:rPr>
        <w:t xml:space="preserve">Incidentes no trimestre: nenhum registrado (ausência de dados pessoais de usuários reais em ambiente produtivo).</w:t>
      </w:r>
    </w:p>
    <w:p>
      <w:pPr>
        <w:spacing w:after="120" w:line="360"/>
        <w:jc w:val="both"/>
      </w:pPr>
      <w:r>
        <w:rPr>
          <w:rFonts w:ascii="Times New Roman" w:cs="Times New Roman" w:eastAsia="Times New Roman" w:hAnsi="Times New Roman"/>
          <w:sz w:val="24"/>
          <w:szCs w:val="24"/>
        </w:rPr>
        <w:t xml:space="preserve">Pedidos de titulares: nenhum recebido.</w:t>
      </w:r>
    </w:p>
    <w:p>
      <w:pPr>
        <w:pStyle w:val="Heading2"/>
        <w:keepNext/>
        <w:spacing w:after="120" w:before="240" w:line="300"/>
      </w:pPr>
      <w:r>
        <w:rPr>
          <w:rFonts w:ascii="Times New Roman" w:cs="Times New Roman" w:eastAsia="Times New Roman" w:hAnsi="Times New Roman"/>
          <w:b/>
          <w:bCs/>
          <w:sz w:val="24"/>
          <w:szCs w:val="24"/>
        </w:rPr>
        <w:t xml:space="preserve">SEGURANÇA</w:t>
      </w:r>
    </w:p>
    <w:p>
      <w:pPr>
        <w:spacing w:after="120" w:line="360"/>
        <w:jc w:val="both"/>
      </w:pPr>
      <w:r>
        <w:rPr>
          <w:rFonts w:ascii="Times New Roman" w:cs="Times New Roman" w:eastAsia="Times New Roman" w:hAnsi="Times New Roman"/>
          <w:sz w:val="24"/>
          <w:szCs w:val="24"/>
        </w:rPr>
        <w:t xml:space="preserve">Vulnerabilidades críticas abertas: a apurar na primeira varredura prevista na Política E-13.</w:t>
      </w:r>
    </w:p>
    <w:p>
      <w:pPr>
        <w:pStyle w:val="Heading2"/>
        <w:keepNext/>
        <w:spacing w:after="120" w:before="240" w:line="300"/>
      </w:pPr>
      <w:r>
        <w:rPr>
          <w:rFonts w:ascii="Times New Roman" w:cs="Times New Roman" w:eastAsia="Times New Roman" w:hAnsi="Times New Roman"/>
          <w:b/>
          <w:bCs/>
          <w:sz w:val="24"/>
          <w:szCs w:val="24"/>
        </w:rPr>
        <w:t xml:space="preserve">PLANO DE AÇÃO — 4º TRIMESTRE DE 2026</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102"/>
        <w:gridCol w:w="1700"/>
        <w:gridCol w:w="1702"/>
      </w:tblGrid>
      <w:tr>
        <w:trPr>
          <w:cantSplit/>
          <w:tblHeader/>
        </w:trPr>
        <w:tc>
          <w:tcPr>
            <w:tcW w:type="dxa" w:w="5102"/>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Ação</w:t>
            </w:r>
          </w:p>
        </w:tc>
        <w:tc>
          <w:tcPr>
            <w:tcW w:type="dxa" w:w="1700"/>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Responsável</w:t>
            </w:r>
          </w:p>
        </w:tc>
        <w:tc>
          <w:tcPr>
            <w:tcW w:type="dxa" w:w="1702"/>
            <w:tcBorders>
              <w:top w:val="single" w:color="9A9A9A" w:sz="4"/>
              <w:left w:val="single" w:color="9A9A9A" w:sz="4"/>
              <w:bottom w:val="single" w:color="9A9A9A" w:sz="4"/>
              <w:right w:val="single" w:color="9A9A9A" w:sz="4"/>
            </w:tcBorders>
            <w:shd w:fill="D9D9D9" w:color="auto" w:val="clear"/>
            <w:tcMar>
              <w:top w:type="dxa" w:w="60"/>
              <w:left w:type="dxa" w:w="100"/>
              <w:bottom w:type="dxa" w:w="60"/>
              <w:right w:type="dxa" w:w="100"/>
            </w:tcMar>
          </w:tcPr>
          <w:p>
            <w:pPr>
              <w:spacing w:after="40" w:line="260"/>
              <w:jc w:val="left"/>
            </w:pPr>
            <w:r>
              <w:rPr>
                <w:rFonts w:ascii="Times New Roman" w:cs="Times New Roman" w:eastAsia="Times New Roman" w:hAnsi="Times New Roman"/>
                <w:b/>
                <w:bCs/>
                <w:sz w:val="20"/>
                <w:szCs w:val="20"/>
              </w:rPr>
              <w:t xml:space="preserve">Prazo</w:t>
            </w:r>
          </w:p>
        </w:tc>
      </w:tr>
      <w:tr>
        <w:trPr>
          <w:cantSplit/>
          <w:tblHeader w:val="false"/>
        </w:trPr>
        <w:tc>
          <w:tcPr>
            <w:tcW w:type="dxa" w:w="510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Registro do Contrato Social na JUCERJA e obtenção do CNPJ</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70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30/11/2026</w:t>
            </w:r>
          </w:p>
        </w:tc>
      </w:tr>
      <w:tr>
        <w:trPr>
          <w:cantSplit/>
          <w:tblHeader w:val="false"/>
        </w:trPr>
        <w:tc>
          <w:tcPr>
            <w:tcW w:type="dxa" w:w="510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Assinatura de A-02, A-04, A-07, A-09 e A-10</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Todos os Fundadores</w:t>
            </w:r>
          </w:p>
        </w:tc>
        <w:tc>
          <w:tcPr>
            <w:tcW w:type="dxa" w:w="170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No registro</w:t>
            </w:r>
          </w:p>
        </w:tc>
      </w:tr>
      <w:tr>
        <w:trPr>
          <w:cantSplit/>
          <w:tblHeader w:val="false"/>
        </w:trPr>
        <w:tc>
          <w:tcPr>
            <w:tcW w:type="dxa" w:w="510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Shortlist de administradoras autorizadas e de seguradoras (B-10)</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D</w:t>
            </w:r>
          </w:p>
        </w:tc>
        <w:tc>
          <w:tcPr>
            <w:tcW w:type="dxa" w:w="170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15/12/2026</w:t>
            </w:r>
          </w:p>
        </w:tc>
      </w:tr>
      <w:tr>
        <w:trPr>
          <w:cantSplit/>
          <w:tblHeader w:val="false"/>
        </w:trPr>
        <w:tc>
          <w:tcPr>
            <w:tcW w:type="dxa" w:w="510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Primeira varredura de vulnerabilidades e SBOM (E-13 e E-15)</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170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15/12/2026</w:t>
            </w:r>
          </w:p>
        </w:tc>
      </w:tr>
      <w:tr>
        <w:trPr>
          <w:cantSplit/>
          <w:tblHeader w:val="false"/>
        </w:trPr>
        <w:tc>
          <w:tcPr>
            <w:tcW w:type="dxa" w:w="510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Versão preliminar do RIPD (E-09)</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C</w:t>
            </w:r>
          </w:p>
        </w:tc>
        <w:tc>
          <w:tcPr>
            <w:tcW w:type="dxa" w:w="170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31/12/2026</w:t>
            </w:r>
          </w:p>
        </w:tc>
      </w:tr>
      <w:tr>
        <w:trPr>
          <w:cantSplit/>
          <w:tblHeader w:val="false"/>
        </w:trPr>
        <w:tc>
          <w:tcPr>
            <w:tcW w:type="dxa" w:w="510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Implantação da multisig 2-de-3 em Devnet (D-07)</w:t>
            </w:r>
          </w:p>
        </w:tc>
        <w:tc>
          <w:tcPr>
            <w:tcW w:type="dxa" w:w="1700"/>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Founder B</w:t>
            </w:r>
          </w:p>
        </w:tc>
        <w:tc>
          <w:tcPr>
            <w:tcW w:type="dxa" w:w="1702"/>
            <w:tcBorders>
              <w:top w:val="single" w:color="9A9A9A" w:sz="4"/>
              <w:left w:val="single" w:color="9A9A9A" w:sz="4"/>
              <w:bottom w:val="single" w:color="9A9A9A" w:sz="4"/>
              <w:right w:val="single" w:color="9A9A9A" w:sz="4"/>
            </w:tcBorders>
            <w:tcMar>
              <w:top w:type="dxa" w:w="60"/>
              <w:left w:type="dxa" w:w="100"/>
              <w:bottom w:type="dxa" w:w="60"/>
              <w:right w:type="dxa" w:w="100"/>
            </w:tcMar>
          </w:tcPr>
          <w:p>
            <w:pPr>
              <w:spacing w:after="40" w:line="260"/>
              <w:jc w:val="left"/>
            </w:pPr>
            <w:r>
              <w:rPr>
                <w:rFonts w:ascii="Times New Roman" w:cs="Times New Roman" w:eastAsia="Times New Roman" w:hAnsi="Times New Roman"/>
                <w:sz w:val="20"/>
                <w:szCs w:val="20"/>
              </w:rPr>
              <w:t xml:space="preserve">31/12/2026</w:t>
            </w:r>
          </w:p>
        </w:tc>
      </w:tr>
    </w:tbl>
    <w:p>
      <w:pPr>
        <w:spacing w:after="120"/>
      </w:pP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Diretoria Jurídica e de Compliance</w:t>
      </w:r>
      <w:r>
        <w:rPr>
          <w:rFonts w:ascii="Times New Roman" w:cs="Times New Roman" w:eastAsia="Times New Roman" w:hAnsi="Times New Roman"/>
          <w:sz w:val="22"/>
          <w:szCs w:val="22"/>
        </w:rPr>
        <w:t xml:space="preserve"> (Founder C)</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Diretoria de Tecnologia</w:t>
      </w:r>
      <w:r>
        <w:rPr>
          <w:rFonts w:ascii="Times New Roman" w:cs="Times New Roman" w:eastAsia="Times New Roman" w:hAnsi="Times New Roman"/>
          <w:sz w:val="22"/>
          <w:szCs w:val="22"/>
        </w:rPr>
        <w:t xml:space="preserve"> (Founder B)</w:t>
      </w:r>
    </w:p>
    <w:p>
      <w:pPr>
        <w:keepNext/>
        <w:spacing w:after="0" w:before="480"/>
        <w:jc w:val="center"/>
      </w:pPr>
      <w:r>
        <w:rPr>
          <w:rFonts w:ascii="Times New Roman" w:cs="Times New Roman" w:eastAsia="Times New Roman" w:hAnsi="Times New Roman"/>
          <w:sz w:val="24"/>
          <w:szCs w:val="24"/>
        </w:rPr>
        <w:t xml:space="preserve">____________________________________________</w:t>
      </w:r>
    </w:p>
    <w:p>
      <w:pPr>
        <w:keepLines/>
        <w:spacing w:after="120"/>
        <w:jc w:val="center"/>
      </w:pPr>
      <w:r>
        <w:rPr>
          <w:rFonts w:ascii="Times New Roman" w:cs="Times New Roman" w:eastAsia="Times New Roman" w:hAnsi="Times New Roman"/>
          <w:b/>
          <w:bCs/>
          <w:sz w:val="22"/>
          <w:szCs w:val="22"/>
        </w:rPr>
        <w:t xml:space="preserve">Administração</w:t>
      </w:r>
      <w:r>
        <w:rPr>
          <w:rFonts w:ascii="Times New Roman" w:cs="Times New Roman" w:eastAsia="Times New Roman" w:hAnsi="Times New Roman"/>
          <w:sz w:val="22"/>
          <w:szCs w:val="22"/>
        </w:rPr>
        <w:t xml:space="preserve"> (Founder A)</w:t>
      </w:r>
    </w:p>
    <w:sectPr>
      <w:headerReference w:type="default" r:id="rId7"/>
      <w:footerReference w:type="default" r:id="rId8"/>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6"/>
        <w:szCs w:val="16"/>
      </w:rPr>
      <w:t xml:space="preserve">Confidencial — uso corporativo e acadêmico  ·  Página </w:t>
    </w:r>
    <w:r>
      <w:rPr>
        <w:rFonts w:ascii="Times New Roman" w:cs="Times New Roman" w:eastAsia="Times New Roman" w:hAnsi="Times New Roman"/>
        <w:color w:val="595959"/>
        <w:sz w:val="16"/>
        <w:szCs w:val="16"/>
      </w:rPr>
      <w:fldChar w:fldCharType="begin"/>
      <w:instrText xml:space="preserve">PAGE</w:instrText>
      <w:fldChar w:fldCharType="separate"/>
      <w:fldChar w:fldCharType="end"/>
    </w:r>
    <w:r>
      <w:rPr>
        <w:rFonts w:ascii="Times New Roman" w:cs="Times New Roman" w:eastAsia="Times New Roman" w:hAnsi="Times New Roman"/>
        <w:color w:val="595959"/>
        <w:sz w:val="16"/>
        <w:szCs w:val="16"/>
      </w:rPr>
      <w:t xml:space="preserve"> de </w:t>
    </w:r>
    <w:r>
      <w:rPr>
        <w:rFonts w:ascii="Times New Roman" w:cs="Times New Roman" w:eastAsia="Times New Roman" w:hAnsi="Times New Roman"/>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Times New Roman" w:cs="Times New Roman" w:eastAsia="Times New Roman" w:hAnsi="Times New Roman"/>
        <w:color w:val="595959"/>
        <w:sz w:val="16"/>
        <w:szCs w:val="16"/>
      </w:rPr>
      <w:t xml:space="preserve">AUTO SHIELD FI TECNOLOGIA LTDA (em constituição)  ·  Dossiê Jurídico-Empresarial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354"/>
      </w:pPr>
    </w:lvl>
    <w:lvl w:ilvl="1" w15:tentative="1">
      <w:start w:val="1"/>
      <w:numFmt w:val="bullet"/>
      <w:lvlText w:val="·"/>
      <w:lvlJc w:val="left"/>
      <w:pPr>
        <w:ind w:left="1418" w:hanging="35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Dossiê Jurídico-Empresarial — Auto Shield Fi</dc:title>
  <dc:creator>Auto Shield Fi — Diretoria Jurídica e de Compliance</dc:creator>
  <cp:lastModifiedBy>Un-named</cp:lastModifiedBy>
  <cp:revision>1</cp:revision>
  <dcterms:created xsi:type="dcterms:W3CDTF">2026-10-01T14:34:41.655Z</dcterms:created>
  <dcterms:modified xsi:type="dcterms:W3CDTF">2026-10-01T14:34:41.655Z</dcterms:modified>
</cp:coreProperties>
</file>

<file path=docProps/custom.xml><?xml version="1.0" encoding="utf-8"?>
<Properties xmlns="http://schemas.openxmlformats.org/officeDocument/2006/custom-properties" xmlns:vt="http://schemas.openxmlformats.org/officeDocument/2006/docPropsVTypes"/>
</file>