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AUTO SHIELD FI TECNOLOGIA LTDA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(em constituição)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DOSSIÊ JURÍDICO-EMPRESARIAL INTEGRAL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Repositório Mestre de Atos Societários, Regulatórios, Contratuais, Tecnológicos e de Compliance</w:t>
      </w:r>
    </w:p>
    <w:p>
      <w:pPr>
        <w:pBdr>
          <w:top w:val="single" w:color="7F7F7F" w:sz="6" w:space="8"/>
        </w:pBd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BLOCO D — ATIVOS VIRTUAIS, CUSTÓDIA E PLD/FTP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Instrumentos D-01 a D-12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5528"/>
      </w:tblGrid>
      <w:tr>
        <w:trPr>
          <w:cantSplit/>
          <w:tblHeader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Versão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 (preenchimento de parâmetros e fundamentação normativa)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Data-base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1º de outubro de 2026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Natureza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Documentação empresarial em implantação e simulação acadêmico-empresarial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Confidencial — uso corporativo e acadêmico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Instrumentos deste volume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D-01 — PARECER DE CLASSIFICAÇÃO DAS COTAS SÊNIOR/JÚNIOR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D-02 — TERMO DE DIVULGAÇÃO DE RISCO TECNOLÓGICO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D-03 — POLÍTICA DE NÃO OFERTA PÚBLICA NA FASE EXPERIMENTAL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D-04 — DOCUMENTO DE RISCOS PARA FUTUROS APORTADORES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D-05 — TERMOS DE EMISSÃO DE ATIVO VIRTUAL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D-06 — POLÍTICA DE CUSTÓDIA E SEGREGAÇÃO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D-07 — POLÍTICA DE MULTISIG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D-08 — CONTRATO COM SPSAV OU INSTITUIÇÃO DE PAGAMENTO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D-09 — POLÍTICA DE CONVERSÃO E RASTREABILIDADE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D-10 — MANUAL DE PLD/FTP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D-11 — CONTINGÊNCIA DE ORÁCULO, BRIDGE E REDE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D-12 — POLÍTICA DE SUSPENSÃO E CONGELAMENTO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D-01 — PARECER DE CLASSIFICAÇÃO DAS COTAS SÊNIOR/JÚNIOR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DOCUMENTO FICTÍCIO — SIMULAÇÃO ACADÊMICA — NÃO CONSTITUI PARECER JURÍDICO EXTERNO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 EXECUTIVA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se recomenda afirmar, na configuração atualmente descrita, que as cotas Sênior/Júnior estejam definitivamente fora do regime de valores mobiliários.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presença simultânea de aporte, subordinação, expectativa de resultado econômico, gestão por terceiros e eventual distribuição pública constitui red flag regulatória material.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investimento coletivo.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2º, IX, da Lei nº 6.385/1976 qualifica como valor mobiliário, quando ofertado publicamente, o título ou contrato de investimento coletivo que gere direito de participação, de parceria ou de remuneração cujos rendimentos advêm do esforço do empreendedor ou de terceiros.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Neutralidade tecnológica.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Parecer de Orientação CVM nº 40/2022 afirma que a representação em token não altera a natureza jurídica do instrumento: se o direito representado for valor mobiliário, aplica-se integralmente o regime da CVM, inclusive quanto a oferta, intermediação, custódia, escrituração e negociação.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Subordinação.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divisão em classes sênior (prioridade de remuneração) e júnior (absorção de perdas e resultado residual) é característica típica de estruturas de investimento reguladas, como os fundos de investimento em direitos creditórios, o que reforça a leitura de que se trata de produto de investimento e não de mecanismo associativo.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Incompatibilidade com o regime mutualista.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regime da LC nº 213/2025 e da Resolução CNSP nº 491/2026 assenta o custeio do grupo no rateio entre participantes e na estrutura prudencial da administradora. O aporte de capital por terceiros com expectativa de retorno não encontra amparo nesse regime e tenderia a ser examinado sob a ótica do mercado de capitais.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Exclusão do marco cripto.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força do art. 1º, parágrafo único, e do art. 3º, IV, da Lei nº 14.478/2022, tokens que representem valores mobiliários não se submetem ao regime das prestadoras de serviços de ativos virtuais, permanecendo sob competência da CVM.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CONDICIONANTES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estrutura permanecerá desativada até: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parecer jurídico definitivo;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definição do emissor;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definição dos direitos;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análise da forma de oferta;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avaliação do caráter de investimento coletivo;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definição da custódia;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aprovação societária unânime (A-04, Cláusula 11).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 desta simulação: "NÃO LIBERADO PARA OFERTA".</w:t>
      </w:r>
    </w:p>
    <w:p>
      <w:pPr>
        <w:pBdr>
          <w:left w:val="single" w:color="8C8C8C" w:sz="12" w:space="8"/>
        </w:pBdr>
        <w:spacing w:after="100" w:line="276"/>
        <w:ind w:left="3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de corte da pesquisa normativa: 1º/10/2026.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D-02 — TERMO DE DIVULGAÇÃO DE RISCO TECNOLÓGICO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usuário reconhece que sistemas blockchain estão sujeitos a: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congestionamento da rede;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fork;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falha de RPC;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bug de software;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ataques;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 de oráculo;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indisponibilidade;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volatilidade de ativos;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riscos de carteira.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Nenhuma arquitetura é absolutamente invulnerável.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a operação depender de terceiro, os riscos do terceiro serão informados separadamente.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D-03 — POLÍTICA DE NÃO OFERTA PÚBLICA NA FASE EXPERIMENTAL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proibido durante a Devnet: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receber investimento do público;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vender cotas Sênior/Júnior;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prometer rendimento (yield);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oferecer token como ativo de investimento;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aceitar recursos reais em pool de teste.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token de teste ASF-DEV e quaisquer outros tokens de Devnet não possuirão promessa de valor econômico.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material de marketing deverá conter a indicação visível: "Ambiente experimental (Devnet) — sem recursos reais, sem oferta de investimento".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D-04 — DOCUMENTO DE RISCOS PARA FUTUROS APORTADORES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MODELO PROSPECTIVO — NÃO CONSTITUI OFERTA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Caso futura estrutura de investimento seja juridicamente autorizada, deverão ser divulgados, no mínimo: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perda total;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regulatório;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liquidez;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tecnologia;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operacional;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contraparte;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governança;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mercado;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ausência de garantia pública, quando for o caso.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Até a autorização interna e regulatória correspondente, este documento não poderá acompanhar solicitação de aportes.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D-05 — TERMOS DE EMISSÃO DE ATIVO VIRTUAL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DOCUMENTO FICTÍCIO — FUNÇÃO DESATIVADA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ASF-DEV — token de teste emitido exclusivamente na Devnet da rede Solana.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Finalidade pretendida: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utilidade técnica — simular registros de governança, aprovações multisig e eventos de workflow, sem valor econômico e sem conversibilidade.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haverá: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promessa de valorização;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direito automático a lucros;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market making garantido;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resgate garantido;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oferta pública sem a análise aplicável.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ativação de qualquer token em Mainnet depende de classificação jurídica escrita e de aprovação unânime dos Fundadores.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D-06 — POLÍTICA DE CUSTÓDIA E SEGREGAÇÃO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não manterá, em sua carteira operacional, ativos de usuários.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wallets corporativas serão etiquetadas por finalidade.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recursos pertencentes a entidade regulada permanecerão sob estrutura controlada pelo responsável correspondente ou por prestador autorizado.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reconciliações serão realizadas diariamente quando houver integração financeira.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D-07 — POLÍTICA DE MULTISIG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operações administrativas críticas utilizarão esquema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2-de-3 em Devnet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3-de-5 em Mainnet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signatários possuirão funções segregadas, e nenhum Fundador poderá controlar sozinho o quórum de assinatura.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proibido: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armazenar todas as chaves no mesmo dispositivo;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compartilhar seed phrase;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fotografar chave;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enviar segredo por mensageiro comum.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backups serão criptografados e geograficamente separados.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rotação ocorrerá na saída de signatário ou diante de suspeita de comprometimento.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D-08 — CONTRATO COM SPSAV OU INSTITUIÇÃO DE PAGAMENTO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MINUTA DEMONSTRATIVA — PRESTADOR A SELECIONAR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Prestador: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sociedade prestadora de serviços de ativos virtuais autorizada pelo Banco Central do Brasil (Resoluções BCB nº 519 e 520/2025) e/ou instituição de pagamento autorizada (Lei nº 12.865/2013), a selecionar mediante due diligence.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prestação dos serviços regulados de custódia e intermediação de ativos virtuais e/ou de pagamento, após a verificação da autorização efetiva ou, no período de transição, do protocolo tempestivo do pedido de autorização.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prestador será responsável por: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KYC aplicável;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segregação patrimonial;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movimentação;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reconciliação;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controles regulatórios de sua competência, inclusive PLD/FTP.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fornecerá APIs.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serão tratados conforme o DPA (E-05).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perda de autorização, o indeferimento do pedido ou a vedação regulatória constituem evento de término imediato, com saída assistida.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D-09 — POLÍTICA DE CONVERSÃO E RASTREABILIDADE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juridicamente permitida e executada por parceiro competente, cada conversão terá registro de: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timestamp;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origem;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destino;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cotação;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taxa;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prestador;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hash transacional, quando existente.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preservará trilha de reconciliação.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Endereços suspeitos serão encaminhados aos controles do parceiro responsável, conforme a legislação e as políticas aplicáveis.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D-10 — MANUAL DE PLD/FTP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GOVERNANÇA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Sociedade adota abordagem baseada em risco, sob responsabilidade do Diretor Jurídico e de Compliance.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CADASTRO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Contrapartes B2B estarão sujeitas a KYB proporcional.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BENEFICIÁRIO FINAL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Será identificado quando necessário.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PEP E SANÇÕES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triagens serão executadas conforme a natureza da relação e as obrigações aplicáveis, incluindo listas de sanções do Conselho de Segurança das Nações Unidas.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MONITORAMENTO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Serão observados padrões incompatíveis com o perfil operacional.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ESCALONAMENTO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alertas serão analisados pela área de Compliance em até 5 dias úteis.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COMUNICAÇÕES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comunicações obrigatórias às autoridades serão efetuadas pela entidade juridicamente responsável, preservado o sigilo legal.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TREINAMENTO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equipe receberá treinamento anual.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documentos serão mantidos pelo prazo aplicável ao respectivo regime e, na falta de regra específica, por 5 anos.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D-11 — CONTINGÊNCIA DE ORÁCULO, BRIDGE E REDE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Gatilhos: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divergência superior a 2% entre o oráculo primário e o secundário;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de preço com mais de 60 segundos (stale price);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indisponibilidade superior a 15 minutos;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exploit conhecido;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fork não planejado;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desvio anormal de preço.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Ações: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pausar a automação;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mudar para a fonte secundária;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exigir aprovação manual;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bloquear bridge comprometida;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preservar logs;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comunicar os responsáveis.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pagamento crítico será executado automaticamente com dado de oráculo considerado inconsistente.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D-12 — POLÍTICA DE SUSPENSÃO E CONGELAMENTO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poderá suspender funcionalidades tecnológicas diante de: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comprometimento de credencial;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ordem válida de autoridade;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fraude tecnicamente identificada;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risco de segurança;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uso ilícito.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os ativos estiverem sob custódia de terceiro, eventual congelamento patrimonial caberá ao custodiante ou à autoridade competente, de acordo com o regime aplicável.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medidas deverão ser registradas e serão revisáveis.</w:t>
      </w:r>
    </w:p>
    <w:sectPr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Confidencial — uso corporativo e acadêmico  ·  Página 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AUTO SHIELD FI TECNOLOGIA LTDA (em constituição)  ·  Dossiê Jurídico-Empresarial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54"/>
      </w:pPr>
    </w:lvl>
    <w:lvl w:ilvl="1" w15:tentative="1">
      <w:start w:val="1"/>
      <w:numFmt w:val="bullet"/>
      <w:lvlText w:val="·"/>
      <w:lvlJc w:val="left"/>
      <w:pPr>
        <w:ind w:left="1418" w:hanging="3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Jurídico-Empresarial — Auto Shield Fi</dc:title>
  <dc:creator>Auto Shield Fi — Diretoria Jurídica e de Compliance</dc:creator>
  <cp:lastModifiedBy>Un-named</cp:lastModifiedBy>
  <cp:revision>1</cp:revision>
  <dcterms:created xsi:type="dcterms:W3CDTF">2026-10-01T14:34:41.818Z</dcterms:created>
  <dcterms:modified xsi:type="dcterms:W3CDTF">2026-10-01T14:34:41.818Z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