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2"/>
          <w:szCs w:val="32"/>
        </w:rPr>
        <w:t xml:space="preserve">AUTO SHIELD FI TECNOLOGIA LTDA</w:t>
      </w:r>
    </w:p>
    <w:p>
      <w:pPr>
        <w:spacing w:after="360"/>
        <w:jc w:val="center"/>
      </w:pPr>
      <w:r>
        <w:rPr>
          <w:rFonts w:ascii="Times New Roman" w:cs="Times New Roman" w:eastAsia="Times New Roman" w:hAnsi="Times New Roman"/>
          <w:i/>
          <w:iCs/>
          <w:sz w:val="24"/>
          <w:szCs w:val="24"/>
        </w:rPr>
        <w:t xml:space="preserve">(em constituição)</w:t>
      </w:r>
    </w:p>
    <w:p>
      <w:pPr>
        <w:spacing w:after="120"/>
        <w:jc w:val="center"/>
      </w:pPr>
      <w:r>
        <w:rPr>
          <w:rFonts w:ascii="Times New Roman" w:cs="Times New Roman" w:eastAsia="Times New Roman" w:hAnsi="Times New Roman"/>
          <w:b/>
          <w:bCs/>
          <w:sz w:val="26"/>
          <w:szCs w:val="26"/>
        </w:rPr>
        <w:t xml:space="preserve">DOSSIÊ JURÍDICO-EMPRESARIAL INTEGRAL</w:t>
      </w:r>
    </w:p>
    <w:p>
      <w:pPr>
        <w:spacing w:after="360"/>
        <w:jc w:val="center"/>
      </w:pPr>
      <w:r>
        <w:rPr>
          <w:rFonts w:ascii="Times New Roman" w:cs="Times New Roman" w:eastAsia="Times New Roman" w:hAnsi="Times New Roman"/>
          <w:sz w:val="22"/>
          <w:szCs w:val="22"/>
        </w:rPr>
        <w:t xml:space="preserve">Repositório Mestre de Atos Societários, Regulatórios, Contratuais, Tecnológicos e de Compliance</w:t>
      </w:r>
    </w:p>
    <w:p>
      <w:pPr>
        <w:pBdr>
          <w:top w:val="single" w:color="7F7F7F" w:sz="6" w:space="8"/>
        </w:pBdr>
        <w:spacing w:after="120"/>
        <w:jc w:val="center"/>
      </w:pPr>
      <w:r>
        <w:rPr>
          <w:rFonts w:ascii="Times New Roman" w:cs="Times New Roman" w:eastAsia="Times New Roman" w:hAnsi="Times New Roman"/>
          <w:b/>
          <w:bCs/>
          <w:sz w:val="28"/>
          <w:szCs w:val="28"/>
        </w:rPr>
        <w:t xml:space="preserve">PARTE GERAL E ANEXOS</w:t>
      </w:r>
    </w:p>
    <w:p>
      <w:pPr>
        <w:spacing w:after="360"/>
        <w:jc w:val="center"/>
      </w:pPr>
      <w:r>
        <w:rPr>
          <w:rFonts w:ascii="Times New Roman" w:cs="Times New Roman" w:eastAsia="Times New Roman" w:hAnsi="Times New Roman"/>
          <w:i/>
          <w:iCs/>
          <w:sz w:val="22"/>
          <w:szCs w:val="22"/>
        </w:rPr>
        <w:t xml:space="preserve">Termo geral, dados mestres, quadro de parâmetros, anexos I a V, termo final e controle de versões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976"/>
        <w:gridCol w:w="5528"/>
      </w:tblGrid>
      <w:tr>
        <w:trPr>
          <w:cantSplit/>
          <w:tblHeader/>
        </w:trPr>
        <w:tc>
          <w:tcPr>
            <w:tcW w:type="dxa" w:w="2976"/>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Campo</w:t>
            </w:r>
          </w:p>
        </w:tc>
        <w:tc>
          <w:tcPr>
            <w:tcW w:type="dxa" w:w="5528"/>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Conteúdo</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Versão</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1.1 (preenchimento de parâmetros e fundamentação normativa)</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Data-base</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 de outubro de 2026</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Natureza</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Documentação empresarial em implantação e simulação acadêmico-empresarial</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Classificação</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Confidencial — uso corporativo e acadêmico</w:t>
            </w:r>
          </w:p>
        </w:tc>
      </w:tr>
    </w:tbl>
    <w:p>
      <w:pPr>
        <w:spacing w:after="120" w:before="360"/>
      </w:pPr>
      <w:r>
        <w:rPr>
          <w:rFonts w:ascii="Times New Roman" w:cs="Times New Roman" w:eastAsia="Times New Roman" w:hAnsi="Times New Roman"/>
          <w:b/>
          <w:bCs/>
          <w:sz w:val="24"/>
          <w:szCs w:val="24"/>
        </w:rPr>
        <w:t xml:space="preserve">Instrumentos deste volume</w:t>
      </w:r>
    </w:p>
    <w:p>
      <w:pPr>
        <w:spacing w:after="20" w:line="240"/>
        <w:ind w:left="360"/>
      </w:pPr>
      <w:r>
        <w:rPr>
          <w:rFonts w:ascii="Times New Roman" w:cs="Times New Roman" w:eastAsia="Times New Roman" w:hAnsi="Times New Roman"/>
          <w:sz w:val="21"/>
          <w:szCs w:val="21"/>
        </w:rPr>
        <w:t xml:space="preserve">TERMO GERAL DE IDENTIFICAÇÃO DOS DOCUMENTOS DEMONSTRATIVOS</w:t>
      </w:r>
    </w:p>
    <w:p>
      <w:pPr>
        <w:spacing w:after="20" w:line="240"/>
        <w:ind w:left="360"/>
      </w:pPr>
      <w:r>
        <w:rPr>
          <w:rFonts w:ascii="Times New Roman" w:cs="Times New Roman" w:eastAsia="Times New Roman" w:hAnsi="Times New Roman"/>
          <w:sz w:val="21"/>
          <w:szCs w:val="21"/>
        </w:rPr>
        <w:t xml:space="preserve">DADOS MESTRES</w:t>
      </w:r>
    </w:p>
    <w:p>
      <w:pPr>
        <w:spacing w:after="20" w:line="240"/>
        <w:ind w:left="360"/>
      </w:pPr>
      <w:r>
        <w:rPr>
          <w:rFonts w:ascii="Times New Roman" w:cs="Times New Roman" w:eastAsia="Times New Roman" w:hAnsi="Times New Roman"/>
          <w:sz w:val="21"/>
          <w:szCs w:val="21"/>
        </w:rPr>
        <w:t xml:space="preserve">QUADRO DE PARÂMETROS PROPOSTOS</w:t>
      </w:r>
    </w:p>
    <w:p>
      <w:pPr>
        <w:spacing w:after="20" w:line="240"/>
        <w:ind w:left="360"/>
      </w:pPr>
      <w:r>
        <w:rPr>
          <w:rFonts w:ascii="Times New Roman" w:cs="Times New Roman" w:eastAsia="Times New Roman" w:hAnsi="Times New Roman"/>
          <w:sz w:val="21"/>
          <w:szCs w:val="21"/>
        </w:rPr>
        <w:t xml:space="preserve">ANEXO I — DECLARAÇÃO FORMAL DE SIMULAÇÃO ACADÊMICO-EMPRESARIAL</w:t>
      </w:r>
    </w:p>
    <w:p>
      <w:pPr>
        <w:spacing w:after="20" w:line="240"/>
        <w:ind w:left="360"/>
      </w:pPr>
      <w:r>
        <w:rPr>
          <w:rFonts w:ascii="Times New Roman" w:cs="Times New Roman" w:eastAsia="Times New Roman" w:hAnsi="Times New Roman"/>
          <w:sz w:val="21"/>
          <w:szCs w:val="21"/>
        </w:rPr>
        <w:t xml:space="preserve">ANEXO II — PROTOCOLO DE SUBSTITUIÇÃO DOS DOCUMENTOS SIMULADOS</w:t>
      </w:r>
    </w:p>
    <w:p>
      <w:pPr>
        <w:spacing w:after="20" w:line="240"/>
        <w:ind w:left="360"/>
      </w:pPr>
      <w:r>
        <w:rPr>
          <w:rFonts w:ascii="Times New Roman" w:cs="Times New Roman" w:eastAsia="Times New Roman" w:hAnsi="Times New Roman"/>
          <w:sz w:val="21"/>
          <w:szCs w:val="21"/>
        </w:rPr>
        <w:t xml:space="preserve">ANEXO III — REGRA DE SEGREGAÇÃO FINANCEIRA</w:t>
      </w:r>
    </w:p>
    <w:p>
      <w:pPr>
        <w:spacing w:after="20" w:line="240"/>
        <w:ind w:left="360"/>
      </w:pPr>
      <w:r>
        <w:rPr>
          <w:rFonts w:ascii="Times New Roman" w:cs="Times New Roman" w:eastAsia="Times New Roman" w:hAnsi="Times New Roman"/>
          <w:sz w:val="21"/>
          <w:szCs w:val="21"/>
        </w:rPr>
        <w:t xml:space="preserve">ANEXO IV — REGRA DE SEGREGAÇÃO COMUNICACIONAL</w:t>
      </w:r>
    </w:p>
    <w:p>
      <w:pPr>
        <w:spacing w:after="20" w:line="240"/>
        <w:ind w:left="360"/>
      </w:pPr>
      <w:r>
        <w:rPr>
          <w:rFonts w:ascii="Times New Roman" w:cs="Times New Roman" w:eastAsia="Times New Roman" w:hAnsi="Times New Roman"/>
          <w:sz w:val="21"/>
          <w:szCs w:val="21"/>
        </w:rPr>
        <w:t xml:space="preserve">ANEXO V — CHECKLIST DE GO-LIVE</w:t>
      </w:r>
    </w:p>
    <w:p>
      <w:pPr>
        <w:spacing w:after="20" w:line="240"/>
        <w:ind w:left="360"/>
      </w:pPr>
      <w:r>
        <w:rPr>
          <w:rFonts w:ascii="Times New Roman" w:cs="Times New Roman" w:eastAsia="Times New Roman" w:hAnsi="Times New Roman"/>
          <w:sz w:val="21"/>
          <w:szCs w:val="21"/>
        </w:rPr>
        <w:t xml:space="preserve">TERMO FINAL DE APROVAÇÃO INTERNA</w:t>
      </w:r>
    </w:p>
    <w:p>
      <w:pPr>
        <w:spacing w:after="20" w:line="240"/>
        <w:ind w:left="360"/>
      </w:pPr>
      <w:r>
        <w:rPr>
          <w:rFonts w:ascii="Times New Roman" w:cs="Times New Roman" w:eastAsia="Times New Roman" w:hAnsi="Times New Roman"/>
          <w:sz w:val="21"/>
          <w:szCs w:val="21"/>
        </w:rPr>
        <w:t xml:space="preserve">CONTROLE DE VERSÕES</w:t>
      </w:r>
    </w:p>
    <w:p>
      <w:pPr>
        <w:spacing w:after="20" w:line="240"/>
        <w:ind w:left="360"/>
      </w:pPr>
      <w:r>
        <w:rPr>
          <w:rFonts w:ascii="Times New Roman" w:cs="Times New Roman" w:eastAsia="Times New Roman" w:hAnsi="Times New Roman"/>
          <w:sz w:val="21"/>
          <w:szCs w:val="21"/>
        </w:rPr>
        <w:t xml:space="preserve">REFERÊNCIAS NORMATIVAS CONSULTADAS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TERMO GERAL DE IDENTIFICAÇÃO DOS DOCUMENTOS DEMONSTRATIVOS</w:t>
      </w:r>
    </w:p>
    <w:p>
      <w:pPr>
        <w:spacing w:after="120" w:line="360"/>
        <w:jc w:val="both"/>
      </w:pPr>
      <w:r>
        <w:rPr>
          <w:rFonts w:ascii="Times New Roman" w:cs="Times New Roman" w:eastAsia="Times New Roman" w:hAnsi="Times New Roman"/>
          <w:sz w:val="24"/>
          <w:szCs w:val="24"/>
        </w:rPr>
        <w:t xml:space="preserve">Sempre que constar neste Dossiê a expressão </w:t>
      </w:r>
      <w:r>
        <w:rPr>
          <w:rFonts w:ascii="Times New Roman" w:cs="Times New Roman" w:eastAsia="Times New Roman" w:hAnsi="Times New Roman"/>
          <w:b/>
          <w:bCs/>
          <w:sz w:val="24"/>
          <w:szCs w:val="24"/>
        </w:rPr>
        <w:t xml:space="preserve">"DOCUMENTO FICTÍCIO — SIMULAÇÃO ACADÊMICO-EMPRESARIAL — SEM VALIDADE JURÍDICA OU REGULATÓRIA"</w:t>
      </w:r>
      <w:r>
        <w:rPr>
          <w:rFonts w:ascii="Times New Roman" w:cs="Times New Roman" w:eastAsia="Times New Roman" w:hAnsi="Times New Roman"/>
          <w:sz w:val="24"/>
          <w:szCs w:val="24"/>
        </w:rPr>
        <w:t xml:space="preserve">, ou expressão equivalente ("minuta demonstrativa", "documento demonstrativo", "modelo prospectivo"), o respectivo instrumento representará exclusivamente a forma, o conteúdo, os controles, os pareceres, as autorizações, as certificações ou as manifestações que se pretende obter quando da efetiva implementação comercial do Projeto Auto Shield Fi.</w:t>
      </w:r>
    </w:p>
    <w:p>
      <w:pPr>
        <w:spacing w:after="120" w:line="360"/>
        <w:jc w:val="both"/>
      </w:pPr>
      <w:r>
        <w:rPr>
          <w:rFonts w:ascii="Times New Roman" w:cs="Times New Roman" w:eastAsia="Times New Roman" w:hAnsi="Times New Roman"/>
          <w:sz w:val="24"/>
          <w:szCs w:val="24"/>
        </w:rPr>
        <w:t xml:space="preserve">Essas peças:</w:t>
      </w:r>
    </w:p>
    <w:p>
      <w:pPr>
        <w:spacing w:after="80" w:line="360"/>
        <w:ind w:left="709" w:hanging="425"/>
        <w:jc w:val="both"/>
      </w:pPr>
      <w:r>
        <w:rPr>
          <w:rFonts w:ascii="Times New Roman" w:cs="Times New Roman" w:eastAsia="Times New Roman" w:hAnsi="Times New Roman"/>
          <w:sz w:val="24"/>
          <w:szCs w:val="24"/>
        </w:rPr>
        <w:t xml:space="preserve">a) não constituem autorização efetivamente expedida pela SUSEP, pela CVM, pelo Banco Central do Brasil, pela ANPD ou por qualquer outro órgão público;</w:t>
      </w:r>
    </w:p>
    <w:p>
      <w:pPr>
        <w:spacing w:after="80" w:line="360"/>
        <w:ind w:left="709" w:hanging="425"/>
        <w:jc w:val="both"/>
      </w:pPr>
      <w:r>
        <w:rPr>
          <w:rFonts w:ascii="Times New Roman" w:cs="Times New Roman" w:eastAsia="Times New Roman" w:hAnsi="Times New Roman"/>
          <w:sz w:val="24"/>
          <w:szCs w:val="24"/>
        </w:rPr>
        <w:t xml:space="preserve">b) não correspondem a laudo ou certificação efetivamente emitidos por auditor, advogado, seguradora, administradora de operações de proteção patrimonial mutualista, prestadora de serviços de ativos virtuais, instituição de pagamento ou fornecedor independente;</w:t>
      </w:r>
    </w:p>
    <w:p>
      <w:pPr>
        <w:spacing w:after="80" w:line="360"/>
        <w:ind w:left="709" w:hanging="425"/>
        <w:jc w:val="both"/>
      </w:pPr>
      <w:r>
        <w:rPr>
          <w:rFonts w:ascii="Times New Roman" w:cs="Times New Roman" w:eastAsia="Times New Roman" w:hAnsi="Times New Roman"/>
          <w:sz w:val="24"/>
          <w:szCs w:val="24"/>
        </w:rPr>
        <w:t xml:space="preserve">c) não contêm assinatura autêntica de autoridade ou de terceiro;</w:t>
      </w:r>
    </w:p>
    <w:p>
      <w:pPr>
        <w:spacing w:after="80" w:line="360"/>
        <w:ind w:left="709" w:hanging="425"/>
        <w:jc w:val="both"/>
      </w:pPr>
      <w:r>
        <w:rPr>
          <w:rFonts w:ascii="Times New Roman" w:cs="Times New Roman" w:eastAsia="Times New Roman" w:hAnsi="Times New Roman"/>
          <w:sz w:val="24"/>
          <w:szCs w:val="24"/>
        </w:rPr>
        <w:t xml:space="preserve">d) não devem ser apresentadas a terceiros como documento oficial;</w:t>
      </w:r>
    </w:p>
    <w:p>
      <w:pPr>
        <w:spacing w:after="80" w:line="360"/>
        <w:ind w:left="709" w:hanging="425"/>
        <w:jc w:val="both"/>
      </w:pPr>
      <w:r>
        <w:rPr>
          <w:rFonts w:ascii="Times New Roman" w:cs="Times New Roman" w:eastAsia="Times New Roman" w:hAnsi="Times New Roman"/>
          <w:sz w:val="24"/>
          <w:szCs w:val="24"/>
        </w:rPr>
        <w:t xml:space="preserve">e) deverão ser substituídas pelos instrumentos autênticos antes da utilização comercial correspondente, conforme o protocolo do Anexo II.</w:t>
      </w:r>
    </w:p>
    <w:p>
      <w:pPr>
        <w:spacing w:after="120" w:line="360"/>
        <w:jc w:val="both"/>
      </w:pPr>
      <w:r>
        <w:rPr>
          <w:rFonts w:ascii="Times New Roman" w:cs="Times New Roman" w:eastAsia="Times New Roman" w:hAnsi="Times New Roman"/>
          <w:b/>
          <w:bCs/>
          <w:sz w:val="24"/>
          <w:szCs w:val="24"/>
        </w:rPr>
        <w:t xml:space="preserve">Convenção de preenchimento (versão 1.1).</w:t>
      </w:r>
      <w:r>
        <w:rPr>
          <w:rFonts w:ascii="Times New Roman" w:cs="Times New Roman" w:eastAsia="Times New Roman" w:hAnsi="Times New Roman"/>
          <w:sz w:val="24"/>
          <w:szCs w:val="24"/>
        </w:rPr>
        <w:t xml:space="preserve"> Os campos originalmente indicados por colchetes foram preenchidos com os parâmetros consolidados no Quadro de Parâmetros abaixo. Permanecem em aberto apenas os dados que dependem de ato de terceiro ou de informação pessoal dos signatários — CNPJ, NIRE, logradouro da sede, nomes, qualificação e CPF de sócios e testemunhas, datas de assinatura e identificação de contrapartes ainda não selecionadas. Esses campos aparecem com a indicação expressa "a inserir na assinatura", "a atribuir no registro" ou "a selecionar", sem qualquer número ou nome fictício que possa ser confundido com dado registral ou pessoal real. Os rótulos internos de simulação (por exemplo, "GPPM Veicular 01" e "ASF-DEV") identificam apenas peças demonstrativas.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DADOS MESTRES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1"/>
        <w:gridCol w:w="5953"/>
      </w:tblGrid>
      <w:tr>
        <w:trPr>
          <w:cantSplit/>
          <w:tblHeader/>
        </w:trPr>
        <w:tc>
          <w:tcPr>
            <w:tcW w:type="dxa" w:w="255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Campo</w:t>
            </w:r>
          </w:p>
        </w:tc>
        <w:tc>
          <w:tcPr>
            <w:tcW w:type="dxa" w:w="595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Conteúdo</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Razão social</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AUTO SHIELD FI TECNOLOGIA LTDA</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Nome fantasia</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AUTO SHIELD FI</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Tipo societário</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Sociedade empresária limitada, com regência supletiva pelas normas da sociedade anônima (art. 1.053, parágrafo único, do Código Civil)</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CNPJ</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 atribuir pela Receita Federal do Brasil após o registro</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NIRE</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 atribuir pela Junta Comercial do Estado do Rio de Janeiro (JUCERJA)</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Sede</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Município do Rio de Janeiro/RJ — logradouro a indicar no requerimento de registro</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Capital social</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R$ 48.000,00 (quarenta e oito mil reais)</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Quantidade de quotas</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48.000 (quarenta e oito mil) quotas</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Valor nominal por quota</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R$ 1,00 (um real)</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Integralização</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 no ato da assinatura e saldo em até 12 meses contados do registro, em moeda corrente nacional</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Atividade principal (CNAE)</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6201-5/01 — Desenvolvimento de programas de computador sob encomenda</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Atividades secundárias (CNAE)</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6202-3/00; 6203-1/00; 6204-0/00; 6209-1/00; 6311-9/00</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Foro societário eleito</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Comarca da Capital do Estado do Rio de Janeiro</w:t>
            </w:r>
          </w:p>
        </w:tc>
      </w:tr>
      <w:tr>
        <w:trPr>
          <w:cantSplit/>
          <w:tblHeader w:val="false"/>
        </w:trPr>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Exercício social</w:t>
            </w:r>
          </w:p>
        </w:tc>
        <w:tc>
          <w:tcPr>
            <w:tcW w:type="dxa" w:w="595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 de janeiro a 31 de dezembro</w:t>
            </w:r>
          </w:p>
        </w:tc>
      </w:tr>
    </w:tbl>
    <w:p>
      <w:pPr>
        <w:spacing w:after="12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020"/>
        <w:gridCol w:w="2721"/>
        <w:gridCol w:w="850"/>
        <w:gridCol w:w="1020"/>
        <w:gridCol w:w="2893"/>
      </w:tblGrid>
      <w:tr>
        <w:trPr>
          <w:cantSplit/>
          <w:tblHeader/>
        </w:trPr>
        <w:tc>
          <w:tcPr>
            <w:tcW w:type="dxa" w:w="102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Sócio</w:t>
            </w:r>
          </w:p>
        </w:tc>
        <w:tc>
          <w:tcPr>
            <w:tcW w:type="dxa" w:w="272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Função executiva</w:t>
            </w:r>
          </w:p>
        </w:tc>
        <w:tc>
          <w:tcPr>
            <w:tcW w:type="dxa" w:w="85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Quotas</w:t>
            </w:r>
          </w:p>
        </w:tc>
        <w:tc>
          <w:tcPr>
            <w:tcW w:type="dxa" w:w="102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Participação</w:t>
            </w:r>
          </w:p>
        </w:tc>
        <w:tc>
          <w:tcPr>
            <w:tcW w:type="dxa" w:w="289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Qualificação</w:t>
            </w:r>
          </w:p>
        </w:tc>
      </w:tr>
      <w:tr>
        <w:trPr>
          <w:cantSplit/>
          <w:tblHeader w:val="false"/>
        </w:trPr>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A</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Diretor-Presidente (produto, estratégia e relações corporativas)</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c>
          <w:tcPr>
            <w:tcW w:type="dxa" w:w="28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Nome, nacionalidade, estado civil, profissão, CPF e endereço a inserir na assinatura</w:t>
            </w:r>
          </w:p>
        </w:tc>
      </w:tr>
      <w:tr>
        <w:trPr>
          <w:cantSplit/>
          <w:tblHeader w:val="false"/>
        </w:trPr>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Diretor de Tecnologia (engenharia, blockchain, arquitetura e segurança de software)</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c>
          <w:tcPr>
            <w:tcW w:type="dxa" w:w="28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 inserir na assinatura</w:t>
            </w:r>
          </w:p>
        </w:tc>
      </w:tr>
      <w:tr>
        <w:trPr>
          <w:cantSplit/>
          <w:tblHeader w:val="false"/>
        </w:trPr>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Diretor Jurídico e de Compliance; Encarregado pelo Tratamento de Dados Pessoais</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c>
          <w:tcPr>
            <w:tcW w:type="dxa" w:w="28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 inserir na assinatura</w:t>
            </w:r>
          </w:p>
        </w:tc>
      </w:tr>
      <w:tr>
        <w:trPr>
          <w:cantSplit/>
          <w:tblHeader w:val="false"/>
        </w:trPr>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Diretor de Operações (operações, distribuição, implantação e parcerias)</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02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c>
          <w:tcPr>
            <w:tcW w:type="dxa" w:w="28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 inserir na assinatura</w:t>
            </w:r>
          </w:p>
        </w:tc>
      </w:tr>
    </w:tbl>
    <w:p>
      <w:pPr>
        <w:spacing w:after="120"/>
      </w:pP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QUADRO DE PARÂMETROS PROPOSTOS</w:t>
      </w:r>
    </w:p>
    <w:p>
      <w:pPr>
        <w:spacing w:after="120" w:line="360"/>
        <w:jc w:val="both"/>
      </w:pPr>
      <w:r>
        <w:rPr>
          <w:rFonts w:ascii="Times New Roman" w:cs="Times New Roman" w:eastAsia="Times New Roman" w:hAnsi="Times New Roman"/>
          <w:sz w:val="24"/>
          <w:szCs w:val="24"/>
        </w:rPr>
        <w:t xml:space="preserve">Os valores abaixo foram propostos pela Diretoria Jurídica e de Compliance com base em práticas usuais de sociedades de tecnologia em estágio pré-operacional (pre-seed) e harmonizados entre todos os instrumentos. Qualquer alteração deverá ser feita neste Quadro e replicada nos instrumentos indicados.</w:t>
      </w:r>
    </w:p>
    <w:p>
      <w:pPr>
        <w:pStyle w:val="Heading2"/>
        <w:keepNext/>
        <w:spacing w:after="120" w:before="240" w:line="300"/>
      </w:pPr>
      <w:r>
        <w:rPr>
          <w:rFonts w:ascii="Times New Roman" w:cs="Times New Roman" w:eastAsia="Times New Roman" w:hAnsi="Times New Roman"/>
          <w:b/>
          <w:bCs/>
          <w:sz w:val="24"/>
          <w:szCs w:val="24"/>
        </w:rPr>
        <w:t xml:space="preserve">1. Parâmetros societários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30"/>
        <w:gridCol w:w="3061"/>
        <w:gridCol w:w="1190"/>
        <w:gridCol w:w="2723"/>
      </w:tblGrid>
      <w:tr>
        <w:trPr>
          <w:cantSplit/>
          <w:tblHeader/>
        </w:trPr>
        <w:tc>
          <w:tcPr>
            <w:tcW w:type="dxa" w:w="153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Parâmetro</w:t>
            </w:r>
          </w:p>
        </w:tc>
        <w:tc>
          <w:tcPr>
            <w:tcW w:type="dxa" w:w="306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Valor adotado</w:t>
            </w:r>
          </w:p>
        </w:tc>
        <w:tc>
          <w:tcPr>
            <w:tcW w:type="dxa" w:w="119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Instrumentos</w:t>
            </w:r>
          </w:p>
        </w:tc>
        <w:tc>
          <w:tcPr>
            <w:tcW w:type="dxa" w:w="272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Observação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Capital social e quotas</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R$ 48.000,00; 48.000 quotas de R$ 1,00; 12.000 quotas por Fundador</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A-01, A-03, A-07</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Quantidade divisível pelo cronograma de vesting (3.000 no cliff e 250 por mês), sem frações</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Integralização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 no ato (R$ 3.000,00 por Fundador); saldo em até 12 meses do registro</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A-03</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Até a integralização total, os sócios respondem solidariamente pelo saldo (art. 1.052 do CC)</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Administração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Os quatro Fundadores, como administradores, com os títulos funcionais do A-01</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A-03, A-06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Assinatura conjunta</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Atos e operações acima de R$ 5.000,00 exigem dois administradores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A-03, A-06, A-16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Alinhado ao limite de alçada individual</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Alçada individual</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Até R$ 5.000,00 por operação, se prevista no orçamento</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Dupla aprovação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De R$ 5.000,01 a R$ 50.000,00; contratos com valor anual acima de R$ 30.000,00</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Quórum de 75%</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Dívida acima de R$ 50.000,00; despesa ou contrato acima de R$ 50.000,00; executivo com remuneração mensal acima de R$ 15.000,00</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A-03, A-04, A-06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Inclui orçamento anual, partes relacionadas e parcerias reguladas</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Vesting</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48 meses a partir de 1º/10/2026; cliff de 12 meses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A-04, A-07</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100% das quotas de cada Fundador sujeitas ao vesting</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Aceleração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50% do saldo na mudança de controle; 100% no double trigger (desligamento sem causa em até 12 meses)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A-07</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Opção de compra</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Prazo de exercício de 60 dias contados do desligamento</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A-07</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Preço de recompra</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Não consolidadas: valor nominal integralizado. Consolidadas (Good Leaver): valor econômico por avaliador independente. Consolidadas (Bad Leaver): valor patrimonial em balanço especial</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A-04, A-07, A-15</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Pagamento em até 12 parcelas mensais corrigidas pelo IPCA; sem multa punitiva adicional</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Transição de saída</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30 dias de cooperação</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A-15</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Adiantamentos</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Conciliação em até 10 dias úteis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A-12</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Procuração-modelo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Atos de registro e regularização; validade de 6 meses; vedado endividamento</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A-16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Foro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Comarca da Capital do Estado do Rio de Janeiro</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A-02, A-03, A-04, A-08</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Mediação prévia (Lei nº 13.140/2015) e arbitragem apenas por compromisso específico</w:t>
            </w:r>
          </w:p>
        </w:tc>
      </w:tr>
    </w:tbl>
    <w:p>
      <w:pPr>
        <w:spacing w:after="120"/>
      </w:pPr>
    </w:p>
    <w:p>
      <w:pPr>
        <w:pStyle w:val="Heading2"/>
        <w:keepNext/>
        <w:spacing w:after="120" w:before="240" w:line="300"/>
      </w:pPr>
      <w:r>
        <w:rPr>
          <w:rFonts w:ascii="Times New Roman" w:cs="Times New Roman" w:eastAsia="Times New Roman" w:hAnsi="Times New Roman"/>
          <w:b/>
          <w:bCs/>
          <w:sz w:val="24"/>
          <w:szCs w:val="24"/>
        </w:rPr>
        <w:t xml:space="preserve">2. Parâmetros contratuais e operacionais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30"/>
        <w:gridCol w:w="3061"/>
        <w:gridCol w:w="1190"/>
        <w:gridCol w:w="2723"/>
      </w:tblGrid>
      <w:tr>
        <w:trPr>
          <w:cantSplit/>
          <w:tblHeader/>
        </w:trPr>
        <w:tc>
          <w:tcPr>
            <w:tcW w:type="dxa" w:w="153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Parâmetro</w:t>
            </w:r>
          </w:p>
        </w:tc>
        <w:tc>
          <w:tcPr>
            <w:tcW w:type="dxa" w:w="306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Valor adotado</w:t>
            </w:r>
          </w:p>
        </w:tc>
        <w:tc>
          <w:tcPr>
            <w:tcW w:type="dxa" w:w="119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Instrumentos</w:t>
            </w:r>
          </w:p>
        </w:tc>
        <w:tc>
          <w:tcPr>
            <w:tcW w:type="dxa" w:w="272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Observação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Disponibilidade (SLA)</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99,5% mensal</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Patamar realista para infraestrutura em implantação; revisar para 99,9% após 12 meses de produção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Preço do licenciamento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R$ 15.000,00 mensais fixos + R$ 3,00 por contrato ou participação ativa gerida na plataforma, por mês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Métrica tecnológica, desvinculada de prêmio, contribuição ou angariação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Vigência do licenciamento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24 meses, renovável por períodos de 12 meses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B-06</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Aviso prévio de 90 dias; saída assistida de 90 dias</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Revisão de decisão registrada on-chain</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30 dias para o pedido de revisão humana</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C-11</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Regulação de eventos</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Meta interna de 30 dias; prazo máximo de 90 dias na Rota B</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C-08</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Art. 22 da Resolução CNSP nº 491/2026</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Multisig</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2-de-3 em Devnet; 3-de-5 em Mainnet</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D-07, E-17</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Gatilhos de oráculo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Divergência acima de 2% entre fontes; dado com mais de 60 segundos; indisponibilidade acima de 15 minutos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D-11</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Notificação de incidente pelo operador</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24 horas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E-05</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Permite ao controlador cumprir o prazo de 3 dias úteis da Res. CD/ANPD nº 15/2024</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RTO / RPO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Produção: 4 horas / 1 hora. Devnet: 24 horas / 24 horas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E-12</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Correção de vulnerabilidades</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Crítica: 24 h se houver exploração ativa, 72 h nos demais casos. Alta: 7 dias. Média: 30 dias. Baixa: 90 dias</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E-13</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Token de teste</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ASF-DEV, exclusivamente em Devnet, sem valor econômico</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D-03, D-05</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Encarregado (DPO)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E-02, E-07, E-08</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Observar o dever de evitar conflito de interesses (Res. CD/ANPD nº 18/2024)</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Parâmetros de produto</w:t>
            </w:r>
          </w:p>
        </w:tc>
        <w:tc>
          <w:tcPr>
            <w:tcW w:type="dxa" w:w="306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Valores ilustrativos (C-03 e C-04)</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C-03, C-04, B-08</w:t>
            </w:r>
          </w:p>
        </w:tc>
        <w:tc>
          <w:tcPr>
            <w:tcW w:type="dxa" w:w="272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Dependem de nota técnica atuarial do parceiro regulado</w:t>
            </w:r>
          </w:p>
        </w:tc>
      </w:tr>
    </w:tbl>
    <w:p>
      <w:pPr>
        <w:spacing w:after="120"/>
      </w:pPr>
    </w:p>
    <w:p>
      <w:pPr>
        <w:pStyle w:val="Heading2"/>
        <w:keepNext/>
        <w:spacing w:after="120" w:before="240" w:line="300"/>
      </w:pPr>
      <w:r>
        <w:rPr>
          <w:rFonts w:ascii="Times New Roman" w:cs="Times New Roman" w:eastAsia="Times New Roman" w:hAnsi="Times New Roman"/>
          <w:b/>
          <w:bCs/>
          <w:sz w:val="24"/>
          <w:szCs w:val="24"/>
        </w:rPr>
        <w:t xml:space="preserve">3. Campos que permanecem para preenchimento na assinatura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CNPJ e NIRE (atribuídos no registro).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Logradouro completo da sede.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Nome, nacionalidade, estado civil, profissão, CPF e endereço dos Fundadores, das testemunhas e do procurador (A-16).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Datas e locais de assinatura de cada instrumento.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Contrapartes ainda não selecionadas: entidade regulada (B-06), administradora (B-09), prestador SPSAV ou instituição de pagamento (D-08), contratado (A-08).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Identificadores técnicos a levantar no checklist do A-10 (repositórios, domínios, projetos em nuvem e program IDs).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Endereço eletrônico público do Encarregado e do canal de integridade, a publicar no sítio da Sociedade.</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ANEXO I — DECLARAÇÃO FORMAL DE SIMULAÇÃO ACADÊMICO-EMPRESARIAL</w:t>
      </w:r>
    </w:p>
    <w:p>
      <w:pPr>
        <w:spacing w:after="120" w:line="360"/>
        <w:jc w:val="center"/>
      </w:pPr>
      <w:r>
        <w:rPr>
          <w:rFonts w:ascii="Times New Roman" w:cs="Times New Roman" w:eastAsia="Times New Roman" w:hAnsi="Times New Roman"/>
          <w:b/>
          <w:bCs/>
          <w:sz w:val="24"/>
          <w:szCs w:val="24"/>
        </w:rPr>
        <w:t xml:space="preserve">PROJETO AUTO SHIELD FI</w:t>
      </w:r>
    </w:p>
    <w:p>
      <w:pPr>
        <w:spacing w:after="120" w:line="360"/>
        <w:jc w:val="both"/>
      </w:pPr>
      <w:r>
        <w:rPr>
          <w:rFonts w:ascii="Times New Roman" w:cs="Times New Roman" w:eastAsia="Times New Roman" w:hAnsi="Times New Roman"/>
          <w:sz w:val="24"/>
          <w:szCs w:val="24"/>
        </w:rPr>
        <w:t xml:space="preserve">Declara-se que os documentos identificados neste Dossiê como fictícios, demonstrativos ou simulados foram elaborados exclusivamente para representação acadêmica, planejamento empresarial, desenvolvimento de controles internos e demonstração da arquitetura documental pretendida para futura implementação.</w:t>
      </w:r>
    </w:p>
    <w:p>
      <w:pPr>
        <w:spacing w:after="120" w:line="360"/>
        <w:jc w:val="both"/>
      </w:pPr>
      <w:r>
        <w:rPr>
          <w:rFonts w:ascii="Times New Roman" w:cs="Times New Roman" w:eastAsia="Times New Roman" w:hAnsi="Times New Roman"/>
          <w:sz w:val="24"/>
          <w:szCs w:val="24"/>
        </w:rPr>
        <w:t xml:space="preserve">Tais documentos não constituem: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autorização governamental;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ato administrativo;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certidão pública;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aprovação de órgão regulador;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registro de oferta;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autorização para funcionamento;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laudo independente efetivamente emitido;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certificação de segurança;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parecer profissional externo;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assinatura de autoridade;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licença comercial ou regulatória.</w:t>
      </w:r>
    </w:p>
    <w:p>
      <w:pPr>
        <w:spacing w:after="120" w:line="360"/>
        <w:jc w:val="both"/>
      </w:pPr>
      <w:r>
        <w:rPr>
          <w:rFonts w:ascii="Times New Roman" w:cs="Times New Roman" w:eastAsia="Times New Roman" w:hAnsi="Times New Roman"/>
          <w:sz w:val="24"/>
          <w:szCs w:val="24"/>
        </w:rPr>
        <w:t xml:space="preserve">A apresentação do Dossiê não autoriza a realização de atividade reservada.</w:t>
      </w:r>
    </w:p>
    <w:p>
      <w:pPr>
        <w:spacing w:after="120" w:line="360"/>
        <w:jc w:val="both"/>
      </w:pPr>
      <w:r>
        <w:rPr>
          <w:rFonts w:ascii="Times New Roman" w:cs="Times New Roman" w:eastAsia="Times New Roman" w:hAnsi="Times New Roman"/>
          <w:sz w:val="24"/>
          <w:szCs w:val="24"/>
        </w:rPr>
        <w:t xml:space="preserve">Antes da implantação comercial, cada documento sujeito à emissão, anuência ou participação de terceiro deverá ser substituído pelo instrumento autêntico.</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ANEXO II — PROTOCOLO DE SUBSTITUIÇÃO DOS DOCUMENTOS SIMULADOS</w:t>
      </w:r>
    </w:p>
    <w:p>
      <w:pPr>
        <w:spacing w:after="120" w:line="360"/>
        <w:jc w:val="both"/>
      </w:pPr>
      <w:r>
        <w:rPr>
          <w:rFonts w:ascii="Times New Roman" w:cs="Times New Roman" w:eastAsia="Times New Roman" w:hAnsi="Times New Roman"/>
          <w:sz w:val="24"/>
          <w:szCs w:val="24"/>
        </w:rPr>
        <w:t xml:space="preserve">Cada peça fictícia receberá um dos seguintes status: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30"/>
        <w:gridCol w:w="6974"/>
      </w:tblGrid>
      <w:tr>
        <w:trPr>
          <w:cantSplit/>
          <w:tblHeader/>
        </w:trPr>
        <w:tc>
          <w:tcPr>
            <w:tcW w:type="dxa" w:w="153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Sigla</w:t>
            </w:r>
          </w:p>
        </w:tc>
        <w:tc>
          <w:tcPr>
            <w:tcW w:type="dxa" w:w="6974"/>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Significado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697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Simulação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REV</w:t>
            </w:r>
          </w:p>
        </w:tc>
        <w:tc>
          <w:tcPr>
            <w:tcW w:type="dxa" w:w="697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Em revisão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SOL</w:t>
            </w:r>
          </w:p>
        </w:tc>
        <w:tc>
          <w:tcPr>
            <w:tcW w:type="dxa" w:w="697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Solicitado ao terceiro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REC</w:t>
            </w:r>
          </w:p>
        </w:tc>
        <w:tc>
          <w:tcPr>
            <w:tcW w:type="dxa" w:w="697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Documento real recebido</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VER</w:t>
            </w:r>
          </w:p>
        </w:tc>
        <w:tc>
          <w:tcPr>
            <w:tcW w:type="dxa" w:w="697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Autenticidade verificada</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ARQ</w:t>
            </w:r>
          </w:p>
        </w:tc>
        <w:tc>
          <w:tcPr>
            <w:tcW w:type="dxa" w:w="697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Versão real arquivada</w:t>
            </w:r>
          </w:p>
        </w:tc>
      </w:tr>
    </w:tbl>
    <w:p>
      <w:pPr>
        <w:spacing w:after="120"/>
      </w:pPr>
    </w:p>
    <w:p>
      <w:pPr>
        <w:spacing w:after="120" w:line="360"/>
        <w:jc w:val="both"/>
      </w:pPr>
      <w:r>
        <w:rPr>
          <w:rFonts w:ascii="Times New Roman" w:cs="Times New Roman" w:eastAsia="Times New Roman" w:hAnsi="Times New Roman"/>
          <w:sz w:val="24"/>
          <w:szCs w:val="24"/>
        </w:rPr>
        <w:t xml:space="preserve">Quando o documento real for recebido:</w:t>
      </w:r>
    </w:p>
    <w:p>
      <w:pPr>
        <w:spacing w:after="80" w:line="360"/>
        <w:ind w:left="709" w:hanging="425"/>
        <w:jc w:val="both"/>
      </w:pPr>
      <w:r>
        <w:rPr>
          <w:rFonts w:ascii="Times New Roman" w:cs="Times New Roman" w:eastAsia="Times New Roman" w:hAnsi="Times New Roman"/>
          <w:sz w:val="24"/>
          <w:szCs w:val="24"/>
        </w:rPr>
        <w:t xml:space="preserve">1. conferir o emissor;</w:t>
      </w:r>
    </w:p>
    <w:p>
      <w:pPr>
        <w:spacing w:after="80" w:line="360"/>
        <w:ind w:left="709" w:hanging="425"/>
        <w:jc w:val="both"/>
      </w:pPr>
      <w:r>
        <w:rPr>
          <w:rFonts w:ascii="Times New Roman" w:cs="Times New Roman" w:eastAsia="Times New Roman" w:hAnsi="Times New Roman"/>
          <w:sz w:val="24"/>
          <w:szCs w:val="24"/>
        </w:rPr>
        <w:t xml:space="preserve">2. verificar a assinatura;</w:t>
      </w:r>
    </w:p>
    <w:p>
      <w:pPr>
        <w:spacing w:after="80" w:line="360"/>
        <w:ind w:left="709" w:hanging="425"/>
        <w:jc w:val="both"/>
      </w:pPr>
      <w:r>
        <w:rPr>
          <w:rFonts w:ascii="Times New Roman" w:cs="Times New Roman" w:eastAsia="Times New Roman" w:hAnsi="Times New Roman"/>
          <w:sz w:val="24"/>
          <w:szCs w:val="24"/>
        </w:rPr>
        <w:t xml:space="preserve">3. conferir escopo e validade;</w:t>
      </w:r>
    </w:p>
    <w:p>
      <w:pPr>
        <w:spacing w:after="80" w:line="360"/>
        <w:ind w:left="709" w:hanging="425"/>
        <w:jc w:val="both"/>
      </w:pPr>
      <w:r>
        <w:rPr>
          <w:rFonts w:ascii="Times New Roman" w:cs="Times New Roman" w:eastAsia="Times New Roman" w:hAnsi="Times New Roman"/>
          <w:sz w:val="24"/>
          <w:szCs w:val="24"/>
        </w:rPr>
        <w:t xml:space="preserve">4. registrar a data;</w:t>
      </w:r>
    </w:p>
    <w:p>
      <w:pPr>
        <w:spacing w:after="80" w:line="360"/>
        <w:ind w:left="709" w:hanging="425"/>
        <w:jc w:val="both"/>
      </w:pPr>
      <w:r>
        <w:rPr>
          <w:rFonts w:ascii="Times New Roman" w:cs="Times New Roman" w:eastAsia="Times New Roman" w:hAnsi="Times New Roman"/>
          <w:sz w:val="24"/>
          <w:szCs w:val="24"/>
        </w:rPr>
        <w:t xml:space="preserve">5. arquivar o original;</w:t>
      </w:r>
    </w:p>
    <w:p>
      <w:pPr>
        <w:spacing w:after="80" w:line="360"/>
        <w:ind w:left="709" w:hanging="425"/>
        <w:jc w:val="both"/>
      </w:pPr>
      <w:r>
        <w:rPr>
          <w:rFonts w:ascii="Times New Roman" w:cs="Times New Roman" w:eastAsia="Times New Roman" w:hAnsi="Times New Roman"/>
          <w:sz w:val="24"/>
          <w:szCs w:val="24"/>
        </w:rPr>
        <w:t xml:space="preserve">6. revogar operacionalmente a versão fictícia;</w:t>
      </w:r>
    </w:p>
    <w:p>
      <w:pPr>
        <w:spacing w:after="80" w:line="360"/>
        <w:ind w:left="709" w:hanging="425"/>
        <w:jc w:val="both"/>
      </w:pPr>
      <w:r>
        <w:rPr>
          <w:rFonts w:ascii="Times New Roman" w:cs="Times New Roman" w:eastAsia="Times New Roman" w:hAnsi="Times New Roman"/>
          <w:sz w:val="24"/>
          <w:szCs w:val="24"/>
        </w:rPr>
        <w:t xml:space="preserve">7. preservar a simulação somente no arquivo acadêmico.</w:t>
      </w:r>
    </w:p>
    <w:p>
      <w:pPr>
        <w:spacing w:after="120" w:line="360"/>
        <w:jc w:val="both"/>
      </w:pPr>
      <w:r>
        <w:rPr>
          <w:rFonts w:ascii="Times New Roman" w:cs="Times New Roman" w:eastAsia="Times New Roman" w:hAnsi="Times New Roman"/>
          <w:sz w:val="24"/>
          <w:szCs w:val="24"/>
        </w:rPr>
        <w:t xml:space="preserve">É vedado editar a simulação para fazê-la parecer documento realmente emitido.</w:t>
      </w:r>
    </w:p>
    <w:p>
      <w:pPr>
        <w:pStyle w:val="Heading2"/>
        <w:keepNext/>
        <w:spacing w:after="120" w:before="240" w:line="300"/>
      </w:pPr>
      <w:r>
        <w:rPr>
          <w:rFonts w:ascii="Times New Roman" w:cs="Times New Roman" w:eastAsia="Times New Roman" w:hAnsi="Times New Roman"/>
          <w:b/>
          <w:bCs/>
          <w:sz w:val="24"/>
          <w:szCs w:val="24"/>
        </w:rPr>
        <w:t xml:space="preserve">REGISTRO DE STATUS — POSIÇÃO EM 1º/10/2026</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360"/>
        <w:gridCol w:w="2551"/>
        <w:gridCol w:w="850"/>
        <w:gridCol w:w="3743"/>
      </w:tblGrid>
      <w:tr>
        <w:trPr>
          <w:cantSplit/>
          <w:tblHeader/>
        </w:trPr>
        <w:tc>
          <w:tcPr>
            <w:tcW w:type="dxa" w:w="136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Peça</w:t>
            </w:r>
          </w:p>
        </w:tc>
        <w:tc>
          <w:tcPr>
            <w:tcW w:type="dxa" w:w="255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Natureza</w:t>
            </w:r>
          </w:p>
        </w:tc>
        <w:tc>
          <w:tcPr>
            <w:tcW w:type="dxa" w:w="85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Status</w:t>
            </w:r>
          </w:p>
        </w:tc>
        <w:tc>
          <w:tcPr>
            <w:tcW w:type="dxa" w:w="374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Documento real que a substituirá</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B-01, B-02, B-03</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Memorandos internos de análise</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REV</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Pareceres jurídicos definitivos</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B-05</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Dossiê demonstrativo de sandbox</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Protocolo efetivo em edital do regulador</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B-06</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Minuta de parceria</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Contrato assinado com entidade autorizada</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B-07, B-08, B-09</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Minutas de estatuto, regulamento e contrato</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Instrumentos registrados e aprovados conforme a regulação</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C-02, C-03, C-04</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Modelos de produto com parâmetros ilustrativos</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Documentação emitida pelo parceiro regulado</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D-01</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Parecer simulado</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Parecer jurídico externo</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D-04</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Modelo prospectivo</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Documento de oferta autorizado, se houver</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D-05</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Termos de token desativado</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Classificação jurídica escrita</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D-08</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Minuta com SPSAV/IP</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Contrato com prestador autorizado</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E-16</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Laudo demonstrativo de auditoria</w:t>
            </w:r>
          </w:p>
        </w:tc>
        <w:tc>
          <w:tcPr>
            <w:tcW w:type="dxa" w:w="85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c>
          <w:tcPr>
            <w:tcW w:type="dxa" w:w="374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Relatório de auditoria independente real</w:t>
            </w:r>
          </w:p>
        </w:tc>
      </w:tr>
    </w:tbl>
    <w:p>
      <w:pPr>
        <w:spacing w:after="120"/>
      </w:pP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ANEXO III — REGRA DE SEGREGAÇÃO FINANCEIRA</w:t>
      </w:r>
    </w:p>
    <w:p>
      <w:pPr>
        <w:spacing w:after="120" w:line="360"/>
        <w:jc w:val="both"/>
      </w:pPr>
      <w:r>
        <w:rPr>
          <w:rFonts w:ascii="Times New Roman" w:cs="Times New Roman" w:eastAsia="Times New Roman" w:hAnsi="Times New Roman"/>
          <w:sz w:val="24"/>
          <w:szCs w:val="24"/>
        </w:rPr>
        <w:t xml:space="preserve">Nenhum recurso pertencente a segurado, associado, participante, cliente, investidor ou terceiro poderá transitar pela conta corrente ordinária da AUTO SHIELD FI TECNOLOGIA LTDA, salvo valor que constitua efetivamente contraprestação de serviço tecnológico devida à própria Sociedade e corretamente documentada.</w:t>
      </w:r>
    </w:p>
    <w:p>
      <w:pPr>
        <w:spacing w:after="120" w:line="360"/>
        <w:jc w:val="both"/>
      </w:pPr>
      <w:r>
        <w:rPr>
          <w:rFonts w:ascii="Times New Roman" w:cs="Times New Roman" w:eastAsia="Times New Roman" w:hAnsi="Times New Roman"/>
          <w:sz w:val="24"/>
          <w:szCs w:val="24"/>
        </w:rPr>
        <w:t xml:space="preserve">As wallets corporativas da Sociedade serão utilizadas somente para seus próprios ativos e despesas tecnológicas.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ANEXO IV — REGRA DE SEGREGAÇÃO COMUNICACIONAL</w:t>
      </w:r>
    </w:p>
    <w:p>
      <w:pPr>
        <w:spacing w:after="120" w:line="360"/>
        <w:jc w:val="both"/>
      </w:pPr>
      <w:r>
        <w:rPr>
          <w:rFonts w:ascii="Times New Roman" w:cs="Times New Roman" w:eastAsia="Times New Roman" w:hAnsi="Times New Roman"/>
          <w:sz w:val="24"/>
          <w:szCs w:val="24"/>
        </w:rPr>
        <w:t xml:space="preserve">Os materiais institucionais da Auto Shield Fi deverão indicar, conforme o contexto:</w:t>
      </w:r>
    </w:p>
    <w:p>
      <w:pPr>
        <w:spacing w:after="120" w:line="360"/>
        <w:jc w:val="center"/>
      </w:pPr>
      <w:r>
        <w:rPr>
          <w:rFonts w:ascii="Times New Roman" w:cs="Times New Roman" w:eastAsia="Times New Roman" w:hAnsi="Times New Roman"/>
          <w:b/>
          <w:bCs/>
          <w:sz w:val="24"/>
          <w:szCs w:val="24"/>
        </w:rPr>
        <w:t xml:space="preserve">"Auto Shield Fi Tecnologia Ltda — fornecedora de infraestrutura tecnológica."</w:t>
      </w:r>
    </w:p>
    <w:p>
      <w:pPr>
        <w:spacing w:after="120" w:line="360"/>
        <w:jc w:val="both"/>
      </w:pPr>
      <w:r>
        <w:rPr>
          <w:rFonts w:ascii="Times New Roman" w:cs="Times New Roman" w:eastAsia="Times New Roman" w:hAnsi="Times New Roman"/>
          <w:sz w:val="24"/>
          <w:szCs w:val="24"/>
        </w:rPr>
        <w:t xml:space="preserve">Não utilizar, em nome da Sociedade, expressões capazes de sugerir que a própria empresa: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garante indenizações;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vende seguro;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administra grupo mutualista;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custodia investimentos;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garante rentabilidade.</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ANEXO V — CHECKLIST DE GO-LIVE</w:t>
      </w:r>
    </w:p>
    <w:p>
      <w:pPr>
        <w:spacing w:after="120" w:line="360"/>
        <w:jc w:val="both"/>
      </w:pPr>
      <w:r>
        <w:rPr>
          <w:rFonts w:ascii="Times New Roman" w:cs="Times New Roman" w:eastAsia="Times New Roman" w:hAnsi="Times New Roman"/>
          <w:sz w:val="24"/>
          <w:szCs w:val="24"/>
        </w:rPr>
        <w:t xml:space="preserve">Antes do início de qualquer operação comercial envolvendo produto regulado deverão constar no Data Room:</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911"/>
        <w:gridCol w:w="1700"/>
        <w:gridCol w:w="1700"/>
        <w:gridCol w:w="1193"/>
      </w:tblGrid>
      <w:tr>
        <w:trPr>
          <w:cantSplit/>
          <w:tblHeader/>
        </w:trPr>
        <w:tc>
          <w:tcPr>
            <w:tcW w:type="dxa" w:w="391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Item</w:t>
            </w:r>
          </w:p>
        </w:tc>
        <w:tc>
          <w:tcPr>
            <w:tcW w:type="dxa" w:w="170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Referência</w:t>
            </w:r>
          </w:p>
        </w:tc>
        <w:tc>
          <w:tcPr>
            <w:tcW w:type="dxa" w:w="170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Responsável</w:t>
            </w:r>
          </w:p>
        </w:tc>
        <w:tc>
          <w:tcPr>
            <w:tcW w:type="dxa" w:w="119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Status</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Contrato Social registrado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A-03</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Acordo de Sócios</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A-04</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Cessões de PI</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A-09, A-10</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NDA</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A-02</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DPA</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E-05</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ROPA</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E-01</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RIPD</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E-09</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PSI</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E-10</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DRP</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E-12</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Plano de Incidentes</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E-11</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Auditoria real de smart contract</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E-16 (substituição)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Parceiro regulado efetivamente contratado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B-06, A-17</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Verificação documental das autorizações do parceiro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B-10</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Termos de Uso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C-01</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Aviso de Privacidade</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E-02</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Documentação real do produto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C-02 a C-04</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Manual de eventos</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C-07, C-08</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Procedimento de reclamações</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C-17</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Matriz PLD/FTP</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D-10</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Custódia segregada</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D-06, Anexo III</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Multisig implantado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D-07</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Pentest concluído</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E-13</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r>
        <w:trPr>
          <w:cantSplit/>
          <w:tblHeader w:val="false"/>
        </w:trPr>
        <w:tc>
          <w:tcPr>
            <w:tcW w:type="dxa" w:w="391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Aprovação formal de Go-Live</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A-04, Cl. 11</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Todos os Fundadores</w:t>
            </w:r>
          </w:p>
        </w:tc>
        <w:tc>
          <w:tcPr>
            <w:tcW w:type="dxa" w:w="119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Pendente</w:t>
            </w:r>
          </w:p>
        </w:tc>
      </w:tr>
    </w:tbl>
    <w:p>
      <w:pPr>
        <w:spacing w:after="120"/>
      </w:pP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TERMO FINAL DE APROVAÇÃO INTERNA</w:t>
      </w:r>
    </w:p>
    <w:p>
      <w:pPr>
        <w:spacing w:after="120" w:line="360"/>
        <w:jc w:val="both"/>
      </w:pPr>
      <w:r>
        <w:rPr>
          <w:rFonts w:ascii="Times New Roman" w:cs="Times New Roman" w:eastAsia="Times New Roman" w:hAnsi="Times New Roman"/>
          <w:sz w:val="24"/>
          <w:szCs w:val="24"/>
        </w:rPr>
        <w:t xml:space="preserve">Os sócios da AUTO SHIELD FI TECNOLOGIA LTDA declaram ter revisado o presente Dossiê Mestre e aprovam sua utilização como framework documental interno e acadêmico.</w:t>
      </w:r>
    </w:p>
    <w:p>
      <w:pPr>
        <w:spacing w:after="120" w:line="360"/>
        <w:jc w:val="both"/>
      </w:pPr>
      <w:r>
        <w:rPr>
          <w:rFonts w:ascii="Times New Roman" w:cs="Times New Roman" w:eastAsia="Times New Roman" w:hAnsi="Times New Roman"/>
          <w:sz w:val="24"/>
          <w:szCs w:val="24"/>
        </w:rPr>
        <w:t xml:space="preserve">O Dossiê será submetido a versionamento.</w:t>
      </w:r>
    </w:p>
    <w:p>
      <w:pPr>
        <w:spacing w:after="120" w:line="360"/>
        <w:jc w:val="both"/>
      </w:pPr>
      <w:r>
        <w:rPr>
          <w:rFonts w:ascii="Times New Roman" w:cs="Times New Roman" w:eastAsia="Times New Roman" w:hAnsi="Times New Roman"/>
          <w:sz w:val="24"/>
          <w:szCs w:val="24"/>
        </w:rPr>
        <w:t xml:space="preserve">Nenhuma peça acadêmica identificada como fictícia será considerada substituta de documento oficial.</w:t>
      </w:r>
    </w:p>
    <w:p>
      <w:pPr>
        <w:spacing w:after="120" w:line="360"/>
        <w:jc w:val="right"/>
      </w:pPr>
      <w:r>
        <w:rPr>
          <w:rFonts w:ascii="Times New Roman" w:cs="Times New Roman" w:eastAsia="Times New Roman" w:hAnsi="Times New Roman"/>
          <w:sz w:val="24"/>
          <w:szCs w:val="24"/>
        </w:rPr>
        <w:t xml:space="preserve">Rio de Janeiro/RJ, data da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r>
        <w:rPr>
          <w:rFonts w:ascii="Times New Roman" w:cs="Times New Roman" w:eastAsia="Times New Roman" w:hAnsi="Times New Roman"/>
          <w:sz w:val="22"/>
          <w:szCs w:val="22"/>
        </w:rPr>
        <w:t xml:space="preserve"> (nome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r>
        <w:rPr>
          <w:rFonts w:ascii="Times New Roman" w:cs="Times New Roman" w:eastAsia="Times New Roman" w:hAnsi="Times New Roman"/>
          <w:sz w:val="22"/>
          <w:szCs w:val="22"/>
        </w:rPr>
        <w:t xml:space="preserve"> (nome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r>
        <w:rPr>
          <w:rFonts w:ascii="Times New Roman" w:cs="Times New Roman" w:eastAsia="Times New Roman" w:hAnsi="Times New Roman"/>
          <w:sz w:val="22"/>
          <w:szCs w:val="22"/>
        </w:rPr>
        <w:t xml:space="preserve"> (nome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r>
        <w:rPr>
          <w:rFonts w:ascii="Times New Roman" w:cs="Times New Roman" w:eastAsia="Times New Roman" w:hAnsi="Times New Roman"/>
          <w:sz w:val="22"/>
          <w:szCs w:val="22"/>
        </w:rPr>
        <w:t xml:space="preserve"> (nome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Testemunha 1</w:t>
      </w:r>
      <w:r>
        <w:rPr>
          <w:rFonts w:ascii="Times New Roman" w:cs="Times New Roman" w:eastAsia="Times New Roman" w:hAnsi="Times New Roman"/>
          <w:sz w:val="22"/>
          <w:szCs w:val="22"/>
        </w:rPr>
        <w:t xml:space="preserve"> (nome e CPF)</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Testemunha 2</w:t>
      </w:r>
      <w:r>
        <w:rPr>
          <w:rFonts w:ascii="Times New Roman" w:cs="Times New Roman" w:eastAsia="Times New Roman" w:hAnsi="Times New Roman"/>
          <w:sz w:val="22"/>
          <w:szCs w:val="22"/>
        </w:rPr>
        <w:t xml:space="preserve"> (nome e CPF)</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CONTROLE DE VERSÕES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65"/>
        <w:gridCol w:w="1190"/>
        <w:gridCol w:w="1360"/>
        <w:gridCol w:w="1785"/>
        <w:gridCol w:w="1870"/>
        <w:gridCol w:w="1534"/>
      </w:tblGrid>
      <w:tr>
        <w:trPr>
          <w:cantSplit/>
          <w:tblHeader/>
        </w:trPr>
        <w:tc>
          <w:tcPr>
            <w:tcW w:type="dxa" w:w="765"/>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Versão</w:t>
            </w:r>
          </w:p>
        </w:tc>
        <w:tc>
          <w:tcPr>
            <w:tcW w:type="dxa" w:w="119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Data</w:t>
            </w:r>
          </w:p>
        </w:tc>
        <w:tc>
          <w:tcPr>
            <w:tcW w:type="dxa" w:w="136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Responsável</w:t>
            </w:r>
          </w:p>
        </w:tc>
        <w:tc>
          <w:tcPr>
            <w:tcW w:type="dxa" w:w="1785"/>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Documentos alterados</w:t>
            </w:r>
          </w:p>
        </w:tc>
        <w:tc>
          <w:tcPr>
            <w:tcW w:type="dxa" w:w="187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Justificativa</w:t>
            </w:r>
          </w:p>
        </w:tc>
        <w:tc>
          <w:tcPr>
            <w:tcW w:type="dxa" w:w="1534"/>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Efeito operacional</w:t>
            </w:r>
          </w:p>
        </w:tc>
      </w:tr>
      <w:tr>
        <w:trPr>
          <w:cantSplit/>
          <w:tblHeader w:val="false"/>
        </w:trPr>
        <w:tc>
          <w:tcPr>
            <w:tcW w:type="dxa" w:w="76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1.0</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01/10/2026</w:t>
            </w:r>
          </w:p>
        </w:tc>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Fundadores</w:t>
            </w:r>
          </w:p>
        </w:tc>
        <w:tc>
          <w:tcPr>
            <w:tcW w:type="dxa" w:w="178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Todos</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Constituição do repositório mestre</w:t>
            </w:r>
          </w:p>
        </w:tc>
        <w:tc>
          <w:tcPr>
            <w:tcW w:type="dxa" w:w="153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Base documental</w:t>
            </w:r>
          </w:p>
        </w:tc>
      </w:tr>
      <w:tr>
        <w:trPr>
          <w:cantSplit/>
          <w:tblHeader w:val="false"/>
        </w:trPr>
        <w:tc>
          <w:tcPr>
            <w:tcW w:type="dxa" w:w="76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1.1</w:t>
            </w:r>
          </w:p>
        </w:tc>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01/10/2026</w:t>
            </w:r>
          </w:p>
        </w:tc>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Diretoria Jurídica e de Compliance (Founder C)</w:t>
            </w:r>
          </w:p>
        </w:tc>
        <w:tc>
          <w:tcPr>
            <w:tcW w:type="dxa" w:w="178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Dados Mestres; Quadro de Parâmetros; A-01 a A-17; B-01 a B-13; C-01 a C-17; D-01 a D-12; E-01 a E-17; Anexos II e V</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Preenchimento dos campos em aberto, revisão textual e fundamentação normativa dos memorandos B-01, B-02, B-03, D-01 e E-09</w:t>
            </w:r>
          </w:p>
        </w:tc>
        <w:tc>
          <w:tcPr>
            <w:tcW w:type="dxa" w:w="1534"/>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Instrumentos prontos para assinatura, ressalvados os dados pessoais e registrais; aprovação pendente</w:t>
            </w:r>
          </w:p>
        </w:tc>
      </w:tr>
    </w:tbl>
    <w:p>
      <w:pPr>
        <w:spacing w:after="120"/>
      </w:pPr>
    </w:p>
    <w:p>
      <w:pPr>
        <w:spacing w:after="120" w:line="360"/>
        <w:jc w:val="both"/>
      </w:pPr>
      <w:r>
        <w:rPr>
          <w:rFonts w:ascii="Times New Roman" w:cs="Times New Roman" w:eastAsia="Times New Roman" w:hAnsi="Times New Roman"/>
          <w:sz w:val="24"/>
          <w:szCs w:val="24"/>
        </w:rPr>
        <w:t xml:space="preserve">As próximas versões deverão registrar obrigatoriamente: data; responsável; documentos alterados; justificativa; aprovação; e efeito operacional.</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REFERÊNCIAS NORMATIVAS CONSULTADAS</w:t>
      </w:r>
    </w:p>
    <w:p>
      <w:pPr>
        <w:spacing w:after="120" w:line="360"/>
        <w:jc w:val="both"/>
      </w:pPr>
      <w:r>
        <w:rPr>
          <w:rFonts w:ascii="Times New Roman" w:cs="Times New Roman" w:eastAsia="Times New Roman" w:hAnsi="Times New Roman"/>
          <w:sz w:val="24"/>
          <w:szCs w:val="24"/>
        </w:rPr>
        <w:t xml:space="preserve">Data de corte: 1º de outubro de 2026.</w:t>
      </w:r>
    </w:p>
    <w:p>
      <w:pPr>
        <w:pStyle w:val="Heading2"/>
        <w:keepNext/>
        <w:spacing w:after="120" w:before="240" w:line="300"/>
      </w:pPr>
      <w:r>
        <w:rPr>
          <w:rFonts w:ascii="Times New Roman" w:cs="Times New Roman" w:eastAsia="Times New Roman" w:hAnsi="Times New Roman"/>
          <w:b/>
          <w:bCs/>
          <w:sz w:val="24"/>
          <w:szCs w:val="24"/>
        </w:rPr>
        <w:t xml:space="preserve">Seguros e proteção patrimonial mutualista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Decreto-Lei nº 73/1966, com a redação da Lei Complementar nº 213/2025.</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Lei Complementar nº 213, de 15 de janeiro de 2025.</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Resolução CNSP nº 491, de 4 de maio de 2026 (DOU de 6/5/2026) — normas gerais das operações de proteção patrimonial mutualista.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Resolução CNSP nº 422/2021 — procedimento de autorização perante a SUSEP.</w:t>
      </w:r>
    </w:p>
    <w:p>
      <w:pPr>
        <w:pStyle w:val="Heading2"/>
        <w:keepNext/>
        <w:spacing w:after="120" w:before="240" w:line="300"/>
      </w:pPr>
      <w:r>
        <w:rPr>
          <w:rFonts w:ascii="Times New Roman" w:cs="Times New Roman" w:eastAsia="Times New Roman" w:hAnsi="Times New Roman"/>
          <w:b/>
          <w:bCs/>
          <w:sz w:val="24"/>
          <w:szCs w:val="24"/>
        </w:rPr>
        <w:t xml:space="preserve">Mercado de valores mobiliários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Lei nº 6.385/1976, art. 2º, IX.</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Parecer de Orientação CVM nº 40/2022 — criptoativos e mercado de valores mobiliários.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Ofício-Circular CVM/SSE nº 4/2023 — tokens de recebíveis e de renda fixa.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Resolução CVM nº 160/2022 — ofertas públicas.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Resolução CVM nº 88/2022 — investimento participativo (crowdfunding).</w:t>
      </w:r>
    </w:p>
    <w:p>
      <w:pPr>
        <w:pStyle w:val="Heading2"/>
        <w:keepNext/>
        <w:spacing w:after="120" w:before="240" w:line="300"/>
      </w:pPr>
      <w:r>
        <w:rPr>
          <w:rFonts w:ascii="Times New Roman" w:cs="Times New Roman" w:eastAsia="Times New Roman" w:hAnsi="Times New Roman"/>
          <w:b/>
          <w:bCs/>
          <w:sz w:val="24"/>
          <w:szCs w:val="24"/>
        </w:rPr>
        <w:t xml:space="preserve">Ativos virtuais e pagamentos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Lei nº 14.478/2022 — marco legal dos ativos virtuais.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Decreto nº 11.563/2023.</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Resoluções BCB nº 519, 520 e 521/2025 (publicadas em 10/11/2025; vigência desde 2/2/2026).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Lei nº 12.865/2013 — arranjos e instituições de pagamento.</w:t>
      </w:r>
    </w:p>
    <w:p>
      <w:pPr>
        <w:pStyle w:val="Heading2"/>
        <w:keepNext/>
        <w:spacing w:after="120" w:before="240" w:line="300"/>
      </w:pPr>
      <w:r>
        <w:rPr>
          <w:rFonts w:ascii="Times New Roman" w:cs="Times New Roman" w:eastAsia="Times New Roman" w:hAnsi="Times New Roman"/>
          <w:b/>
          <w:bCs/>
          <w:sz w:val="24"/>
          <w:szCs w:val="24"/>
        </w:rPr>
        <w:t xml:space="preserve">Proteção de dados e internet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Lei nº 13.709/2018 (LGPD), com as alterações da Lei nº 15.352/2026.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Resoluções CD/ANPD nº 2/2022 (agentes de pequeno porte), nº 15/2024 (comunicação de incidente), nº 18/2024 (encarregado), nº 19/2024 (transferência internacional) e nº 23/2024 (Agenda Regulatória 2025–2026).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Lei nº 12.965/2014 (Marco Civil da Internet), art. 15.</w:t>
      </w:r>
    </w:p>
    <w:p>
      <w:pPr>
        <w:pStyle w:val="Heading2"/>
        <w:keepNext/>
        <w:spacing w:after="120" w:before="240" w:line="300"/>
      </w:pPr>
      <w:r>
        <w:rPr>
          <w:rFonts w:ascii="Times New Roman" w:cs="Times New Roman" w:eastAsia="Times New Roman" w:hAnsi="Times New Roman"/>
          <w:b/>
          <w:bCs/>
          <w:sz w:val="24"/>
          <w:szCs w:val="24"/>
        </w:rPr>
        <w:t xml:space="preserve">Direito societário e contratual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Código Civil, arts. 1.011, 1.031 e 1.052 a 1.087.</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Lei nº 9.609/1998 (programas de computador); Lei nº 9.307/1996 (arbitragem); Lei nº 13.140/2015 (mediação); Lei nº 8.078/1990 (Código de Defesa do Consumidor).</w:t>
      </w:r>
    </w:p>
    <w:p>
      <w:pPr>
        <w:spacing w:after="120" w:line="360"/>
        <w:jc w:val="center"/>
      </w:pPr>
      <w:r>
        <w:rPr>
          <w:rFonts w:ascii="Times New Roman" w:cs="Times New Roman" w:eastAsia="Times New Roman" w:hAnsi="Times New Roman"/>
          <w:b/>
          <w:bCs/>
          <w:sz w:val="24"/>
          <w:szCs w:val="24"/>
        </w:rPr>
        <w:t xml:space="preserve">FIM DO DOSSIÊ JURÍDICO-EMPRESARIAL INTEGRAL — AUTO SHIELD FI — VERSÃO 1.1</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Confidencial — uso corporativo e acadêmico  ·  Página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de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595959"/>
        <w:sz w:val="16"/>
        <w:szCs w:val="16"/>
      </w:rPr>
      <w:t xml:space="preserve">AUTO SHIELD FI TECNOLOGIA LTDA (em constituição)  ·  Dossiê Jurídico-Empresarial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54"/>
      </w:pPr>
    </w:lvl>
    <w:lvl w:ilvl="1" w15:tentative="1">
      <w:start w:val="1"/>
      <w:numFmt w:val="bullet"/>
      <w:lvlText w:val="·"/>
      <w:lvlJc w:val="left"/>
      <w:pPr>
        <w:ind w:left="1418" w:hanging="35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Jurídico-Empresarial — Auto Shield Fi</dc:title>
  <dc:creator>Auto Shield Fi — Diretoria Jurídica e de Compliance</dc:creator>
  <cp:lastModifiedBy>Un-named</cp:lastModifiedBy>
  <cp:revision>1</cp:revision>
  <dcterms:created xsi:type="dcterms:W3CDTF">2026-10-01T14:34:41.928Z</dcterms:created>
  <dcterms:modified xsi:type="dcterms:W3CDTF">2026-10-01T14:34:41.928Z</dcterms:modified>
</cp:coreProperties>
</file>

<file path=docProps/custom.xml><?xml version="1.0" encoding="utf-8"?>
<Properties xmlns="http://schemas.openxmlformats.org/officeDocument/2006/custom-properties" xmlns:vt="http://schemas.openxmlformats.org/officeDocument/2006/docPropsVTypes"/>
</file>