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8AC0" w14:textId="77777777" w:rsidR="00434929" w:rsidRPr="000C31B4" w:rsidRDefault="00000000">
      <w:pPr>
        <w:pStyle w:val="TitoloPrincipaleCustom"/>
        <w:rPr>
          <w:lang w:val="it-IT"/>
        </w:rPr>
      </w:pPr>
      <w:r w:rsidRPr="000C31B4">
        <w:rPr>
          <w:lang w:val="it-IT"/>
        </w:rPr>
        <w:t>L’Italia dalla ricostruzione al Sessantotto: dalla nascita della Repubblica al miracolo economico</w:t>
      </w:r>
    </w:p>
    <w:p w14:paraId="2FC41342" w14:textId="77777777" w:rsidR="00434929" w:rsidRPr="000C31B4" w:rsidRDefault="00000000">
      <w:pPr>
        <w:pStyle w:val="SottotitoloCustom"/>
        <w:rPr>
          <w:lang w:val="it-IT"/>
        </w:rPr>
      </w:pPr>
      <w:r w:rsidRPr="000C31B4">
        <w:rPr>
          <w:lang w:val="it-IT"/>
        </w:rPr>
        <w:t>L’Italia all’indomani della guerra</w:t>
      </w:r>
    </w:p>
    <w:p w14:paraId="10239AEE" w14:textId="77777777" w:rsidR="00434929" w:rsidRPr="000C31B4" w:rsidRDefault="00000000">
      <w:pPr>
        <w:jc w:val="both"/>
        <w:rPr>
          <w:lang w:val="it-IT"/>
        </w:rPr>
      </w:pPr>
      <w:r w:rsidRPr="000C31B4">
        <w:rPr>
          <w:lang w:val="it-IT"/>
        </w:rPr>
        <w:t>Alla fine del conflitto l’Italia si trova in condizioni estremamente difficili. La guerra combattuta al fianco della Germania nazista si è conclusa con un disastro militare e con la disgregazione sociale e civile del paese. Anche se dopo l’8 settembre 1943 il governo del Sud aveva combattuto come cobelligerante al fianco degli anglo-americani e le formazioni partigiane avevano contribuito alla lotta contro i tedeschi, al tavolo della pace l’Italia viene comunque trattata come una nazione sconfitta.</w:t>
      </w:r>
    </w:p>
    <w:p w14:paraId="40FB48AB" w14:textId="77777777" w:rsidR="00434929" w:rsidRPr="000C31B4" w:rsidRDefault="00000000">
      <w:pPr>
        <w:jc w:val="both"/>
        <w:rPr>
          <w:lang w:val="it-IT"/>
        </w:rPr>
      </w:pPr>
      <w:r w:rsidRPr="000C31B4">
        <w:rPr>
          <w:lang w:val="it-IT"/>
        </w:rPr>
        <w:t>Cinque anni di guerra, di cui quasi due combattuti anche sul territorio nazionale, hanno lasciato conseguenze pesantissime. Alle vittime militari si aggiungono numerose vittime civili; le distruzioni materiali sono ingenti, causate sia dai bombardamenti sia dai combattimenti successivi allo sbarco anglo-americano in Sicilia nel luglio 1943. Le industrie del Nord hanno conservato circa tre quarti della loro capacità produttiva, ma mancano materie prime ed energia elettrica. Le ferrovie e le strade sono quasi completamente danneggiate, mentre oltre un terzo delle abitazioni risulta distrutto o sinistrato.</w:t>
      </w:r>
    </w:p>
    <w:p w14:paraId="031FA868" w14:textId="77777777" w:rsidR="00434929" w:rsidRPr="000C31B4" w:rsidRDefault="00000000">
      <w:pPr>
        <w:jc w:val="both"/>
        <w:rPr>
          <w:lang w:val="it-IT"/>
        </w:rPr>
      </w:pPr>
      <w:r w:rsidRPr="000C31B4">
        <w:rPr>
          <w:lang w:val="it-IT"/>
        </w:rPr>
        <w:t>La crisi riguarda anche l’agricoltura: la produzione agricola è scesa a poco più del 60% rispetto al periodo precedente alla guerra. Mancano i generi alimentari, i prezzi sono fuori controllo, la disoccupazione è altissima e milioni di persone sopravvivono grazie ad attività occasionali o agli aiuti dell’UNRRA. In questo contesto si diffondono criminalità, microdelinquenza, contrabbando e borsa nera, cioè la vendita illegale di generi alimentari razionati e di prodotti introvabili nei negozi. L’illegalità e la corruzione mettono a rischio ogni forma di etica pubblica e di senso civico.</w:t>
      </w:r>
    </w:p>
    <w:p w14:paraId="708C60EA" w14:textId="77777777" w:rsidR="00434929" w:rsidRPr="000C31B4" w:rsidRDefault="00000000">
      <w:pPr>
        <w:pStyle w:val="SottotitoloCustom"/>
        <w:rPr>
          <w:lang w:val="it-IT"/>
        </w:rPr>
      </w:pPr>
      <w:r w:rsidRPr="000C31B4">
        <w:rPr>
          <w:lang w:val="it-IT"/>
        </w:rPr>
        <w:t>La guerra civile, le violenze politiche e la frattura Nord-Sud</w:t>
      </w:r>
    </w:p>
    <w:p w14:paraId="546EE79F" w14:textId="77777777" w:rsidR="00434929" w:rsidRPr="000C31B4" w:rsidRDefault="00000000">
      <w:pPr>
        <w:jc w:val="both"/>
        <w:rPr>
          <w:lang w:val="it-IT"/>
        </w:rPr>
      </w:pPr>
      <w:r w:rsidRPr="000C31B4">
        <w:rPr>
          <w:lang w:val="it-IT"/>
        </w:rPr>
        <w:t>Il dopoguerra italiano è aggravato dalle conseguenze della guerra civile combattuta tra l’autunno del 1943 e la primavera del 1945 nei territori non ancora liberati dagli Alleati. Da una parte vi erano coloro che avevano scelto la Resistenza contro nazifascismo; dall’altra coloro che avevano continuato a combattere con la Repubblica sociale italiana e con i tedeschi. Per molti militanti socialisti e comunisti, inoltre, la Resistenza non era stata soltanto una guerra patriottica contro l’invasore, ma anche una guerra di classe, destinata a preparare una trasformazione rivoluzionaria della società.</w:t>
      </w:r>
    </w:p>
    <w:p w14:paraId="3DB89DD9" w14:textId="77777777" w:rsidR="00434929" w:rsidRPr="000C31B4" w:rsidRDefault="00000000">
      <w:pPr>
        <w:jc w:val="both"/>
        <w:rPr>
          <w:lang w:val="it-IT"/>
        </w:rPr>
      </w:pPr>
      <w:r w:rsidRPr="000C31B4">
        <w:rPr>
          <w:lang w:val="it-IT"/>
        </w:rPr>
        <w:t xml:space="preserve">Dopo la liberazione, alla fine dell’aprile 1945, si verifica un’ondata di esecuzioni sommarie e omicidi contro ex fascisti, membri delle Brigate nere, dirigenti o militanti del regime, ma anche contro individui sospettati di aver simpatizzato per la Repubblica sociale. Nei quattro anni </w:t>
      </w:r>
      <w:r w:rsidRPr="000C31B4">
        <w:rPr>
          <w:lang w:val="it-IT"/>
        </w:rPr>
        <w:lastRenderedPageBreak/>
        <w:t>successivi alla liberazione circa 10.000 persone vengono uccise in questa resa dei conti, particolarmente intensa nelle regioni dove più dure erano state le violenze fasciste o le rappresaglie del regime di Salò, come Emilia-Romagna, Piemonte, Lombardia e Veneto.</w:t>
      </w:r>
    </w:p>
    <w:p w14:paraId="6E8C5490" w14:textId="77777777" w:rsidR="00434929" w:rsidRPr="000C31B4" w:rsidRDefault="00000000">
      <w:pPr>
        <w:jc w:val="both"/>
        <w:rPr>
          <w:lang w:val="it-IT"/>
        </w:rPr>
      </w:pPr>
      <w:r w:rsidRPr="000C31B4">
        <w:rPr>
          <w:lang w:val="it-IT"/>
        </w:rPr>
        <w:t>La guerra ha inoltre accentuato la distanza tra Nord e Sud. Il Nord ha vissuto l’occupazione tedesca ed è stato il centro principale della Resistenza; il Sud, liberato prima dagli Alleati, ha garantito la continuità dello Stato monarchico. Nelle regioni settentrionali emergono forti richieste di cambiamento politico e sociale, mentre nel Mezzogiorno la monarchia conserva ampi consensi e i proprietari terrieri cercano di difendere il vecchio ordine sociale.</w:t>
      </w:r>
    </w:p>
    <w:p w14:paraId="18950423" w14:textId="77777777" w:rsidR="00434929" w:rsidRPr="000C31B4" w:rsidRDefault="00000000">
      <w:pPr>
        <w:jc w:val="both"/>
        <w:rPr>
          <w:lang w:val="it-IT"/>
        </w:rPr>
      </w:pPr>
      <w:r w:rsidRPr="000C31B4">
        <w:rPr>
          <w:lang w:val="it-IT"/>
        </w:rPr>
        <w:t>Tuttavia anche nel Sud la miseria rurale e la mancanza di lavoro provocano, dal 1944, un movimento di occupazione delle terre da parte di braccianti e fittavoli. I decreti Gullo prevedevano la concessione delle terre incolte a cooperative contadine, ma i grandi proprietari, spesso sostenuti dalle forze dell’ordine e dalla mafia, reagiscono con violenza. Il testo ricorda la strage di Palermo del 19 ottobre 1944, con 30 morti, e l’eccidio di Portella della Ginestra, avvenuto il 1° maggio 1947 per opera degli uomini di Salvatore Giuliano.</w:t>
      </w:r>
    </w:p>
    <w:p w14:paraId="27CC74E1" w14:textId="77777777" w:rsidR="00434929" w:rsidRPr="000C31B4" w:rsidRDefault="00000000">
      <w:pPr>
        <w:pStyle w:val="SottotitoloCustom"/>
        <w:rPr>
          <w:lang w:val="it-IT"/>
        </w:rPr>
      </w:pPr>
      <w:r w:rsidRPr="000C31B4">
        <w:rPr>
          <w:lang w:val="it-IT"/>
        </w:rPr>
        <w:t>La rinascita dei partiti di massa</w:t>
      </w:r>
    </w:p>
    <w:p w14:paraId="69AC9E1F" w14:textId="77777777" w:rsidR="00434929" w:rsidRPr="000C31B4" w:rsidRDefault="00000000">
      <w:pPr>
        <w:jc w:val="both"/>
        <w:rPr>
          <w:lang w:val="it-IT"/>
        </w:rPr>
      </w:pPr>
      <w:r w:rsidRPr="000C31B4">
        <w:rPr>
          <w:lang w:val="it-IT"/>
        </w:rPr>
        <w:t>Dopo vent’anni di dittatura fascista, la ricostruzione politica passa soprattutto attraverso i grandi partiti di massa. Essi costituiscono la base delle nuove istituzioni democratiche e permettono una più ampia partecipazione alla vita pubblica.</w:t>
      </w:r>
    </w:p>
    <w:p w14:paraId="1E3B08EB" w14:textId="77777777" w:rsidR="00434929" w:rsidRPr="000C31B4" w:rsidRDefault="00000000">
      <w:pPr>
        <w:jc w:val="both"/>
        <w:rPr>
          <w:lang w:val="it-IT"/>
        </w:rPr>
      </w:pPr>
      <w:r w:rsidRPr="000C31B4">
        <w:rPr>
          <w:lang w:val="it-IT"/>
        </w:rPr>
        <w:t>Il Partito socialista, ricostituito nel 1943 come Partito socialista italiano di unità proletaria e guidato da Pietro Nenni, si propone come rappresentante dei lavoratori. Pur avendo una forte impronta classista, riesce a ottenere consensi anche nel ceto medio. Al suo interno, però, resta irrisolta la divisione tra componente riformista e componente massimalista, destinata a provocare nuove fratture.</w:t>
      </w:r>
    </w:p>
    <w:p w14:paraId="59D1EA4C" w14:textId="77777777" w:rsidR="00434929" w:rsidRPr="000C31B4" w:rsidRDefault="00000000">
      <w:pPr>
        <w:jc w:val="both"/>
        <w:rPr>
          <w:lang w:val="it-IT"/>
        </w:rPr>
      </w:pPr>
      <w:r w:rsidRPr="000C31B4">
        <w:rPr>
          <w:lang w:val="it-IT"/>
        </w:rPr>
        <w:t>Il Partito comunista italiano, rafforzato dalla Resistenza, è guidato da Palmiro Togliatti. Togliatti vuole trasformare il PCI in un “partito nuovo”, cioè in una grande organizzazione di massa inserita nella società italiana, non più limitata a un gruppo di rivoluzionari professionali. Il suo programma è quello della “democrazia progressiva”: il PCI mira a conquistare un ruolo egemone tra le classi lavoratrici e a promuovere una profonda trasformazione del paese. La sua forza deriva dal contributo alla guerra partigiana, dal radicamento nelle fabbriche e dal consenso tra molti intellettuali. Tuttavia gli altri partiti temono che l’adesione comunista alla democrazia parlamentare sia solo strumentale e che il PCI sia condizionato dai legami con l’Unione Sovietica di Stalin.</w:t>
      </w:r>
    </w:p>
    <w:p w14:paraId="65165806" w14:textId="77777777" w:rsidR="00434929" w:rsidRPr="000C31B4" w:rsidRDefault="00000000">
      <w:pPr>
        <w:jc w:val="both"/>
        <w:rPr>
          <w:lang w:val="it-IT"/>
        </w:rPr>
      </w:pPr>
      <w:r w:rsidRPr="000C31B4">
        <w:rPr>
          <w:lang w:val="it-IT"/>
        </w:rPr>
        <w:t xml:space="preserve">La Democrazia cristiana, guidata da Alcide De Gasperi, si presenta come il principale partito alternativo alle sinistre nella rappresentanza dei ceti popolari. Erede del Partito popolare di don Luigi Sturzo, fondata sulla dottrina sociale della Chiesa, la DC propone una mediazione tra gli </w:t>
      </w:r>
      <w:r w:rsidRPr="000C31B4">
        <w:rPr>
          <w:lang w:val="it-IT"/>
        </w:rPr>
        <w:lastRenderedPageBreak/>
        <w:t>interessi delle diverse classi sociali in nome della solidarietà e del bene comune. Ha consensi tra classi medie urbane, mondo rurale e ambienti sindacali cattolici. Pur sostenuta dalle gerarchie ecclesiastiche e dall’Azione cattolica, De Gasperi vuole mantenere il principio della laicità dello Stato e l’autonomia della DC come partito aconfessionale.</w:t>
      </w:r>
    </w:p>
    <w:p w14:paraId="253BC608" w14:textId="77777777" w:rsidR="00434929" w:rsidRPr="000C31B4" w:rsidRDefault="00000000">
      <w:pPr>
        <w:jc w:val="both"/>
        <w:rPr>
          <w:lang w:val="it-IT"/>
        </w:rPr>
      </w:pPr>
      <w:r w:rsidRPr="000C31B4">
        <w:rPr>
          <w:lang w:val="it-IT"/>
        </w:rPr>
        <w:t>Il Partito d’azione rappresenta invece una borghesia progressista e laica. Nato nel 1942, è diviso tra un’ala democratico-progressista guidata da Ugo La Malfa e una filosocialista guidata da Emilio Lussu. Il suo programma si basa su repubblicanesimo, laicità dello Stato e intervento pubblico nell’economia. Nonostante il prestigio conquistato nella Resistenza e il fatto che Ferruccio Parri diventi presidente del primo governo del dopoguerra, il Partito d’azione non riesce a diventare un grande partito di massa e si scioglie rapidamente.</w:t>
      </w:r>
    </w:p>
    <w:p w14:paraId="0128F14F" w14:textId="77777777" w:rsidR="00434929" w:rsidRPr="000C31B4" w:rsidRDefault="00000000">
      <w:pPr>
        <w:jc w:val="both"/>
        <w:rPr>
          <w:lang w:val="it-IT"/>
        </w:rPr>
      </w:pPr>
      <w:r w:rsidRPr="000C31B4">
        <w:rPr>
          <w:lang w:val="it-IT"/>
        </w:rPr>
        <w:t>Il Partito liberale italiano, collocato nel centro-destra, raccoglie la borghesia moderata e personalità come Benedetto Croce e Luigi Einaudi. È legato alla tradizione liberale risorgimentale e giolittiana, ha caratteri elitari ed è favorevole alla continuità monarchica.</w:t>
      </w:r>
    </w:p>
    <w:p w14:paraId="1ABE135B" w14:textId="77777777" w:rsidR="00434929" w:rsidRPr="000C31B4" w:rsidRDefault="00000000">
      <w:pPr>
        <w:jc w:val="both"/>
        <w:rPr>
          <w:lang w:val="it-IT"/>
        </w:rPr>
      </w:pPr>
      <w:r w:rsidRPr="000C31B4">
        <w:rPr>
          <w:lang w:val="it-IT"/>
        </w:rPr>
        <w:t>All’estrema destra si trovano i reduci del fascismo, che nel 1946 daranno vita al Movimento sociale italiano, e il Fronte dell’Uomo qualunque, fondato nel 1945 da Guglielmo Giannini. Quest’ultimo movimento, da cui deriva il termine “qualunquismo”, raccoglie la diffidenza verso la politica, verso i partiti e verso gli ideali repubblicani e resistenziali, soprattutto in alcuni settori della piccola borghesia centro-meridionale.</w:t>
      </w:r>
    </w:p>
    <w:p w14:paraId="08F9519F" w14:textId="77777777" w:rsidR="00434929" w:rsidRPr="000C31B4" w:rsidRDefault="00000000">
      <w:pPr>
        <w:pStyle w:val="SottotitoloCustom"/>
        <w:rPr>
          <w:lang w:val="it-IT"/>
        </w:rPr>
      </w:pPr>
      <w:r w:rsidRPr="000C31B4">
        <w:rPr>
          <w:lang w:val="it-IT"/>
        </w:rPr>
        <w:t>Il governo Parri e l’avvio della democrazia</w:t>
      </w:r>
    </w:p>
    <w:p w14:paraId="5FBCEB48" w14:textId="77777777" w:rsidR="00434929" w:rsidRPr="000C31B4" w:rsidRDefault="00000000">
      <w:pPr>
        <w:jc w:val="both"/>
        <w:rPr>
          <w:lang w:val="it-IT"/>
        </w:rPr>
      </w:pPr>
      <w:r w:rsidRPr="000C31B4">
        <w:rPr>
          <w:lang w:val="it-IT"/>
        </w:rPr>
        <w:t>Nel giugno 1945, con la fine del secondo governo Bonomi, si chiude la fase dei governi d’emergenza legati alla guerra. Il primo governo dell’Italia liberata nasce il 21 giugno 1945 ed è guidato da Ferruccio Parri, figura prestigiosa della Resistenza, membro del CLN Alta Italia e vicecomandante del Corpo volontari della libertà. Al governo partecipano tutti i partiti del CLN.</w:t>
      </w:r>
    </w:p>
    <w:p w14:paraId="6D9B1949" w14:textId="77777777" w:rsidR="00434929" w:rsidRPr="000C31B4" w:rsidRDefault="00000000">
      <w:pPr>
        <w:jc w:val="both"/>
        <w:rPr>
          <w:lang w:val="it-IT"/>
        </w:rPr>
      </w:pPr>
      <w:r w:rsidRPr="000C31B4">
        <w:rPr>
          <w:lang w:val="it-IT"/>
        </w:rPr>
        <w:t>Il compito di Parri è difficilissimo: bisogna ricostruire un paese devastato, ristabilire l’ordine pubblico, reinserire nella vita civile gli ex partigiani e accogliere il ritorno dei prigionieri di guerra. La smobilitazione delle forze partigiane, voluta dagli anglo-americani, riguarda circa 120.000 partigiani, costretti a consegnare le armi. Molti di loro restano delusi perché non vengono mantenuti gli impegni che prevedevano il riconoscimento della qualifica partigiana come titolo preferenziale per l’arruolamento nell’esercito o nella polizia. Anche il ritorno di più di un milione di militari e civili dai lager tedeschi e dai campi di internamento alleati crea gravi problemi sociali.</w:t>
      </w:r>
    </w:p>
    <w:p w14:paraId="7225EBDE" w14:textId="77777777" w:rsidR="00434929" w:rsidRPr="000C31B4" w:rsidRDefault="00000000">
      <w:pPr>
        <w:jc w:val="both"/>
        <w:rPr>
          <w:lang w:val="it-IT"/>
        </w:rPr>
      </w:pPr>
      <w:r w:rsidRPr="000C31B4">
        <w:rPr>
          <w:lang w:val="it-IT"/>
        </w:rPr>
        <w:t xml:space="preserve">Il governo Parri prova a realizzare le aspirazioni della Resistenza: epurazione dei funzionari compromessi con il fascismo, riforma agraria, tassazione dei grandi capitali e misure di giustizia sociale. Questo programma entra però in conflitto con gli interessi dei partiti moderati. Nel </w:t>
      </w:r>
      <w:r w:rsidRPr="000C31B4">
        <w:rPr>
          <w:lang w:val="it-IT"/>
        </w:rPr>
        <w:lastRenderedPageBreak/>
        <w:t>novembre 1945 il PLI apre la crisi ritirandosi dal governo, seguito dalla DC. Nel dicembre 1945 la guida del nuovo esecutivo passa ad Alcide De Gasperi.</w:t>
      </w:r>
    </w:p>
    <w:p w14:paraId="33D6A8A6" w14:textId="77777777" w:rsidR="00434929" w:rsidRPr="000C31B4" w:rsidRDefault="00000000">
      <w:pPr>
        <w:pStyle w:val="SottotitoloCustom"/>
        <w:rPr>
          <w:lang w:val="it-IT"/>
        </w:rPr>
      </w:pPr>
      <w:r w:rsidRPr="000C31B4">
        <w:rPr>
          <w:lang w:val="it-IT"/>
        </w:rPr>
        <w:t>Il governo De Gasperi, la normalizzazione e l’amnistia</w:t>
      </w:r>
    </w:p>
    <w:p w14:paraId="4D10ABAA" w14:textId="77777777" w:rsidR="00434929" w:rsidRPr="000C31B4" w:rsidRDefault="00000000">
      <w:pPr>
        <w:jc w:val="both"/>
        <w:rPr>
          <w:lang w:val="it-IT"/>
        </w:rPr>
      </w:pPr>
      <w:r w:rsidRPr="000C31B4">
        <w:rPr>
          <w:lang w:val="it-IT"/>
        </w:rPr>
        <w:t>Il governo De Gasperi ha un grande significato storico, perché per la prima volta un esponente di un partito di ispirazione cattolica guida il paese. Anche questo esecutivo è ancora unitario, con tutti i partiti del CLN. Togliatti è ministro della Giustizia, Nenni vicepresidente del Consiglio, mentre De Gasperi conserva il ministero degli Esteri e lavora per costruire rapporti di fiducia con gli Alleati.</w:t>
      </w:r>
    </w:p>
    <w:p w14:paraId="13967DEA" w14:textId="77777777" w:rsidR="00434929" w:rsidRPr="000C31B4" w:rsidRDefault="00000000">
      <w:pPr>
        <w:jc w:val="both"/>
        <w:rPr>
          <w:lang w:val="it-IT"/>
        </w:rPr>
      </w:pPr>
      <w:r w:rsidRPr="000C31B4">
        <w:rPr>
          <w:lang w:val="it-IT"/>
        </w:rPr>
        <w:t>I contrasti emergono soprattutto sulla politica economica. La linea liberista del ministro del Tesoro Epicarmo Corbino, sostenuta da Luigi Einaudi alla Banca d’Italia, non riesce a risolvere l’aumento dei prezzi, la svalutazione della lira, la scarsità dei raccolti e la mancanza di materie prime. Viene meno anche il blocco dei licenziamenti, con conseguente aumento della disoccupazione.</w:t>
      </w:r>
    </w:p>
    <w:p w14:paraId="0F6935BB" w14:textId="77777777" w:rsidR="00434929" w:rsidRDefault="00000000">
      <w:pPr>
        <w:jc w:val="both"/>
        <w:rPr>
          <w:lang w:val="it-IT"/>
        </w:rPr>
      </w:pPr>
      <w:r w:rsidRPr="000C31B4">
        <w:rPr>
          <w:lang w:val="it-IT"/>
        </w:rPr>
        <w:t>Sul piano politico si afferma la scelta della “normalizzazione”. In teoria, dopo la caduta del fascismo, era prevista l’epurazione dalla pubblica amministrazione e dalle grandi imprese di coloro che si erano compromessi con il regime. Nel luglio 1944 era stato istituito l’Alto commissariato per le sanzioni contro il fascismo, ma già nel novembre 1945 il suo raggio d’azione viene limitato. Nel marzo 1946 viene sciolto. Su oltre 20.000 imputati fascisti rinviati a giudizio, solo poco più di un quarto viene condannato. Nel giugno 1946 Togliatti firma un’amnistia generale, che esclude soltanto alcuni responsabili di crimini particolarmente gravi. Questo provvedimento chiude di fatto gran parte della resa dei conti giudiziaria con il fascismo.</w:t>
      </w:r>
    </w:p>
    <w:p w14:paraId="7764D238" w14:textId="77777777" w:rsidR="000C31B4" w:rsidRPr="000C31B4" w:rsidRDefault="000C31B4">
      <w:pPr>
        <w:jc w:val="both"/>
        <w:rPr>
          <w:lang w:val="it-IT"/>
        </w:rPr>
      </w:pPr>
    </w:p>
    <w:p w14:paraId="523EF17E" w14:textId="77777777" w:rsidR="00434929" w:rsidRPr="000C31B4" w:rsidRDefault="00000000">
      <w:pPr>
        <w:pStyle w:val="SottotitoloCustom"/>
        <w:rPr>
          <w:lang w:val="it-IT"/>
        </w:rPr>
      </w:pPr>
      <w:r w:rsidRPr="000C31B4">
        <w:rPr>
          <w:lang w:val="it-IT"/>
        </w:rPr>
        <w:t>Il referendum del 2 giugno 1946 e la nascita della Repubblica</w:t>
      </w:r>
    </w:p>
    <w:p w14:paraId="53C34F35" w14:textId="77777777" w:rsidR="00434929" w:rsidRPr="000C31B4" w:rsidRDefault="00000000">
      <w:pPr>
        <w:jc w:val="both"/>
        <w:rPr>
          <w:lang w:val="it-IT"/>
        </w:rPr>
      </w:pPr>
      <w:r w:rsidRPr="000C31B4">
        <w:rPr>
          <w:lang w:val="it-IT"/>
        </w:rPr>
        <w:t>Il governo De Gasperi fissa per il 2 giugno 1946 una doppia consultazione: il referendum sulla forma istituzionale dello Stato e le elezioni per l’Assemblea costituente. È la prima consultazione libera dopo oltre vent’anni di fascismo ed è anche la prima volta in cui votano le donne.</w:t>
      </w:r>
    </w:p>
    <w:p w14:paraId="06C27555" w14:textId="77777777" w:rsidR="00434929" w:rsidRPr="000C31B4" w:rsidRDefault="00000000">
      <w:pPr>
        <w:jc w:val="both"/>
        <w:rPr>
          <w:lang w:val="it-IT"/>
        </w:rPr>
      </w:pPr>
      <w:r w:rsidRPr="000C31B4">
        <w:rPr>
          <w:lang w:val="it-IT"/>
        </w:rPr>
        <w:t>Prima del voto, Vittorio Emanuele III abdica il 9 maggio 1946 in favore del figlio Umberto II, nel tentativo di salvare l’immagine della monarchia. Sulla dinastia sabauda pesano però responsabilità gravi: l’appoggio iniziale a Mussolini nel 1922, la firma delle leggi razziali del 1938 e la fuga da Roma nel settembre 1943.</w:t>
      </w:r>
    </w:p>
    <w:p w14:paraId="6D1BDF85" w14:textId="77777777" w:rsidR="00434929" w:rsidRPr="000C31B4" w:rsidRDefault="00000000">
      <w:pPr>
        <w:jc w:val="both"/>
        <w:rPr>
          <w:lang w:val="it-IT"/>
        </w:rPr>
      </w:pPr>
      <w:r w:rsidRPr="000C31B4">
        <w:rPr>
          <w:lang w:val="it-IT"/>
        </w:rPr>
        <w:t>Al referendum vince la Repubblica con 12.700.000 voti, contro 10.700.000 per la monarchia. Il risultato conferma la frattura territoriale del paese: Nord e Centro votano prevalentemente per la Repubblica, mentre il Sud sostiene in larga parte la monarchia. I monarchici contestano il risultato, ma Umberto II lo accetta e il 13 giugno 1946 parte per l’esilio in Portogallo.</w:t>
      </w:r>
    </w:p>
    <w:p w14:paraId="615AE082" w14:textId="77777777" w:rsidR="00434929" w:rsidRPr="000C31B4" w:rsidRDefault="00000000">
      <w:pPr>
        <w:pStyle w:val="SottotitoloCustom"/>
        <w:rPr>
          <w:lang w:val="it-IT"/>
        </w:rPr>
      </w:pPr>
      <w:r w:rsidRPr="000C31B4">
        <w:rPr>
          <w:lang w:val="it-IT"/>
        </w:rPr>
        <w:lastRenderedPageBreak/>
        <w:t>L’Assemblea costituente e il primato dei partiti di massa</w:t>
      </w:r>
    </w:p>
    <w:p w14:paraId="7663CA58" w14:textId="77777777" w:rsidR="00434929" w:rsidRPr="000C31B4" w:rsidRDefault="00000000">
      <w:pPr>
        <w:jc w:val="both"/>
        <w:rPr>
          <w:lang w:val="it-IT"/>
        </w:rPr>
      </w:pPr>
      <w:r w:rsidRPr="000C31B4">
        <w:rPr>
          <w:lang w:val="it-IT"/>
        </w:rPr>
        <w:t>Le elezioni per l’Assemblea costituente sanciscono il primato dei grandi partiti di massa. La DC ottiene oltre il 35% dei voti, il PSIUP circa il 20%, il PCI circa il 18%. Liberali, Fronte dell’Uomo qualunque e PRI risultano minoritari, mentre il Partito d’azione ottiene meno dell’1,5%, confermando il fallimento della sua proposta politica.</w:t>
      </w:r>
    </w:p>
    <w:p w14:paraId="6D567A1E" w14:textId="77777777" w:rsidR="00434929" w:rsidRPr="000C31B4" w:rsidRDefault="00000000">
      <w:pPr>
        <w:jc w:val="both"/>
        <w:rPr>
          <w:lang w:val="it-IT"/>
        </w:rPr>
      </w:pPr>
      <w:r w:rsidRPr="000C31B4">
        <w:rPr>
          <w:lang w:val="it-IT"/>
        </w:rPr>
        <w:t>L’Assemblea è composta da 556 costituenti, ma soltanto 21 sono donne. Il voto mostra due elementi fondamentali: da una parte la forza dei grandi partiti popolari, che insieme raccolgono più di due terzi dei voti; dall’altra la contrapposizione tra centro e sinistra e la distanza tra un Nord più progressista e un Sud più conservatore.</w:t>
      </w:r>
    </w:p>
    <w:p w14:paraId="2997BD52" w14:textId="77777777" w:rsidR="00434929" w:rsidRPr="000C31B4" w:rsidRDefault="00000000">
      <w:pPr>
        <w:pStyle w:val="SottotitoloCustom"/>
        <w:rPr>
          <w:lang w:val="it-IT"/>
        </w:rPr>
      </w:pPr>
      <w:r w:rsidRPr="000C31B4">
        <w:rPr>
          <w:lang w:val="it-IT"/>
        </w:rPr>
        <w:t>La Costituzione repubblicana</w:t>
      </w:r>
    </w:p>
    <w:p w14:paraId="3D46C656" w14:textId="77777777" w:rsidR="00434929" w:rsidRPr="000C31B4" w:rsidRDefault="00000000">
      <w:pPr>
        <w:jc w:val="both"/>
        <w:rPr>
          <w:lang w:val="it-IT"/>
        </w:rPr>
      </w:pPr>
      <w:r w:rsidRPr="000C31B4">
        <w:rPr>
          <w:lang w:val="it-IT"/>
        </w:rPr>
        <w:t>I lavori dell’Assemblea costituente durano diciotto mesi e si concludono il 22 dicembre 1947. La Costituzione viene approvata a larga maggioranza, con 453 voti favorevoli e 62 contrari, promulgata dal capo provvisorio dello Stato Enrico De Nicola ed entra in vigore il 1° gennaio 1948.</w:t>
      </w:r>
    </w:p>
    <w:p w14:paraId="5F339906" w14:textId="77777777" w:rsidR="00434929" w:rsidRPr="000C31B4" w:rsidRDefault="00000000">
      <w:pPr>
        <w:jc w:val="both"/>
        <w:rPr>
          <w:lang w:val="it-IT"/>
        </w:rPr>
      </w:pPr>
      <w:r w:rsidRPr="000C31B4">
        <w:rPr>
          <w:lang w:val="it-IT"/>
        </w:rPr>
        <w:t>La Costituzione sostituisce lo Statuto albertino e dà vita a un sistema parlamentare. Il governo è responsabile davanti alla Camera dei deputati e al Senato, che detengono insieme il potere legislativo. Le Camere, elette a suffragio universale, eleggono in seduta comune il presidente della Repubblica, con mandato settennale. Dopo l’esperienza del fascismo, i costituenti scelgono un modello centrato sul Parlamento e sulla massima rappresentanza delle forze politiche, fondato sul sistema proporzionale.</w:t>
      </w:r>
    </w:p>
    <w:p w14:paraId="59825578" w14:textId="77777777" w:rsidR="00434929" w:rsidRPr="000C31B4" w:rsidRDefault="00000000">
      <w:pPr>
        <w:jc w:val="both"/>
        <w:rPr>
          <w:lang w:val="it-IT"/>
        </w:rPr>
      </w:pPr>
      <w:r w:rsidRPr="000C31B4">
        <w:rPr>
          <w:lang w:val="it-IT"/>
        </w:rPr>
        <w:t>La Costituzione prevede anche il Consiglio superiore della magistratura, a garanzia dell’autonomia dell’ordine giudiziario, e la Corte costituzionale, incaricata di controllare la conformità delle leggi alla Costituzione. Prevede inoltre Regioni a statuto speciale e Regioni a statuto ordinario, come primo passo verso la decentralizzazione dello Stato, fino ad allora fortemente centralizzato. Viene introdotto anche il referendum abrogativo, mentre non viene previsto il referendum propositivo.</w:t>
      </w:r>
    </w:p>
    <w:p w14:paraId="7815B1B6" w14:textId="77777777" w:rsidR="00434929" w:rsidRPr="000C31B4" w:rsidRDefault="00000000">
      <w:pPr>
        <w:jc w:val="both"/>
        <w:rPr>
          <w:lang w:val="it-IT"/>
        </w:rPr>
      </w:pPr>
      <w:r w:rsidRPr="000C31B4">
        <w:rPr>
          <w:lang w:val="it-IT"/>
        </w:rPr>
        <w:t>L’aspetto più innovativo della Costituzione è l’enunciazione di principi sociali: il diritto al lavoro, la possibilità di limitare la proprietà privata quando non sia compatibile con la sua utilità sociale, il pluralismo religioso e l’uguaglianza formale tra le confessioni. L’articolo 7 riconosce però un ruolo privilegiato alla Chiesa cattolica, stabilendo che i rapporti tra Repubblica e Santa Sede siano regolati dai Patti lateranensi del 1929. Questa soluzione viene approvata anche grazie al voto favorevole del PCI: Togliatti ritiene necessario rispettare il sentimento religioso della popolazione per favorire il radicamento delle istituzioni democratiche.</w:t>
      </w:r>
    </w:p>
    <w:p w14:paraId="734F7A24" w14:textId="77777777" w:rsidR="00434929" w:rsidRPr="000C31B4" w:rsidRDefault="00000000">
      <w:pPr>
        <w:jc w:val="both"/>
        <w:rPr>
          <w:lang w:val="it-IT"/>
        </w:rPr>
      </w:pPr>
      <w:r w:rsidRPr="000C31B4">
        <w:rPr>
          <w:lang w:val="it-IT"/>
        </w:rPr>
        <w:t xml:space="preserve">La Costituzione è rigida, cioè modificabile solo attraverso procedure complesse e larghe maggioranze. Questa scelta nasce dall’esperienza dello Statuto albertino, che era flessibile e </w:t>
      </w:r>
      <w:r w:rsidRPr="000C31B4">
        <w:rPr>
          <w:lang w:val="it-IT"/>
        </w:rPr>
        <w:lastRenderedPageBreak/>
        <w:t>aveva permesso al fascismo di approvare leggi liberticide senza doverlo modificare. La Carta costituzionale diventa così un denominatore comune tra culture politiche diverse e contribuisce a ricostruire la legittimità dello Stato democratico dopo la crisi aperta dall’8 settembre 1943.</w:t>
      </w:r>
    </w:p>
    <w:p w14:paraId="4B0DADFD" w14:textId="77777777" w:rsidR="00434929" w:rsidRPr="000C31B4" w:rsidRDefault="00000000">
      <w:pPr>
        <w:pStyle w:val="SottotitoloCustom"/>
        <w:rPr>
          <w:lang w:val="it-IT"/>
        </w:rPr>
      </w:pPr>
      <w:r w:rsidRPr="000C31B4">
        <w:rPr>
          <w:lang w:val="it-IT"/>
        </w:rPr>
        <w:t>La crisi dell’unità antifascista e le elezioni del 1948</w:t>
      </w:r>
    </w:p>
    <w:p w14:paraId="66D8A6F0" w14:textId="77777777" w:rsidR="00434929" w:rsidRPr="000C31B4" w:rsidRDefault="00000000">
      <w:pPr>
        <w:jc w:val="both"/>
        <w:rPr>
          <w:lang w:val="it-IT"/>
        </w:rPr>
      </w:pPr>
      <w:r w:rsidRPr="000C31B4">
        <w:rPr>
          <w:lang w:val="it-IT"/>
        </w:rPr>
        <w:t>La pagina di sintesi del capitolo ricorda che, durante i governi tripartiti, le divisioni interne alla sinistra portano allo scioglimento del Partito d’azione e alla scissione dei moderati dal Partito socialista. Alle difficoltà politiche si aggiungono le dure condizioni imposte all’Italia dal trattato di pace del 10 febbraio 1947.</w:t>
      </w:r>
    </w:p>
    <w:p w14:paraId="208931D6" w14:textId="77777777" w:rsidR="00434929" w:rsidRPr="000C31B4" w:rsidRDefault="00000000">
      <w:pPr>
        <w:jc w:val="both"/>
        <w:rPr>
          <w:lang w:val="it-IT"/>
        </w:rPr>
      </w:pPr>
      <w:r w:rsidRPr="000C31B4">
        <w:rPr>
          <w:lang w:val="it-IT"/>
        </w:rPr>
        <w:t>In questo contesto De Gasperi punta a una stabilizzazione moderata, escludendo comunisti e socialisti dal governo nel maggio 1947. Le elezioni politiche del 18 aprile 1948 rappresentano un momento di scontro ideologico molto forte. Il Fronte popolare delle sinistre viene pesantemente sconfitto, mentre prevale la Democrazia cristiana, che fa leva anche sulla rinascita economica resa possibile dagli aiuti americani. Il 14 luglio 1948 l’attentato a Palmiro Togliatti provoca fortissime tensioni politiche e sociali.</w:t>
      </w:r>
    </w:p>
    <w:p w14:paraId="4A49A0C1" w14:textId="77777777" w:rsidR="00434929" w:rsidRPr="000C31B4" w:rsidRDefault="00000000">
      <w:pPr>
        <w:pStyle w:val="SottotitoloCustom"/>
        <w:rPr>
          <w:lang w:val="it-IT"/>
        </w:rPr>
      </w:pPr>
      <w:r w:rsidRPr="000C31B4">
        <w:rPr>
          <w:lang w:val="it-IT"/>
        </w:rPr>
        <w:t>Il centrismo e la stabilità politica democristiana</w:t>
      </w:r>
    </w:p>
    <w:p w14:paraId="05A8E6EE" w14:textId="77777777" w:rsidR="00434929" w:rsidRPr="000C31B4" w:rsidRDefault="00000000">
      <w:pPr>
        <w:jc w:val="both"/>
        <w:rPr>
          <w:lang w:val="it-IT"/>
        </w:rPr>
      </w:pPr>
      <w:r w:rsidRPr="000C31B4">
        <w:rPr>
          <w:lang w:val="it-IT"/>
        </w:rPr>
        <w:t>Con la vittoria della DC si apre la fase del centrismo, soprattutto tra il 1948 e il 1953. Pur avendo la maggioranza assoluta dei seggi alla Camera, la DC mantiene l’alleanza con i partiti laici in governi di coalizione presieduti da De Gasperi. Nel maggio 1948 viene eletto presidente della Repubblica il liberale Luigi Einaudi.</w:t>
      </w:r>
    </w:p>
    <w:p w14:paraId="3BAFF1A2" w14:textId="77777777" w:rsidR="00434929" w:rsidRPr="000C31B4" w:rsidRDefault="00000000">
      <w:pPr>
        <w:jc w:val="both"/>
        <w:rPr>
          <w:lang w:val="it-IT"/>
        </w:rPr>
      </w:pPr>
      <w:r w:rsidRPr="000C31B4">
        <w:rPr>
          <w:lang w:val="it-IT"/>
        </w:rPr>
        <w:t>Il governo centrista avvia una stagione di riforme definita “centrismo riformista”. Gli aiuti del piano Marshall contribuiscono al rilancio produttivo e all’aumento dell’occupazione. La stabilizzazione delle finanze pubbliche permette programmi di intervento statale.</w:t>
      </w:r>
    </w:p>
    <w:p w14:paraId="67D59E07" w14:textId="77777777" w:rsidR="00434929" w:rsidRPr="000C31B4" w:rsidRDefault="00000000">
      <w:pPr>
        <w:jc w:val="both"/>
        <w:rPr>
          <w:lang w:val="it-IT"/>
        </w:rPr>
      </w:pPr>
      <w:r w:rsidRPr="000C31B4">
        <w:rPr>
          <w:lang w:val="it-IT"/>
        </w:rPr>
        <w:t>La riforma agraria, attuata dall’autunno del 1950, prevede l’esproprio di terre incolte e l’assegnazione di piccoli appezzamenti a braccianti, con l’obiettivo di trasformarli in coltivatori diretti. La riforma riguarda il Delta padano, la Maremma toscana e soprattutto il Mezzogiorno. Tuttavia gli appezzamenti sono spesso troppo piccoli per garantire un reddito adeguato, favorendo così l’abbandono dell’agricoltura e il passaggio verso una società industriale.</w:t>
      </w:r>
    </w:p>
    <w:p w14:paraId="091C6C01" w14:textId="77777777" w:rsidR="00434929" w:rsidRPr="000C31B4" w:rsidRDefault="00000000">
      <w:pPr>
        <w:jc w:val="both"/>
        <w:rPr>
          <w:lang w:val="it-IT"/>
        </w:rPr>
      </w:pPr>
      <w:r w:rsidRPr="000C31B4">
        <w:rPr>
          <w:lang w:val="it-IT"/>
        </w:rPr>
        <w:t>Viene istituita anche la Cassa per il Mezzogiorno, ente pubblico destinato a finanziare infrastrutture e opere pubbliche nel Sud. Il programma comprende centrali elettriche, porti, strade, ferrovie e servizi collettivi. Nel 1957 una legge impone alle imprese pubbliche dell’IRI di concentrare fino al 60% dei nuovi investimenti nelle regioni meridionali. Questa politica è sostenuta dalla corrente di sinistra della DC, legata ad Amintore Fanfani, già promotore nel 1949 di un piano per l’edilizia popolare.</w:t>
      </w:r>
    </w:p>
    <w:p w14:paraId="226826B3" w14:textId="77777777" w:rsidR="00434929" w:rsidRPr="000C31B4" w:rsidRDefault="00000000">
      <w:pPr>
        <w:jc w:val="both"/>
        <w:rPr>
          <w:lang w:val="it-IT"/>
        </w:rPr>
      </w:pPr>
      <w:r w:rsidRPr="000C31B4">
        <w:rPr>
          <w:lang w:val="it-IT"/>
        </w:rPr>
        <w:lastRenderedPageBreak/>
        <w:t>Nel 1951, per iniziativa di Ezio Vanoni, viene resa obbligatoria la dichiarazione annuale dei redditi, in attuazione del principio costituzionale dell’imposizione progressiva. Nel 1953 nasce l’ENI, Ente nazionale idrocarburi, con il compito di sviluppare le ricerche di metano e petrolio in Italia e garantire approvvigionamenti di greggio dall’Africa settentrionale e dal Medio Oriente.</w:t>
      </w:r>
    </w:p>
    <w:p w14:paraId="10A16DAF" w14:textId="77777777" w:rsidR="00434929" w:rsidRPr="000C31B4" w:rsidRDefault="00000000">
      <w:pPr>
        <w:pStyle w:val="SottotitoloCustom"/>
        <w:rPr>
          <w:lang w:val="it-IT"/>
        </w:rPr>
      </w:pPr>
      <w:r w:rsidRPr="000C31B4">
        <w:rPr>
          <w:lang w:val="it-IT"/>
        </w:rPr>
        <w:t>La crisi della leadership di De Gasperi e la “legge truffa”</w:t>
      </w:r>
    </w:p>
    <w:p w14:paraId="1BF97F16" w14:textId="77777777" w:rsidR="00434929" w:rsidRPr="000C31B4" w:rsidRDefault="00000000">
      <w:pPr>
        <w:jc w:val="both"/>
        <w:rPr>
          <w:lang w:val="it-IT"/>
        </w:rPr>
      </w:pPr>
      <w:r w:rsidRPr="000C31B4">
        <w:rPr>
          <w:lang w:val="it-IT"/>
        </w:rPr>
        <w:t>Alle elezioni amministrative del 1951-1952 la DC subisce un calo. Al Nord crescono le sinistre, mentre al Sud i proprietari fondiari e le loro clientele si spostano verso monarchici e neofascisti, anche come reazione alla riforma agraria. A Roma emerge persino un tentativo, sostenuto da Pio XII, di creare una lista civica che comprendesse la DC e l’estrema destra.</w:t>
      </w:r>
    </w:p>
    <w:p w14:paraId="4D8D1E6C" w14:textId="77777777" w:rsidR="00434929" w:rsidRPr="000C31B4" w:rsidRDefault="00000000">
      <w:pPr>
        <w:jc w:val="both"/>
        <w:rPr>
          <w:lang w:val="it-IT"/>
        </w:rPr>
      </w:pPr>
      <w:r w:rsidRPr="000C31B4">
        <w:rPr>
          <w:lang w:val="it-IT"/>
        </w:rPr>
        <w:t>Per garantire la stabilità del governo, viene proposta una riforma elettorale che assegna due terzi dei seggi alla Camera alla coalizione capace di superare il 50% più uno dei voti. Le sinistre la definiscono subito “legge truffa”. Anche esponenti laici come Ferruccio Parri, Piero Calamandrei e Tristano Codignola si oppongono, lasciando i partiti della coalizione centrista. Alle elezioni del giugno 1953 il premio di maggioranza non scatta per poche migliaia di voti. De Gasperi non riesce a formare un governo monocolore e lascia l’incarico. Nel giugno 1954 abbandona anche la guida della DC, che passa a Fanfani; muore due mesi dopo.</w:t>
      </w:r>
    </w:p>
    <w:p w14:paraId="39D4EE40" w14:textId="77777777" w:rsidR="00434929" w:rsidRPr="000C31B4" w:rsidRDefault="00000000">
      <w:pPr>
        <w:pStyle w:val="SottotitoloCustom"/>
        <w:rPr>
          <w:lang w:val="it-IT"/>
        </w:rPr>
      </w:pPr>
      <w:r w:rsidRPr="000C31B4">
        <w:rPr>
          <w:lang w:val="it-IT"/>
        </w:rPr>
        <w:t>La nuova generazione democristiana e il ruolo della sinistra DC</w:t>
      </w:r>
    </w:p>
    <w:p w14:paraId="38C4DEFF" w14:textId="77777777" w:rsidR="00434929" w:rsidRPr="000C31B4" w:rsidRDefault="00000000">
      <w:pPr>
        <w:jc w:val="both"/>
        <w:rPr>
          <w:lang w:val="it-IT"/>
        </w:rPr>
      </w:pPr>
      <w:r w:rsidRPr="000C31B4">
        <w:rPr>
          <w:lang w:val="it-IT"/>
        </w:rPr>
        <w:t>Dopo De Gasperi, la maggioranza parlamentare continua a basarsi sul quadripartito, cioè sull’alleanza tra DC, PSDI, PRI e PLI, ma i governi diventano meno stabili. All’interno della DC emerge una nuova generazione di dirigenti, formatisi in parte nell’Azione cattolica durante il fascismo, vicini agli orientamenti di Fanfani. Tra essi vi sono Aldo Moro, Paolo Emilio Taviani e Mariano Rumor.</w:t>
      </w:r>
    </w:p>
    <w:p w14:paraId="73ABBCFE" w14:textId="77777777" w:rsidR="00434929" w:rsidRPr="000C31B4" w:rsidRDefault="00000000">
      <w:pPr>
        <w:jc w:val="both"/>
        <w:rPr>
          <w:lang w:val="it-IT"/>
        </w:rPr>
      </w:pPr>
      <w:r w:rsidRPr="000C31B4">
        <w:rPr>
          <w:lang w:val="it-IT"/>
        </w:rPr>
        <w:t>Questi dirigenti vogliono rafforzare l’intervento pubblico nell’economia, ridurre la dipendenza della DC dalla Confindustria, aumentare il consenso tra la classe operaia e realizzare una maggiore giustizia sociale. Il peso della sinistra democristiana si vede nell’elezione di Giovanni Gronchi alla presidenza della Repubblica nel maggio 1955, con il voto anche di comunisti e socialisti. A questa area appartiene anche Enrico Mattei, ex comandante partigiano delle formazioni “bianche” e capo dell’ENI dal 1953.</w:t>
      </w:r>
    </w:p>
    <w:p w14:paraId="1E7E4CBE" w14:textId="77777777" w:rsidR="00434929" w:rsidRPr="000C31B4" w:rsidRDefault="00000000">
      <w:pPr>
        <w:pStyle w:val="SottotitoloCustom"/>
        <w:rPr>
          <w:lang w:val="it-IT"/>
        </w:rPr>
      </w:pPr>
      <w:r w:rsidRPr="000C31B4">
        <w:rPr>
          <w:lang w:val="it-IT"/>
        </w:rPr>
        <w:t>Il 1956 e la crisi della sinistra italiana</w:t>
      </w:r>
    </w:p>
    <w:p w14:paraId="6E52E139" w14:textId="77777777" w:rsidR="00434929" w:rsidRPr="000C31B4" w:rsidRDefault="00000000">
      <w:pPr>
        <w:jc w:val="both"/>
        <w:rPr>
          <w:lang w:val="it-IT"/>
        </w:rPr>
      </w:pPr>
      <w:r w:rsidRPr="000C31B4">
        <w:rPr>
          <w:lang w:val="it-IT"/>
        </w:rPr>
        <w:t xml:space="preserve">Il 1956 segna una svolta per la sinistra. Le denunce di Chruščëv al XX Congresso del PCUS contro i crimini dello stalinismo e la repressione sovietica della rivolta in Ungheria mettono in crisi la credibilità dei regimi comunisti. Nel PCI si apre un primo tentativo, ancora timido, di autonomia da Mosca, con il riferimento alle “vie nazionali al socialismo”. Nel PSI crescono invece le spinte </w:t>
      </w:r>
      <w:r w:rsidRPr="000C31B4">
        <w:rPr>
          <w:lang w:val="it-IT"/>
        </w:rPr>
        <w:lastRenderedPageBreak/>
        <w:t>verso il distacco dalla subordinazione al partito di Togliatti. La separazione tra socialisti e comunisti maturerà negli anni successivi.</w:t>
      </w:r>
    </w:p>
    <w:p w14:paraId="7C973D7E" w14:textId="77777777" w:rsidR="00434929" w:rsidRPr="000C31B4" w:rsidRDefault="00000000">
      <w:pPr>
        <w:pStyle w:val="SottotitoloCustom"/>
        <w:rPr>
          <w:lang w:val="it-IT"/>
        </w:rPr>
      </w:pPr>
      <w:r w:rsidRPr="000C31B4">
        <w:rPr>
          <w:lang w:val="it-IT"/>
        </w:rPr>
        <w:t>L’ordine pubblico negli anni del centrismo</w:t>
      </w:r>
    </w:p>
    <w:p w14:paraId="511EF94B" w14:textId="77777777" w:rsidR="00434929" w:rsidRPr="000C31B4" w:rsidRDefault="00000000">
      <w:pPr>
        <w:jc w:val="both"/>
        <w:rPr>
          <w:lang w:val="it-IT"/>
        </w:rPr>
      </w:pPr>
      <w:r w:rsidRPr="000C31B4">
        <w:rPr>
          <w:lang w:val="it-IT"/>
        </w:rPr>
        <w:t>Il capitolo dedica attenzione anche alla gestione dell’ordine pubblico da parte del ministro dell’Interno Mario Scelba. Dopo le agitazioni seguite all’attentato a Togliatti, il governo centrista decide di limitare gli spazi d’azione dei partiti di sinistra e delle loro organizzazioni. Scelba potenzia le forze di pubblica sicurezza e crea reparti motorizzati di pronto intervento, la “celere”.</w:t>
      </w:r>
    </w:p>
    <w:p w14:paraId="2C4E8917" w14:textId="77777777" w:rsidR="00434929" w:rsidRPr="000C31B4" w:rsidRDefault="00000000">
      <w:pPr>
        <w:jc w:val="both"/>
        <w:rPr>
          <w:lang w:val="it-IT"/>
        </w:rPr>
      </w:pPr>
      <w:r w:rsidRPr="000C31B4">
        <w:rPr>
          <w:lang w:val="it-IT"/>
        </w:rPr>
        <w:t>Le manifestazioni di piazza, gli scioperi e le vertenze sindacali vengono spesso trattati come atti sovversivi e repressi duramente. In diversi casi la polizia apre il fuoco sui manifestanti, provocando vittime. Dopo l’inizio della guerra di Corea nel 1950, le tensioni della guerra fredda si riflettono anche in Italia: comunisti e socialisti vengono schedati e spesso discriminati negli impieghi pubblici e nelle imprese private. Nel 1952 Scelba promuove una legge contro l’apologia del fascismo, ma ciò non basta a sottrarlo alle accuse delle sinistre di condurre una politica repressiva.</w:t>
      </w:r>
    </w:p>
    <w:p w14:paraId="5BEDFED6" w14:textId="77777777" w:rsidR="00434929" w:rsidRPr="000C31B4" w:rsidRDefault="00000000">
      <w:pPr>
        <w:pStyle w:val="SottotitoloCustom"/>
        <w:rPr>
          <w:lang w:val="it-IT"/>
        </w:rPr>
      </w:pPr>
      <w:r w:rsidRPr="000C31B4">
        <w:rPr>
          <w:lang w:val="it-IT"/>
        </w:rPr>
        <w:t>La politica estera: atlantismo, ONU, Europa e neoatlantismo</w:t>
      </w:r>
    </w:p>
    <w:p w14:paraId="54563C85" w14:textId="77777777" w:rsidR="00434929" w:rsidRPr="000C31B4" w:rsidRDefault="00000000">
      <w:pPr>
        <w:jc w:val="both"/>
        <w:rPr>
          <w:lang w:val="it-IT"/>
        </w:rPr>
      </w:pPr>
      <w:r w:rsidRPr="000C31B4">
        <w:rPr>
          <w:lang w:val="it-IT"/>
        </w:rPr>
        <w:t>Dopo la vittoria della DC nel 1948, l’Italia deve definire chiaramente la propria collocazione internazionale. PCI e gran parte dei socialisti sono contrari a una scelta filo-occidentale; anche in alcuni settori della DC esistono tendenze neutraliste. Tuttavia, tra la fine del 1948 e l’inizio del 1949, nel contesto del blocco sovietico di Berlino e dell’inasprimento della guerra fredda, ogni esitazione viene superata.</w:t>
      </w:r>
    </w:p>
    <w:p w14:paraId="0B5C9FEC" w14:textId="77777777" w:rsidR="00434929" w:rsidRPr="000C31B4" w:rsidRDefault="00000000">
      <w:pPr>
        <w:jc w:val="both"/>
        <w:rPr>
          <w:lang w:val="it-IT"/>
        </w:rPr>
      </w:pPr>
      <w:r w:rsidRPr="000C31B4">
        <w:rPr>
          <w:lang w:val="it-IT"/>
        </w:rPr>
        <w:t>L’Italia aderisce al Patto atlantico nell’aprile 1949. La prosecuzione degli aiuti americani attraverso il piano Marshall dipende anche da questa scelta. La sinistra si oppone duramente alla ratifica, sia in Parlamento sia nelle piazze. L’adesione alla NATO risponde anche a ragioni geopolitiche: l’Italia è collocata su frontiere strategiche tra Est e Ovest, l’Adriatico e il Mediterraneo. Nell’Alleanza atlantica le viene assegnato il ruolo di potenza regionale, ma con una libertà d’azione limitata.</w:t>
      </w:r>
    </w:p>
    <w:p w14:paraId="7B6FDFE5" w14:textId="77777777" w:rsidR="00434929" w:rsidRPr="000C31B4" w:rsidRDefault="00000000">
      <w:pPr>
        <w:jc w:val="both"/>
        <w:rPr>
          <w:lang w:val="it-IT"/>
        </w:rPr>
      </w:pPr>
      <w:r w:rsidRPr="000C31B4">
        <w:rPr>
          <w:lang w:val="it-IT"/>
        </w:rPr>
        <w:t>Sul piano internazionale, l’Italia cerca anche di recuperare parte del proprio ruolo coloniale. Nel 1950 ottiene soltanto l’amministrazione fiduciaria della Somalia per dieci anni, su mandato delle Nazioni Unite. Nel dicembre 1955 l’Italia viene ammessa all’ONU, dopo il ritiro del veto sovietico. Da quel momento la diplomazia italiana cerca di rendere più incisiva la presenza del paese nelle relazioni internazionali.</w:t>
      </w:r>
    </w:p>
    <w:p w14:paraId="0DED591E" w14:textId="77777777" w:rsidR="00434929" w:rsidRPr="000C31B4" w:rsidRDefault="00000000">
      <w:pPr>
        <w:jc w:val="both"/>
        <w:rPr>
          <w:lang w:val="it-IT"/>
        </w:rPr>
      </w:pPr>
      <w:r w:rsidRPr="000C31B4">
        <w:rPr>
          <w:lang w:val="it-IT"/>
        </w:rPr>
        <w:t xml:space="preserve">Un passaggio decisivo è la nascita della Comunità economica europea, con il trattato di Roma del marzo 1957. L’Italia sostiene attivamente il processo di integrazione europea, vedendolo </w:t>
      </w:r>
      <w:r w:rsidRPr="000C31B4">
        <w:rPr>
          <w:lang w:val="it-IT"/>
        </w:rPr>
        <w:lastRenderedPageBreak/>
        <w:t>come strumento di riabilitazione internazionale, consolidamento della democrazia repubblicana e integrazione economica in un mercato sempre più aperto.</w:t>
      </w:r>
    </w:p>
    <w:p w14:paraId="6580905D" w14:textId="77777777" w:rsidR="00434929" w:rsidRPr="000C31B4" w:rsidRDefault="00000000">
      <w:pPr>
        <w:jc w:val="both"/>
        <w:rPr>
          <w:lang w:val="it-IT"/>
        </w:rPr>
      </w:pPr>
      <w:r w:rsidRPr="000C31B4">
        <w:rPr>
          <w:lang w:val="it-IT"/>
        </w:rPr>
        <w:t>Dopo il 1956, i governi italiani cercano anche una politica estera più autonoma, definita neoatlantismo. Essa mira a intensificare i rapporti con i paesi del Terzo mondo, soprattutto arabi, a favorire la distensione tra i blocchi e a sostenere le iniziative dell’ENI nel Nord Africa e in Iran. Questo indirizzo, promosso soprattutto da Fanfani tra il 1958 e il 1968, suscita critiche a Washington e preoccupazioni a Parigi e Londra, ma non mette in discussione la fedeltà italiana al Patto atlantico.</w:t>
      </w:r>
    </w:p>
    <w:p w14:paraId="102F3008" w14:textId="77777777" w:rsidR="00434929" w:rsidRPr="000C31B4" w:rsidRDefault="00000000">
      <w:pPr>
        <w:pStyle w:val="SottotitoloCustom"/>
        <w:rPr>
          <w:lang w:val="it-IT"/>
        </w:rPr>
      </w:pPr>
      <w:r w:rsidRPr="000C31B4">
        <w:rPr>
          <w:lang w:val="it-IT"/>
        </w:rPr>
        <w:t>Il miracolo economico italiano</w:t>
      </w:r>
    </w:p>
    <w:p w14:paraId="7D525A20" w14:textId="77777777" w:rsidR="00434929" w:rsidRPr="000C31B4" w:rsidRDefault="00000000">
      <w:pPr>
        <w:jc w:val="both"/>
        <w:rPr>
          <w:lang w:val="it-IT"/>
        </w:rPr>
      </w:pPr>
      <w:r w:rsidRPr="000C31B4">
        <w:rPr>
          <w:lang w:val="it-IT"/>
        </w:rPr>
        <w:t>Negli anni Cinquanta l’Italia vive una crescita economica rapida e intensa, che trasforma il paese in una società industriale. Dopo la ricostruzione, conclusa nella prima parte del decennio, lo sviluppo è trainato soprattutto dalla grande industria. Tra il 1951 e il 1958 il prodotto interno lordo cresce a un tasso medio annuo del 5,3%; nel 1961 la crescita raggiunge l’8,3%; il reddito pro capite raddoppia tra il 1952 e il 1963. Un giornale inglese definisce questo processo “miracolo economico italiano”.</w:t>
      </w:r>
    </w:p>
    <w:p w14:paraId="5B5878CE" w14:textId="77777777" w:rsidR="00434929" w:rsidRPr="000C31B4" w:rsidRDefault="00000000">
      <w:pPr>
        <w:jc w:val="both"/>
        <w:rPr>
          <w:lang w:val="it-IT"/>
        </w:rPr>
      </w:pPr>
      <w:r w:rsidRPr="000C31B4">
        <w:rPr>
          <w:lang w:val="it-IT"/>
        </w:rPr>
        <w:t>Le cause del boom sono molteplici. Il contesto internazionale è favorevole; le tariffe doganali si riducono; il Mercato comune europeo apre nuove prospettive; l’Italia dispone di abbondante manodopera a salari inferiori rispetto ad altri paesi occidentali; le imprese adottano tecnologie già sperimentate nei paesi più avanzati; l’IRI sostiene la siderurgia; i prezzi delle materie prime restano relativamente stabili; il metano e le nuove centrali termoelettriche forniscono energia; i tassi d’interesse bassi favoriscono gli investimenti; la Banca d’Italia garantisce stabilità monetaria e contiene l’inflazione. Solo la Germania federale registra in Europa occidentale un ritmo di sviluppo superiore.</w:t>
      </w:r>
    </w:p>
    <w:p w14:paraId="6C1F685A" w14:textId="77777777" w:rsidR="00434929" w:rsidRPr="000C31B4" w:rsidRDefault="00000000">
      <w:pPr>
        <w:jc w:val="both"/>
        <w:rPr>
          <w:lang w:val="it-IT"/>
        </w:rPr>
      </w:pPr>
      <w:r w:rsidRPr="000C31B4">
        <w:rPr>
          <w:lang w:val="it-IT"/>
        </w:rPr>
        <w:t>I settori trainanti sono gli autoveicoli, la meccanica di precisione, gli elettrodomestici, le materie plastiche e le fibre tessili artificiali. Questi comparti alimentano il consumo di massa interno e aumentano le esportazioni.</w:t>
      </w:r>
    </w:p>
    <w:p w14:paraId="0BF325A8" w14:textId="77777777" w:rsidR="00434929" w:rsidRPr="000C31B4" w:rsidRDefault="00000000">
      <w:pPr>
        <w:pStyle w:val="SottotitoloCustom"/>
        <w:rPr>
          <w:lang w:val="it-IT"/>
        </w:rPr>
      </w:pPr>
      <w:r w:rsidRPr="000C31B4">
        <w:rPr>
          <w:lang w:val="it-IT"/>
        </w:rPr>
        <w:t>L’economia mista e i limiti dello sviluppo</w:t>
      </w:r>
    </w:p>
    <w:p w14:paraId="09F8534F" w14:textId="77777777" w:rsidR="00434929" w:rsidRPr="000C31B4" w:rsidRDefault="00000000">
      <w:pPr>
        <w:jc w:val="both"/>
        <w:rPr>
          <w:lang w:val="it-IT"/>
        </w:rPr>
      </w:pPr>
      <w:r w:rsidRPr="000C31B4">
        <w:rPr>
          <w:lang w:val="it-IT"/>
        </w:rPr>
        <w:t>Il successo economico italiano si basa sulla combinazione tra industria pubblica e industria privata. L’industria pubblica, con IRI ed ENI, opera nei settori che richiedono grandi investimenti e rendimenti di medio-lungo periodo, come siderurgia, cantieristica, impiantistica ed energia. L’industria privata, con gruppi come Edison, Montecatini e FIAT, è attiva soprattutto nei beni di consumo durevoli e nella produzione tessile.</w:t>
      </w:r>
    </w:p>
    <w:p w14:paraId="16A0B6CC" w14:textId="77777777" w:rsidR="00434929" w:rsidRPr="000C31B4" w:rsidRDefault="00000000">
      <w:pPr>
        <w:jc w:val="both"/>
        <w:rPr>
          <w:lang w:val="it-IT"/>
        </w:rPr>
      </w:pPr>
      <w:r w:rsidRPr="000C31B4">
        <w:rPr>
          <w:lang w:val="it-IT"/>
        </w:rPr>
        <w:t xml:space="preserve">Questa “economia mista” unisce liberismo e intervento statale. Tuttavia il testo sottolinea anche i suoi limiti: non esiste un vero mercato concorrenziale a causa di oligopoli e rendite di </w:t>
      </w:r>
      <w:r w:rsidRPr="000C31B4">
        <w:rPr>
          <w:lang w:val="it-IT"/>
        </w:rPr>
        <w:lastRenderedPageBreak/>
        <w:t>posizione; inoltre manca una politica economica generale capace di stabilire priorità nazionali nell’uso degli investimenti e delle risorse.</w:t>
      </w:r>
    </w:p>
    <w:p w14:paraId="2E917352" w14:textId="77777777" w:rsidR="00434929" w:rsidRPr="000C31B4" w:rsidRDefault="00000000">
      <w:pPr>
        <w:pStyle w:val="SottotitoloCustom"/>
        <w:rPr>
          <w:lang w:val="it-IT"/>
        </w:rPr>
      </w:pPr>
      <w:r w:rsidRPr="000C31B4">
        <w:rPr>
          <w:lang w:val="it-IT"/>
        </w:rPr>
        <w:t>Nord industriale, Sud stagnante e migrazioni interne</w:t>
      </w:r>
    </w:p>
    <w:p w14:paraId="1D01E802" w14:textId="77777777" w:rsidR="00434929" w:rsidRPr="000C31B4" w:rsidRDefault="00000000">
      <w:pPr>
        <w:jc w:val="both"/>
        <w:rPr>
          <w:lang w:val="it-IT"/>
        </w:rPr>
      </w:pPr>
      <w:r w:rsidRPr="000C31B4">
        <w:rPr>
          <w:lang w:val="it-IT"/>
        </w:rPr>
        <w:t>Il boom riguarda soprattutto l’Italia settentrionale e alcune aree dell’Emilia, della Toscana e dell’Umbria. Al Nord si registra quasi piena occupazione, anche tra la manodopera generica. Nel Sud gli interventi della Cassa per il Mezzogiorno migliorano servizi e infrastrutture, ma non riescono ad avviare uno sviluppo autonomo a causa della scarsità di iniziative imprenditoriali locali.</w:t>
      </w:r>
    </w:p>
    <w:p w14:paraId="6D2E58AF" w14:textId="77777777" w:rsidR="00434929" w:rsidRPr="000C31B4" w:rsidRDefault="00000000">
      <w:pPr>
        <w:jc w:val="both"/>
        <w:rPr>
          <w:lang w:val="it-IT"/>
        </w:rPr>
      </w:pPr>
      <w:r w:rsidRPr="000C31B4">
        <w:rPr>
          <w:lang w:val="it-IT"/>
        </w:rPr>
        <w:t>Questa disparità provoca una forte migrazione interna dal Sud verso il Nord. Tra il 1951 e il 1961 la popolazione di Milano aumenta del 25%, quella di Torino del 42%. Le regioni meridionali perdono circa due milioni di abitanti, quasi tutti in età lavorativa. L’integrazione degli immigrati nelle città del Nord è difficile: il fenomeno supera le previsioni del piano Vanoni per abitazioni e servizi collettivi. Nei grandi centri urbani settentrionali si crea un forte contrasto tra la diffusione dei beni di consumo e la mancanza di case, scuole, ospedali e trasporti adeguati.</w:t>
      </w:r>
    </w:p>
    <w:p w14:paraId="260D281D" w14:textId="77777777" w:rsidR="00434929" w:rsidRPr="000C31B4" w:rsidRDefault="00000000">
      <w:pPr>
        <w:pStyle w:val="SottotitoloCustom"/>
        <w:rPr>
          <w:lang w:val="it-IT"/>
        </w:rPr>
      </w:pPr>
      <w:r w:rsidRPr="000C31B4">
        <w:rPr>
          <w:lang w:val="it-IT"/>
        </w:rPr>
        <w:t>La trasformazione della società e dei consumi</w:t>
      </w:r>
    </w:p>
    <w:p w14:paraId="61C8A1CC" w14:textId="77777777" w:rsidR="00434929" w:rsidRPr="000C31B4" w:rsidRDefault="00000000">
      <w:pPr>
        <w:jc w:val="both"/>
        <w:rPr>
          <w:lang w:val="it-IT"/>
        </w:rPr>
      </w:pPr>
      <w:r w:rsidRPr="000C31B4">
        <w:rPr>
          <w:lang w:val="it-IT"/>
        </w:rPr>
        <w:t>Il miracolo economico modifica profondamente la società italiana. Nel 1951 gli addetti all’agricoltura sono circa il 42% della popolazione attiva; dieci anni dopo scendono al 29%. Crescono impiegati, tecnici e quadri dirigenti, nel settore pubblico e privato. Aumenta anche la scolarizzazione e il tasso di analfabetismo scende da quasi il 13% dell’immediato dopoguerra a poco più dell’8% della popolazione adulta.</w:t>
      </w:r>
    </w:p>
    <w:p w14:paraId="68F3F0F7" w14:textId="77777777" w:rsidR="00434929" w:rsidRPr="000C31B4" w:rsidRDefault="00000000">
      <w:pPr>
        <w:jc w:val="both"/>
        <w:rPr>
          <w:lang w:val="it-IT"/>
        </w:rPr>
      </w:pPr>
      <w:r w:rsidRPr="000C31B4">
        <w:rPr>
          <w:lang w:val="it-IT"/>
        </w:rPr>
        <w:t>Il cambiamento riguarda anche la vita quotidiana. Il capitolo ricorda il valore simbolico della FIAT 600, lanciata nel marzo 1955, e della FIAT 500, prodotta due anni dopo: esse diventano icone della motorizzazione di massa. Prima ancora erano stati importanti Vespa e Lambretta, ma con le utilitarie acquistabili anche a rate l’automobile entra nella vita di fasce sempre più ampie della popolazione.</w:t>
      </w:r>
    </w:p>
    <w:p w14:paraId="7170161C" w14:textId="77777777" w:rsidR="00434929" w:rsidRPr="000C31B4" w:rsidRDefault="00000000">
      <w:pPr>
        <w:jc w:val="both"/>
        <w:rPr>
          <w:lang w:val="it-IT"/>
        </w:rPr>
      </w:pPr>
      <w:r w:rsidRPr="000C31B4">
        <w:rPr>
          <w:lang w:val="it-IT"/>
        </w:rPr>
        <w:t>Anche gli elettrodomestici trasformano le abitudini familiari. Frigoriferi, lavatrici e lavastoviglie riducono il peso del lavoro domestico, soprattutto per molte donne, che non sono più costrette a fare la spesa ogni giorno o a dedicare tante ore al bucato e al lavaggio dei piatti. La televisione, arrivata in Italia nel 1954, diventa un’altra icona del boom; nel 1957 nasce Carosello, contenitore di spot pubblicitari che diventa in breve uno dei programmi più seguiti. La pubblicità accompagna così la rivoluzione dei consumi e contribuisce alla diffusione di nuovi modelli di vita.</w:t>
      </w:r>
    </w:p>
    <w:p w14:paraId="740D1CF7" w14:textId="77777777" w:rsidR="00434929" w:rsidRPr="000C31B4" w:rsidRDefault="00000000">
      <w:pPr>
        <w:pStyle w:val="SottotitoloCustom"/>
        <w:rPr>
          <w:lang w:val="it-IT"/>
        </w:rPr>
      </w:pPr>
      <w:r w:rsidRPr="000C31B4">
        <w:rPr>
          <w:lang w:val="it-IT"/>
        </w:rPr>
        <w:t>I problemi del miracolo economico</w:t>
      </w:r>
    </w:p>
    <w:p w14:paraId="361D260B" w14:textId="77777777" w:rsidR="00434929" w:rsidRPr="000C31B4" w:rsidRDefault="00000000">
      <w:pPr>
        <w:jc w:val="both"/>
        <w:rPr>
          <w:lang w:val="it-IT"/>
        </w:rPr>
      </w:pPr>
      <w:r w:rsidRPr="000C31B4">
        <w:rPr>
          <w:lang w:val="it-IT"/>
        </w:rPr>
        <w:lastRenderedPageBreak/>
        <w:t>Lo sviluppo è impetuoso, ma anche squilibrato. Produce urbanizzazione disordinata, forti differenze sociali e squilibri territoriali. Le città industriali del Nord si espandono rapidamente, ma spesso senza servizi adeguati. I sindacati chiedono miglioramenti salariali e migliori condizioni di lavoro, mentre cresce la richiesta di una distribuzione più equa del reddito.</w:t>
      </w:r>
    </w:p>
    <w:p w14:paraId="174946A5" w14:textId="77777777" w:rsidR="00434929" w:rsidRPr="000C31B4" w:rsidRDefault="00000000">
      <w:pPr>
        <w:jc w:val="both"/>
        <w:rPr>
          <w:lang w:val="it-IT"/>
        </w:rPr>
      </w:pPr>
      <w:r w:rsidRPr="000C31B4">
        <w:rPr>
          <w:lang w:val="it-IT"/>
        </w:rPr>
        <w:t>Alla fine degli anni Cinquanta emerge quindi una questione politica decisiva: se aprire il governo alle forze di sinistra, in particolare ai socialisti, per gestire una società ormai profondamente cambiata. Questa questione domina la terza legislatura, tra il 1958 e il 1963, ma il cammino verso una nuova maggioranza è lungo e difficile.</w:t>
      </w:r>
    </w:p>
    <w:p w14:paraId="7127E8D4" w14:textId="77777777" w:rsidR="00434929" w:rsidRPr="000C31B4" w:rsidRDefault="00000000">
      <w:pPr>
        <w:pStyle w:val="SottotitoloCustom"/>
        <w:rPr>
          <w:lang w:val="it-IT"/>
        </w:rPr>
      </w:pPr>
      <w:r w:rsidRPr="000C31B4">
        <w:rPr>
          <w:lang w:val="it-IT"/>
        </w:rPr>
        <w:t>L’apertura a sinistra, il centro-sinistra e il Sessantotto</w:t>
      </w:r>
    </w:p>
    <w:p w14:paraId="231BF265" w14:textId="77777777" w:rsidR="00434929" w:rsidRPr="000C31B4" w:rsidRDefault="00000000">
      <w:pPr>
        <w:jc w:val="both"/>
        <w:rPr>
          <w:lang w:val="it-IT"/>
        </w:rPr>
      </w:pPr>
      <w:r w:rsidRPr="000C31B4">
        <w:rPr>
          <w:lang w:val="it-IT"/>
        </w:rPr>
        <w:t>La pagina di sintesi del capitolo indica che l’astensione del Partito socialista rispetto al governo Fanfani nel 1960 segna l’avvio dell’apertura a sinistra. Questa fase porta ad alcune riforme importanti, tra cui la nazionalizzazione dell’energia elettrica e la scuola media unificata nel 1962.</w:t>
      </w:r>
    </w:p>
    <w:p w14:paraId="022EDD65" w14:textId="77777777" w:rsidR="00434929" w:rsidRPr="000C31B4" w:rsidRDefault="00000000">
      <w:pPr>
        <w:jc w:val="both"/>
        <w:rPr>
          <w:lang w:val="it-IT"/>
        </w:rPr>
      </w:pPr>
      <w:r w:rsidRPr="000C31B4">
        <w:rPr>
          <w:lang w:val="it-IT"/>
        </w:rPr>
        <w:t>Nel 1963 nasce il primo governo di centro-sinistra “organico”, cioè con la partecipazione diretta del PSI, presieduto da Aldo Moro. Tuttavia il progetto riformista incontra presto difficoltà. Fallisce la programmazione economica auspicata dai socialisti e, più in generale, si esaurisce la stagione riformatrice. Nel frattempo il PCI elabora l’idea di una “via italiana al socialismo”, mentre la situazione economica diventa più difficile.</w:t>
      </w:r>
    </w:p>
    <w:p w14:paraId="5AF010DB" w14:textId="77777777" w:rsidR="00434929" w:rsidRPr="000C31B4" w:rsidRDefault="00000000">
      <w:pPr>
        <w:jc w:val="both"/>
        <w:rPr>
          <w:lang w:val="it-IT"/>
        </w:rPr>
      </w:pPr>
      <w:r w:rsidRPr="000C31B4">
        <w:rPr>
          <w:lang w:val="it-IT"/>
        </w:rPr>
        <w:t>Il capitolo si chiude richiamando il 1968, quando in Italia, come in buona parte del mondo occidentale, esplodono le agitazioni studentesche. Al centro vi sono la richiesta di rinnovamento della scuola e la protesta contro la cultura borghese. La mobilitazione degli studenti si estende poi al mondo operaio, dove nel 1969 si apre una fase di forte conflittualità sindacale, ricordata come “autunno caldo”.</w:t>
      </w:r>
    </w:p>
    <w:sectPr w:rsidR="00434929" w:rsidRPr="000C31B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412266645">
    <w:abstractNumId w:val="8"/>
  </w:num>
  <w:num w:numId="2" w16cid:durableId="801196091">
    <w:abstractNumId w:val="6"/>
  </w:num>
  <w:num w:numId="3" w16cid:durableId="742147502">
    <w:abstractNumId w:val="5"/>
  </w:num>
  <w:num w:numId="4" w16cid:durableId="888685625">
    <w:abstractNumId w:val="4"/>
  </w:num>
  <w:num w:numId="5" w16cid:durableId="336150433">
    <w:abstractNumId w:val="7"/>
  </w:num>
  <w:num w:numId="6" w16cid:durableId="995307955">
    <w:abstractNumId w:val="3"/>
  </w:num>
  <w:num w:numId="7" w16cid:durableId="2116092664">
    <w:abstractNumId w:val="2"/>
  </w:num>
  <w:num w:numId="8" w16cid:durableId="925263616">
    <w:abstractNumId w:val="1"/>
  </w:num>
  <w:num w:numId="9" w16cid:durableId="64173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1B4"/>
    <w:rsid w:val="0015074B"/>
    <w:rsid w:val="0029639D"/>
    <w:rsid w:val="00326F90"/>
    <w:rsid w:val="00434929"/>
    <w:rsid w:val="00AA1D8D"/>
    <w:rsid w:val="00B47730"/>
    <w:rsid w:val="00CB0664"/>
    <w:rsid w:val="00D46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9CC19"/>
  <w14:defaultImageDpi w14:val="300"/>
  <w15:docId w15:val="{EE84A9AB-6215-48D4-8C89-A57F78A1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oloPrincipaleCustom">
    <w:name w:val="TitoloPrincipaleCustom"/>
    <w:basedOn w:val="Normale"/>
    <w:pPr>
      <w:spacing w:after="240"/>
      <w:jc w:val="center"/>
    </w:pPr>
    <w:rPr>
      <w:b/>
      <w:sz w:val="30"/>
    </w:rPr>
  </w:style>
  <w:style w:type="paragraph" w:customStyle="1" w:styleId="SottotitoloCustom">
    <w:name w:val="SottotitoloCustom"/>
    <w:basedOn w:val="Normale"/>
    <w:pPr>
      <w:spacing w:before="24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4523</Words>
  <Characters>25787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L’Italia dalla ricostruzione al Sessantotto</dc:title>
  <dc:subject>Riassunto Capitolo 17</dc:subject>
  <dc:creator>ChatGPT</dc:creator>
  <cp:keywords/>
  <dc:description/>
  <cp:lastModifiedBy>Roberto Guerini</cp:lastModifiedBy>
  <cp:revision>2</cp:revision>
  <dcterms:created xsi:type="dcterms:W3CDTF">2013-12-23T23:15:00Z</dcterms:created>
  <dcterms:modified xsi:type="dcterms:W3CDTF">2026-05-29T19:39:00Z</dcterms:modified>
  <cp:category/>
</cp:coreProperties>
</file>