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AC6439" w14:textId="77777777" w:rsidR="00892A62" w:rsidRPr="006B1800" w:rsidRDefault="00000000">
      <w:pPr>
        <w:spacing w:after="240"/>
        <w:jc w:val="center"/>
        <w:rPr>
          <w:lang w:val="it-IT"/>
        </w:rPr>
      </w:pPr>
      <w:r w:rsidRPr="006B1800">
        <w:rPr>
          <w:b/>
          <w:sz w:val="30"/>
          <w:lang w:val="it-IT"/>
        </w:rPr>
        <w:t>Le svolte degli anni Settanta: distensione, crisi energetica e trasformazioni geopolitiche</w:t>
      </w:r>
    </w:p>
    <w:p w14:paraId="4C8D9135" w14:textId="77777777" w:rsidR="00892A62" w:rsidRPr="006B1800" w:rsidRDefault="00000000">
      <w:pPr>
        <w:spacing w:before="160" w:after="80"/>
        <w:rPr>
          <w:lang w:val="it-IT"/>
        </w:rPr>
      </w:pPr>
      <w:r w:rsidRPr="006B1800">
        <w:rPr>
          <w:b/>
          <w:sz w:val="28"/>
          <w:lang w:val="it-IT"/>
        </w:rPr>
        <w:t>La crisi petrolifera del 1973 come evento simbolico del decennio</w:t>
      </w:r>
    </w:p>
    <w:p w14:paraId="6E08886D" w14:textId="77777777" w:rsidR="00892A62" w:rsidRPr="006B1800" w:rsidRDefault="00000000">
      <w:pPr>
        <w:spacing w:after="120"/>
        <w:jc w:val="both"/>
        <w:rPr>
          <w:lang w:val="it-IT"/>
        </w:rPr>
      </w:pPr>
      <w:r w:rsidRPr="006B1800">
        <w:rPr>
          <w:lang w:val="it-IT"/>
        </w:rPr>
        <w:t>Il capitolo presenta gli anni Settanta come un periodo di profonde svolte politiche, economiche e internazionali. L’evento chiave indicato in apertura è la crisi petrolifera del 1973. Nell’ottobre di quell’anno, durante la guerra del Kippur, i paesi arabi produttori di petrolio reagirono al sostegno statunitense e occidentale a Israele contro Siria ed Egitto aumentando improvvisamente il prezzo del greggio. Questa decisione provocò nei paesi occidentali una crisi energetica senza precedenti, con effetti non solo sui vari settori economici, ma anche sulla vita quotidiana dei cittadini.</w:t>
      </w:r>
    </w:p>
    <w:p w14:paraId="5866A632" w14:textId="77777777" w:rsidR="00892A62" w:rsidRPr="006B1800" w:rsidRDefault="00000000">
      <w:pPr>
        <w:spacing w:after="120"/>
        <w:jc w:val="both"/>
        <w:rPr>
          <w:lang w:val="it-IT"/>
        </w:rPr>
      </w:pPr>
      <w:r w:rsidRPr="006B1800">
        <w:rPr>
          <w:lang w:val="it-IT"/>
        </w:rPr>
        <w:t>La fotografia iniziale, ambientata a Houston, mostra una lunga coda di automobili in attesa di rifornimento davanti a un distributore, mentre un cartello annuncia la chiusura delle pompe di benzina per quel giorno. L’immagine serve a far capire concretamente quanto la crisi energetica incise sulle abitudini delle persone. Il testo sottolinea inoltre che proprio la crisi del 1973 favorì, forse per la prima volta, una riflessione sul risparmio energetico e sulla possibilità di ricorrere a fonti di energia alternative al petrolio.</w:t>
      </w:r>
    </w:p>
    <w:p w14:paraId="7502BBE1" w14:textId="77777777" w:rsidR="00892A62" w:rsidRPr="006B1800" w:rsidRDefault="00000000">
      <w:pPr>
        <w:spacing w:before="160" w:after="80"/>
        <w:rPr>
          <w:lang w:val="it-IT"/>
        </w:rPr>
      </w:pPr>
      <w:r w:rsidRPr="006B1800">
        <w:rPr>
          <w:b/>
          <w:sz w:val="28"/>
          <w:lang w:val="it-IT"/>
        </w:rPr>
        <w:t>La “grande distensione” tra Stati Uniti e Unione Sovietica</w:t>
      </w:r>
    </w:p>
    <w:p w14:paraId="04EEA047" w14:textId="77777777" w:rsidR="00892A62" w:rsidRPr="006B1800" w:rsidRDefault="00000000">
      <w:pPr>
        <w:spacing w:after="120"/>
        <w:jc w:val="both"/>
        <w:rPr>
          <w:lang w:val="it-IT"/>
        </w:rPr>
      </w:pPr>
      <w:r w:rsidRPr="006B1800">
        <w:rPr>
          <w:lang w:val="it-IT"/>
        </w:rPr>
        <w:t>La prima grande trasformazione descritta nel capitolo riguarda la fase della cosiddetta “grande distensione” tra Stati Uniti e Unione Sovietica. In seguito ai mutamenti dello scenario internazionale, le due superpotenze avviarono una serie di trattative per ridurre progressivamente gli armamenti nucleari. Questi negoziati portarono agli accordi SALT del 1972 e del 1979, che rappresentarono un tentativo di limitare la corsa agli armamenti e di rendere più stabile l’equilibrio tra i due blocchi.</w:t>
      </w:r>
    </w:p>
    <w:p w14:paraId="518768E2" w14:textId="77777777" w:rsidR="00892A62" w:rsidRPr="006B1800" w:rsidRDefault="00000000">
      <w:pPr>
        <w:spacing w:after="120"/>
        <w:jc w:val="both"/>
        <w:rPr>
          <w:lang w:val="it-IT"/>
        </w:rPr>
      </w:pPr>
      <w:r w:rsidRPr="006B1800">
        <w:rPr>
          <w:lang w:val="it-IT"/>
        </w:rPr>
        <w:t>Parallelamente, il presidente statunitense Richard Nixon inaugurò relazioni diplomatiche e commerciali con la Cina, che venne ammessa all’ONU. Si trattò di un passaggio importante, perché modificava gli equilibri della guerra fredda e inseriva la Cina in una nuova rete di rapporti internazionali. Tuttavia, poco dopo, Nixon fu travolto dallo scandalo Watergate, che lo costrinse alle dimissioni.</w:t>
      </w:r>
    </w:p>
    <w:p w14:paraId="52CF7C91" w14:textId="77777777" w:rsidR="00892A62" w:rsidRPr="006B1800" w:rsidRDefault="00000000">
      <w:pPr>
        <w:spacing w:after="120"/>
        <w:jc w:val="both"/>
        <w:rPr>
          <w:lang w:val="it-IT"/>
        </w:rPr>
      </w:pPr>
      <w:r w:rsidRPr="006B1800">
        <w:rPr>
          <w:lang w:val="it-IT"/>
        </w:rPr>
        <w:t xml:space="preserve">Anche in Germania Ovest si verificarono cambiamenti politici rilevanti. Nel 1959 il Partito socialdemocratico tedesco aveva intrapreso una revisione profonda della propria linea politica, allontanandosi dal marxismo. Questa trasformazione rese </w:t>
      </w:r>
      <w:proofErr w:type="spellStart"/>
      <w:r w:rsidRPr="006B1800">
        <w:rPr>
          <w:lang w:val="it-IT"/>
        </w:rPr>
        <w:t>possibile</w:t>
      </w:r>
      <w:proofErr w:type="spellEnd"/>
      <w:r w:rsidRPr="006B1800">
        <w:rPr>
          <w:lang w:val="it-IT"/>
        </w:rPr>
        <w:t xml:space="preserve">, tra il 1966 e il 1969, una collaborazione con il Partito cristiano-democratico all’interno di una “grande coalizione” di governo. Dopo la vittoria elettorale del 1969, Willy Brandt divenne cancelliere e guidò un governo a maggioranza socialdemocratica. Brandt avviò una politica di riavvicinamento ai paesi </w:t>
      </w:r>
      <w:r w:rsidRPr="006B1800">
        <w:rPr>
          <w:lang w:val="it-IT"/>
        </w:rPr>
        <w:lastRenderedPageBreak/>
        <w:t>dell’Europa orientale, chiamata Ostpolitik, che favorì la distensione diplomatica con Mosca e la normalizzazione dei rapporti con la Germania Est.</w:t>
      </w:r>
    </w:p>
    <w:p w14:paraId="7CEAB80A" w14:textId="77777777" w:rsidR="00892A62" w:rsidRPr="006B1800" w:rsidRDefault="00000000">
      <w:pPr>
        <w:spacing w:after="120"/>
        <w:jc w:val="both"/>
        <w:rPr>
          <w:lang w:val="it-IT"/>
        </w:rPr>
      </w:pPr>
      <w:r w:rsidRPr="006B1800">
        <w:rPr>
          <w:lang w:val="it-IT"/>
        </w:rPr>
        <w:t>La distensione, però, ebbe limiti evidenti. L’Unione Sovietica, infatti, continuò a cercare nuove aree di influenza, soprattutto in Africa, sostenendo l’indipendenza di alcuni Stati africani. Tra gli anni Sessanta e Settanta il continente africano affrontò una difficile emancipazione dal dominio coloniale: alla decolonizzazione non seguì automaticamente la fine dello sfruttamento economico da parte delle vecchie potenze. Al contrario, si diffusero conflitti civili, governi dittatoriali, crescita demografica e carestie, aggravate dalla crisi economica mondiale degli anni Settanta.</w:t>
      </w:r>
    </w:p>
    <w:p w14:paraId="563EA054" w14:textId="77777777" w:rsidR="00892A62" w:rsidRPr="006B1800" w:rsidRDefault="00000000">
      <w:pPr>
        <w:spacing w:before="160" w:after="80"/>
        <w:rPr>
          <w:lang w:val="it-IT"/>
        </w:rPr>
      </w:pPr>
      <w:r w:rsidRPr="006B1800">
        <w:rPr>
          <w:b/>
          <w:sz w:val="28"/>
          <w:lang w:val="it-IT"/>
        </w:rPr>
        <w:t>Il Medio Oriente come terreno di scontro indiretto della guerra fredda</w:t>
      </w:r>
    </w:p>
    <w:p w14:paraId="3B998FD5" w14:textId="77777777" w:rsidR="00892A62" w:rsidRPr="006B1800" w:rsidRDefault="00000000">
      <w:pPr>
        <w:spacing w:after="120"/>
        <w:jc w:val="both"/>
        <w:rPr>
          <w:lang w:val="it-IT"/>
        </w:rPr>
      </w:pPr>
      <w:r w:rsidRPr="006B1800">
        <w:rPr>
          <w:lang w:val="it-IT"/>
        </w:rPr>
        <w:t>Una parte centrale del capitolo è dedicata al Medio Oriente, dove Stati Uniti e Unione Sovietica trovarono un terreno di scontro indiretto. Da una parte c’era Israele, fondato nel maggio 1948 e sostenuto dagli Stati Uniti; dall’altra vi erano i paesi arabi, in particolare l’Egitto di Nasser, sostenuto dai sovietici.</w:t>
      </w:r>
    </w:p>
    <w:p w14:paraId="0D2FA5A4" w14:textId="77777777" w:rsidR="00892A62" w:rsidRPr="006B1800" w:rsidRDefault="00000000">
      <w:pPr>
        <w:spacing w:after="120"/>
        <w:jc w:val="both"/>
        <w:rPr>
          <w:lang w:val="it-IT"/>
        </w:rPr>
      </w:pPr>
      <w:r w:rsidRPr="006B1800">
        <w:rPr>
          <w:lang w:val="it-IT"/>
        </w:rPr>
        <w:t xml:space="preserve">Dopo la sconfitta araba nella guerra arabo-israeliana del 1948 e dopo la crisi di Suez del 1956, Egitto, Siria e Giordania continuarono a coltivare propositi di rivincita contro Israele. Nel 1964 venne fondata l’Organizzazione per la liberazione della Palestina, cioè l’OLP. La causa palestinese trovò sostegno soprattutto in Siria, dove era al potere il </w:t>
      </w:r>
      <w:proofErr w:type="spellStart"/>
      <w:r w:rsidRPr="006B1800">
        <w:rPr>
          <w:lang w:val="it-IT"/>
        </w:rPr>
        <w:t>Ba‘th</w:t>
      </w:r>
      <w:proofErr w:type="spellEnd"/>
      <w:r w:rsidRPr="006B1800">
        <w:rPr>
          <w:lang w:val="it-IT"/>
        </w:rPr>
        <w:t>, un partito arabo transnazionale di matrice socialista, presente anche in altri paesi, soprattutto in Iraq.</w:t>
      </w:r>
    </w:p>
    <w:p w14:paraId="77F22E16" w14:textId="77777777" w:rsidR="00892A62" w:rsidRPr="006B1800" w:rsidRDefault="00000000">
      <w:pPr>
        <w:spacing w:after="120"/>
        <w:jc w:val="both"/>
        <w:rPr>
          <w:lang w:val="it-IT"/>
        </w:rPr>
      </w:pPr>
      <w:r w:rsidRPr="006B1800">
        <w:rPr>
          <w:lang w:val="it-IT"/>
        </w:rPr>
        <w:t>Il capitolo dedica attenzione anche alla questione dello Stato palestinese. Dopo il 1949, i confini tra Israele e gli Stati arabi erano rimasti fermi alla linea del cessate il fuoco. I territori che avrebbero dovuto formare lo Stato palestinese, cioè la Striscia di Gaza e la Cisgiordania, vennero inglobati rispettivamente dall’Egitto e dalla Giordania. I palestinesi, privi di propri rappresentanti e senza reali diritti, vivevano nei campi profughi dei paesi arabi. Solo dagli anni Sessanta cominciò ad affermarsi una coscienza nazionale palestinese autonoma, guidata da una nuova generazione di leader. La Lega araba favorì così nel 1964 la nascita dell’OLP, il cui leader iniziale, Ahmad al-</w:t>
      </w:r>
      <w:proofErr w:type="spellStart"/>
      <w:r w:rsidRPr="006B1800">
        <w:rPr>
          <w:lang w:val="it-IT"/>
        </w:rPr>
        <w:t>Shukayri</w:t>
      </w:r>
      <w:proofErr w:type="spellEnd"/>
      <w:r w:rsidRPr="006B1800">
        <w:rPr>
          <w:lang w:val="it-IT"/>
        </w:rPr>
        <w:t>, era però di fatto controllato dall’Egitto di Nasser.</w:t>
      </w:r>
    </w:p>
    <w:p w14:paraId="20DEF3F6" w14:textId="77777777" w:rsidR="00892A62" w:rsidRPr="006B1800" w:rsidRDefault="00000000">
      <w:pPr>
        <w:spacing w:before="160" w:after="80"/>
        <w:rPr>
          <w:lang w:val="it-IT"/>
        </w:rPr>
      </w:pPr>
      <w:r w:rsidRPr="006B1800">
        <w:rPr>
          <w:b/>
          <w:sz w:val="28"/>
          <w:lang w:val="it-IT"/>
        </w:rPr>
        <w:t>La guerra dei Sei giorni del 1967</w:t>
      </w:r>
    </w:p>
    <w:p w14:paraId="2441E27C" w14:textId="77777777" w:rsidR="00892A62" w:rsidRPr="006B1800" w:rsidRDefault="00000000">
      <w:pPr>
        <w:spacing w:after="120"/>
        <w:jc w:val="both"/>
        <w:rPr>
          <w:lang w:val="it-IT"/>
        </w:rPr>
      </w:pPr>
      <w:r w:rsidRPr="006B1800">
        <w:rPr>
          <w:lang w:val="it-IT"/>
        </w:rPr>
        <w:t>La svolta decisiva arrivò con la guerra dei Sei giorni. Temendo un attacco congiunto dei paesi confinanti, il 5 giugno 1967 Israele sferrò una serie di raid aerei che distrussero l’intera aviazione egiziana. In soli sei giorni, l’esercito israeliano avanzò nel Sinai egiziano fino alle sponde del canale di Suez, occupò la Cisgiordania, appartenente al Regno giordano, e conquistò le alture siriane del Golan.</w:t>
      </w:r>
    </w:p>
    <w:p w14:paraId="0E9A78C8" w14:textId="77777777" w:rsidR="00892A62" w:rsidRPr="006B1800" w:rsidRDefault="00000000">
      <w:pPr>
        <w:spacing w:after="120"/>
        <w:jc w:val="both"/>
        <w:rPr>
          <w:lang w:val="it-IT"/>
        </w:rPr>
      </w:pPr>
      <w:r w:rsidRPr="006B1800">
        <w:rPr>
          <w:lang w:val="it-IT"/>
        </w:rPr>
        <w:t xml:space="preserve">Alla fine della guerra, Israele aveva occupato la Striscia di Gaza, la Cisgiordania e Gerusalemme Est. Circa 400.000 palestinesi si rifugiarono in massa in Giordania e negli altri paesi confinanti. La </w:t>
      </w:r>
      <w:r w:rsidRPr="006B1800">
        <w:rPr>
          <w:lang w:val="it-IT"/>
        </w:rPr>
        <w:lastRenderedPageBreak/>
        <w:t>guerra ebbe dunque conseguenze enormi: non solo modificò gli equilibri territoriali, ma rese ancora più centrale la questione palestinese. Dopo il 1967, infatti, la Cisgiordania e la Striscia di Gaza passarono sotto controllo israeliano; da quel momento la questione palestinese assunse nuove caratteristiche, perché si trattava di combattere per la liberazione dei “Territori occupati”, dove intanto venivano fondate nuove colonie israeliane, e di ottenere il riconoscimento di quei territori come sede di uno Stato palestinese indipendente.</w:t>
      </w:r>
    </w:p>
    <w:p w14:paraId="571839F1" w14:textId="77777777" w:rsidR="00892A62" w:rsidRPr="006B1800" w:rsidRDefault="00000000">
      <w:pPr>
        <w:spacing w:after="120"/>
        <w:jc w:val="both"/>
        <w:rPr>
          <w:lang w:val="it-IT"/>
        </w:rPr>
      </w:pPr>
      <w:r w:rsidRPr="006B1800">
        <w:rPr>
          <w:lang w:val="it-IT"/>
        </w:rPr>
        <w:t>La carta presente nel capitolo mostra l’avanzata israeliana nella guerra dei Sei giorni, evidenziando la conquista dell’intera penisola del Sinai, della Cisgiordania, della Striscia di Gaza e delle alture del Golan. La rappresentazione geografica chiarisce che il successo israeliano fu rapido e molto ampio sul piano territoriale.</w:t>
      </w:r>
    </w:p>
    <w:p w14:paraId="5773AF9C" w14:textId="77777777" w:rsidR="00892A62" w:rsidRPr="006B1800" w:rsidRDefault="00000000">
      <w:pPr>
        <w:spacing w:before="160" w:after="80"/>
        <w:rPr>
          <w:lang w:val="it-IT"/>
        </w:rPr>
      </w:pPr>
      <w:r w:rsidRPr="006B1800">
        <w:rPr>
          <w:b/>
          <w:sz w:val="28"/>
          <w:lang w:val="it-IT"/>
        </w:rPr>
        <w:t>Le conseguenze della guerra dei Sei giorni sulla Libia</w:t>
      </w:r>
    </w:p>
    <w:p w14:paraId="0C24E471" w14:textId="77777777" w:rsidR="00892A62" w:rsidRPr="006B1800" w:rsidRDefault="00000000">
      <w:pPr>
        <w:spacing w:after="120"/>
        <w:jc w:val="both"/>
        <w:rPr>
          <w:lang w:val="it-IT"/>
        </w:rPr>
      </w:pPr>
      <w:r w:rsidRPr="006B1800">
        <w:rPr>
          <w:lang w:val="it-IT"/>
        </w:rPr>
        <w:t xml:space="preserve">La sconfitta araba del 1967 ebbe effetti anche fuori dall’area immediatamente coinvolta nel conflitto. Il capitolo sottolinea che l’umiliazione subita dagli Stati arabi alimentò una forte ondata di nazionalismo arabo, che arrivò fino in Libia. Qui la monarchia di re Idris era già screditata e sottoposta alla pressione di quanti criticavano la politica </w:t>
      </w:r>
      <w:proofErr w:type="gramStart"/>
      <w:r w:rsidRPr="006B1800">
        <w:rPr>
          <w:lang w:val="it-IT"/>
        </w:rPr>
        <w:t>filo-occidentale</w:t>
      </w:r>
      <w:proofErr w:type="gramEnd"/>
      <w:r w:rsidRPr="006B1800">
        <w:rPr>
          <w:lang w:val="it-IT"/>
        </w:rPr>
        <w:t xml:space="preserve"> del sovrano e chiedevano un orientamento </w:t>
      </w:r>
      <w:proofErr w:type="spellStart"/>
      <w:r w:rsidRPr="006B1800">
        <w:rPr>
          <w:lang w:val="it-IT"/>
        </w:rPr>
        <w:t>panarabista</w:t>
      </w:r>
      <w:proofErr w:type="spellEnd"/>
      <w:r w:rsidRPr="006B1800">
        <w:rPr>
          <w:lang w:val="it-IT"/>
        </w:rPr>
        <w:t xml:space="preserve"> ispirato a Nasser.</w:t>
      </w:r>
    </w:p>
    <w:p w14:paraId="7E5C84AF" w14:textId="77777777" w:rsidR="00892A62" w:rsidRPr="006B1800" w:rsidRDefault="00000000">
      <w:pPr>
        <w:spacing w:after="120"/>
        <w:jc w:val="both"/>
        <w:rPr>
          <w:lang w:val="it-IT"/>
        </w:rPr>
      </w:pPr>
      <w:r w:rsidRPr="006B1800">
        <w:rPr>
          <w:lang w:val="it-IT"/>
        </w:rPr>
        <w:t xml:space="preserve">Nell’estate del 1969, un gruppo di ufficiali dell’esercito, tra cui emerse il giovane colonnello Muammar </w:t>
      </w:r>
      <w:proofErr w:type="spellStart"/>
      <w:r w:rsidRPr="006B1800">
        <w:rPr>
          <w:lang w:val="it-IT"/>
        </w:rPr>
        <w:t>el</w:t>
      </w:r>
      <w:proofErr w:type="spellEnd"/>
      <w:r w:rsidRPr="006B1800">
        <w:rPr>
          <w:lang w:val="it-IT"/>
        </w:rPr>
        <w:t xml:space="preserve">-Gheddafi, realizzò un colpo di Stato. Il nuovo regime avviò una politica nazionalistica radicale, coerente con i principi del socialismo arabo e dell’ortodossia islamica. Questa linea politica arabista e </w:t>
      </w:r>
      <w:proofErr w:type="gramStart"/>
      <w:r w:rsidRPr="006B1800">
        <w:rPr>
          <w:lang w:val="it-IT"/>
        </w:rPr>
        <w:t>anti-imperialista</w:t>
      </w:r>
      <w:proofErr w:type="gramEnd"/>
      <w:r w:rsidRPr="006B1800">
        <w:rPr>
          <w:lang w:val="it-IT"/>
        </w:rPr>
        <w:t xml:space="preserve"> si tradusse nella nazionalizzazione delle risorse petrolifere, nella rottura con gli Stati Uniti e anche con l’Italia, considerata ex potenza coloniale, e nel progetto di fondere i singoli Stati arabi in una grande nazione unitaria.</w:t>
      </w:r>
    </w:p>
    <w:p w14:paraId="3E5B3246" w14:textId="77777777" w:rsidR="00892A62" w:rsidRPr="006B1800" w:rsidRDefault="00000000">
      <w:pPr>
        <w:spacing w:before="160" w:after="80"/>
        <w:rPr>
          <w:lang w:val="it-IT"/>
        </w:rPr>
      </w:pPr>
      <w:r w:rsidRPr="006B1800">
        <w:rPr>
          <w:b/>
          <w:sz w:val="28"/>
          <w:lang w:val="it-IT"/>
        </w:rPr>
        <w:t>L’OLP, Yasser Arafat e il “settembre nero”</w:t>
      </w:r>
    </w:p>
    <w:p w14:paraId="4BA47548" w14:textId="77777777" w:rsidR="00892A62" w:rsidRPr="006B1800" w:rsidRDefault="00000000">
      <w:pPr>
        <w:spacing w:after="120"/>
        <w:jc w:val="both"/>
        <w:rPr>
          <w:lang w:val="it-IT"/>
        </w:rPr>
      </w:pPr>
      <w:r w:rsidRPr="006B1800">
        <w:rPr>
          <w:lang w:val="it-IT"/>
        </w:rPr>
        <w:t>Dopo la disfatta del 1967, il re di Giordania Hussein adottò una posizione più prudente verso Israele. L’OLP, invece, decise di agire in modo più autonomo, liberandosi dalla tutela degli altri governi arabi, giudicati incapaci di resistere militarmente a Israele.</w:t>
      </w:r>
    </w:p>
    <w:p w14:paraId="7F341A6D" w14:textId="77777777" w:rsidR="00892A62" w:rsidRPr="006B1800" w:rsidRDefault="00000000">
      <w:pPr>
        <w:spacing w:after="120"/>
        <w:jc w:val="both"/>
        <w:rPr>
          <w:lang w:val="it-IT"/>
        </w:rPr>
      </w:pPr>
      <w:r w:rsidRPr="006B1800">
        <w:rPr>
          <w:lang w:val="it-IT"/>
        </w:rPr>
        <w:t xml:space="preserve">Subito dopo la guerra dei Sei giorni, l’OLP iniziò a compiere incursioni lungo il confine israeliano partendo dalle proprie basi in Giordania. Israele rispose sconfinando più volte in territorio giordano per colpire le basi dei </w:t>
      </w:r>
      <w:proofErr w:type="spellStart"/>
      <w:r w:rsidRPr="006B1800">
        <w:rPr>
          <w:lang w:val="it-IT"/>
        </w:rPr>
        <w:t>fedayyin</w:t>
      </w:r>
      <w:proofErr w:type="spellEnd"/>
      <w:r w:rsidRPr="006B1800">
        <w:rPr>
          <w:lang w:val="it-IT"/>
        </w:rPr>
        <w:t>, cioè i combattenti palestinesi legati all’OLP e impegnati nella lotta contro Israele. Il termine, precisa il glossario del capitolo, significa in arabo “colui che offre la sua vita per un ideale”.</w:t>
      </w:r>
    </w:p>
    <w:p w14:paraId="0CE6CE8C" w14:textId="77777777" w:rsidR="00892A62" w:rsidRPr="006B1800" w:rsidRDefault="00000000">
      <w:pPr>
        <w:spacing w:after="120"/>
        <w:jc w:val="both"/>
        <w:rPr>
          <w:lang w:val="it-IT"/>
        </w:rPr>
      </w:pPr>
      <w:r w:rsidRPr="006B1800">
        <w:rPr>
          <w:lang w:val="it-IT"/>
        </w:rPr>
        <w:t xml:space="preserve">Temendo che queste azioni provocassero un nuovo conflitto disastroso, re Hussein decise di eliminare la presenza militare dell’OLP dal territorio giordano. Dal 1969 l’organizzazione era guidata da Yasser Arafat, leader della componente principale chiamata Al Fatah. Nel settembre 1970, durante l’operazione che sarebbe passata alla storia come “settembre nero”, le truppe </w:t>
      </w:r>
      <w:r w:rsidRPr="006B1800">
        <w:rPr>
          <w:lang w:val="it-IT"/>
        </w:rPr>
        <w:lastRenderedPageBreak/>
        <w:t xml:space="preserve">giordane attaccarono violentemente i </w:t>
      </w:r>
      <w:proofErr w:type="spellStart"/>
      <w:r w:rsidRPr="006B1800">
        <w:rPr>
          <w:lang w:val="it-IT"/>
        </w:rPr>
        <w:t>fedayyin</w:t>
      </w:r>
      <w:proofErr w:type="spellEnd"/>
      <w:r w:rsidRPr="006B1800">
        <w:rPr>
          <w:lang w:val="it-IT"/>
        </w:rPr>
        <w:t>, causando migliaia di morti tra i palestinesi e costringendo i sopravvissuti a rifugiarsi in Libano.</w:t>
      </w:r>
    </w:p>
    <w:p w14:paraId="0D8E8995" w14:textId="77777777" w:rsidR="00892A62" w:rsidRPr="006B1800" w:rsidRDefault="00000000">
      <w:pPr>
        <w:spacing w:after="120"/>
        <w:jc w:val="both"/>
        <w:rPr>
          <w:lang w:val="it-IT"/>
        </w:rPr>
      </w:pPr>
      <w:r w:rsidRPr="006B1800">
        <w:rPr>
          <w:lang w:val="it-IT"/>
        </w:rPr>
        <w:t>Da quel momento diverse organizzazioni palestinesi, più o meno legate all’OLP, decisero di portare la causa palestinese all’attenzione mondiale attraverso dirottamenti aerei e attentati terroristici clamorosi. Il capitolo cita in particolare l’attacco compiuto durante le Olimpiadi di Monaco del 1972 contro la rappresentanza israeliana, conclusosi in una strage anche a causa dei gravi errori commessi dalla polizia tedesca.</w:t>
      </w:r>
    </w:p>
    <w:p w14:paraId="3040DFDD" w14:textId="77777777" w:rsidR="00892A62" w:rsidRPr="006B1800" w:rsidRDefault="00000000">
      <w:pPr>
        <w:spacing w:before="160" w:after="80"/>
        <w:rPr>
          <w:lang w:val="it-IT"/>
        </w:rPr>
      </w:pPr>
      <w:r w:rsidRPr="006B1800">
        <w:rPr>
          <w:b/>
          <w:sz w:val="28"/>
          <w:lang w:val="it-IT"/>
        </w:rPr>
        <w:t>La guerra del Kippur del 1973</w:t>
      </w:r>
    </w:p>
    <w:p w14:paraId="43D8E6BE" w14:textId="77777777" w:rsidR="00892A62" w:rsidRPr="006B1800" w:rsidRDefault="00000000">
      <w:pPr>
        <w:spacing w:after="120"/>
        <w:jc w:val="both"/>
        <w:rPr>
          <w:lang w:val="it-IT"/>
        </w:rPr>
      </w:pPr>
      <w:r w:rsidRPr="006B1800">
        <w:rPr>
          <w:lang w:val="it-IT"/>
        </w:rPr>
        <w:t>Nel 1973, il nuovo leader egiziano Anwar al-Sadat, succeduto a Nasser dopo la morte di quest’ultimo nel 1970, decise di attaccare nuovamente Israele con l’obiettivo di recuperare il controllo sul canale di Suez. Il 6 ottobre 1973, giorno dello Yom Kippur, una ricorrenza religiosa durante la quale gli ebrei ortodossi digiunano e sospendono ogni attività, gli eserciti egiziano e siriano colpirono di sorpresa le linee israeliane.</w:t>
      </w:r>
    </w:p>
    <w:p w14:paraId="7318EF78" w14:textId="77777777" w:rsidR="00892A62" w:rsidRPr="006B1800" w:rsidRDefault="00000000">
      <w:pPr>
        <w:spacing w:after="120"/>
        <w:jc w:val="both"/>
        <w:rPr>
          <w:lang w:val="it-IT"/>
        </w:rPr>
      </w:pPr>
      <w:r w:rsidRPr="006B1800">
        <w:rPr>
          <w:lang w:val="it-IT"/>
        </w:rPr>
        <w:t>Gli egiziani e i siriani invasero il Sinai e le alture del Golan, territori occupati da Israele durante la guerra del 1967. Nei venti giorni successivi, Israele riuscì prima a fermare l’avanzata e poi, grazie soprattutto ai massicci aiuti statunitensi, a contrattaccare, respingendo i nemici verso i confini precedenti la loro offensiva. La carta del capitolo mostra che, pur non modificando stabilmente la situazione territoriale, la guerra del Kippur ebbe conseguenze geopolitiche importanti.</w:t>
      </w:r>
    </w:p>
    <w:p w14:paraId="1EA7D6BE" w14:textId="77777777" w:rsidR="00892A62" w:rsidRPr="006B1800" w:rsidRDefault="00000000">
      <w:pPr>
        <w:spacing w:after="120"/>
        <w:jc w:val="both"/>
        <w:rPr>
          <w:lang w:val="it-IT"/>
        </w:rPr>
      </w:pPr>
      <w:r w:rsidRPr="006B1800">
        <w:rPr>
          <w:lang w:val="it-IT"/>
        </w:rPr>
        <w:t>Durante il conflitto, in solidarietà con Siria ed Egitto e per esercitare pressione sui paesi occidentali accusati di sostenere Israele, il 17 ottobre 1973 i paesi dell’OPEC, in particolare Arabia Saudita, Iraq e Kuwait, decisero di aumentare del 70% il prezzo del greggio e di ridurne la produzione. Questa scelta provocò lo shock petrolifero, che si trasformò in una grave crisi energetica con pesanti ripercussioni economiche per molti paesi occidentali.</w:t>
      </w:r>
    </w:p>
    <w:p w14:paraId="27E5EC26" w14:textId="77777777" w:rsidR="00892A62" w:rsidRPr="006B1800" w:rsidRDefault="00000000">
      <w:pPr>
        <w:spacing w:before="160" w:after="80"/>
        <w:rPr>
          <w:lang w:val="it-IT"/>
        </w:rPr>
      </w:pPr>
      <w:r w:rsidRPr="006B1800">
        <w:rPr>
          <w:b/>
          <w:sz w:val="28"/>
          <w:lang w:val="it-IT"/>
        </w:rPr>
        <w:t>Gli accordi di Camp David e la svolta egiziana</w:t>
      </w:r>
    </w:p>
    <w:p w14:paraId="3AA13F54" w14:textId="77777777" w:rsidR="00892A62" w:rsidRPr="006B1800" w:rsidRDefault="00000000">
      <w:pPr>
        <w:spacing w:after="120"/>
        <w:jc w:val="both"/>
        <w:rPr>
          <w:lang w:val="it-IT"/>
        </w:rPr>
      </w:pPr>
      <w:r w:rsidRPr="006B1800">
        <w:rPr>
          <w:lang w:val="it-IT"/>
        </w:rPr>
        <w:t>Alla fine di ottobre 1973, dopo il cessate il fuoco, i confini tornarono sostanzialmente a quelli precedenti l’attacco. La guerra del Kippur, dunque, non modificò in modo decisivo la situazione territoriale, ma ebbe effetti politici rilevanti.</w:t>
      </w:r>
    </w:p>
    <w:p w14:paraId="570744F8" w14:textId="77777777" w:rsidR="00892A62" w:rsidRPr="006B1800" w:rsidRDefault="00000000">
      <w:pPr>
        <w:spacing w:after="120"/>
        <w:jc w:val="both"/>
        <w:rPr>
          <w:lang w:val="it-IT"/>
        </w:rPr>
      </w:pPr>
      <w:r w:rsidRPr="006B1800">
        <w:rPr>
          <w:lang w:val="it-IT"/>
        </w:rPr>
        <w:t>I successi militari ottenuti dall’Egitto nella prima fase della guerra permisero a Sadat di presentare il conflitto come una vendetta dell’umiliazione subita nella guerra dei Sei giorni. Questo gli consentì di giustificare importanti svolte in politica estera. Tra il 1974 e il 1975, l’Egitto abbandonò l’alleanza con l’Unione Sovietica, accusata di non averlo sostenuto adeguatamente durante la guerra del Kippur. Allo stesso tempo, avviò negoziati di pace con Israele e migliorò i rapporti con gli Stati Uniti.</w:t>
      </w:r>
    </w:p>
    <w:p w14:paraId="4CEDB48F" w14:textId="77777777" w:rsidR="00892A62" w:rsidRPr="006B1800" w:rsidRDefault="00000000">
      <w:pPr>
        <w:spacing w:after="120"/>
        <w:jc w:val="both"/>
        <w:rPr>
          <w:lang w:val="it-IT"/>
        </w:rPr>
      </w:pPr>
      <w:r w:rsidRPr="006B1800">
        <w:rPr>
          <w:lang w:val="it-IT"/>
        </w:rPr>
        <w:t xml:space="preserve">Anche Israele trasse una lezione dalla guerra: la vittoria del 1973 era stata meno netta rispetto ai conflitti precedenti e le perdite umane erano state più gravi. Queste condizioni prepararono </w:t>
      </w:r>
      <w:r w:rsidRPr="006B1800">
        <w:rPr>
          <w:lang w:val="it-IT"/>
        </w:rPr>
        <w:lastRenderedPageBreak/>
        <w:t>gli accordi di Camp David, firmati nel settembre 1978 da Egitto e Israele con la mediazione del presidente americano Jimmy Carter. In base agli accordi, l’Egitto ottenne la restituzione dei territori perduti nel 1967, tranne la Striscia di Gaza, e in cambio riconobbe ufficialmente l’esistenza dello Stato d’Israele.</w:t>
      </w:r>
    </w:p>
    <w:p w14:paraId="5634C351" w14:textId="77777777" w:rsidR="00892A62" w:rsidRPr="006B1800" w:rsidRDefault="00000000">
      <w:pPr>
        <w:spacing w:before="160" w:after="80"/>
        <w:rPr>
          <w:lang w:val="it-IT"/>
        </w:rPr>
      </w:pPr>
      <w:r w:rsidRPr="006B1800">
        <w:rPr>
          <w:b/>
          <w:sz w:val="28"/>
          <w:lang w:val="it-IT"/>
        </w:rPr>
        <w:t>La crisi economica degli anni Settanta e la fine del sistema di Bretton Woods</w:t>
      </w:r>
    </w:p>
    <w:p w14:paraId="4135CD72" w14:textId="77777777" w:rsidR="00892A62" w:rsidRPr="006B1800" w:rsidRDefault="00000000">
      <w:pPr>
        <w:spacing w:after="120"/>
        <w:jc w:val="both"/>
        <w:rPr>
          <w:lang w:val="it-IT"/>
        </w:rPr>
      </w:pPr>
      <w:r w:rsidRPr="006B1800">
        <w:rPr>
          <w:lang w:val="it-IT"/>
        </w:rPr>
        <w:t>Il capitolo collega la crisi petrolifera a una crisi economica più ampia. Dopo la fase di crescita degli anni Sessanta, negli Stati Uniti si manifestò una crisi dovuta anche ai costi della guerra in Vietnam. Nel 1971, il presidente Nixon sospese la convertibilità del dollaro in oro, provocando la crisi del sistema creato a Bretton Woods.</w:t>
      </w:r>
    </w:p>
    <w:p w14:paraId="48177225" w14:textId="77777777" w:rsidR="00892A62" w:rsidRPr="006B1800" w:rsidRDefault="00000000">
      <w:pPr>
        <w:spacing w:after="120"/>
        <w:jc w:val="both"/>
        <w:rPr>
          <w:lang w:val="it-IT"/>
        </w:rPr>
      </w:pPr>
      <w:r w:rsidRPr="006B1800">
        <w:rPr>
          <w:lang w:val="it-IT"/>
        </w:rPr>
        <w:t>La revisione delle concessioni petrolifere operata dall’OPEC aggravò ulteriormente la situazione. I paesi produttori si riappropriarono dei pozzi, favorirono l’URSS, nazionalizzarono la produzione e aumentarono sensibilmente i prezzi del greggio. Nel contesto della guerra del Kippur, i paesi arabi produttori decretarono anche l’embargo petrolifero contro gli Stati Uniti, revocato solo dopo una delicata mediazione condotta da Henry Kissinger.</w:t>
      </w:r>
    </w:p>
    <w:p w14:paraId="4682C637" w14:textId="77777777" w:rsidR="00892A62" w:rsidRPr="006B1800" w:rsidRDefault="00000000">
      <w:pPr>
        <w:spacing w:after="120"/>
        <w:jc w:val="both"/>
        <w:rPr>
          <w:lang w:val="it-IT"/>
        </w:rPr>
      </w:pPr>
      <w:r w:rsidRPr="006B1800">
        <w:rPr>
          <w:lang w:val="it-IT"/>
        </w:rPr>
        <w:t>La crisi energetica si diffuse in Europa, dove si impose il problema della stagflazione, cioè la combinazione tra stagnazione economica e inflazione. Questo fenomeno segnò una rottura rispetto alla fase precedente di crescita e mostrò la fragilità delle economie occidentali di fronte alla dipendenza dal petrolio.</w:t>
      </w:r>
    </w:p>
    <w:p w14:paraId="7D7FB4D4" w14:textId="77777777" w:rsidR="00892A62" w:rsidRPr="006B1800" w:rsidRDefault="00000000">
      <w:pPr>
        <w:spacing w:before="160" w:after="80"/>
        <w:rPr>
          <w:lang w:val="it-IT"/>
        </w:rPr>
      </w:pPr>
      <w:r w:rsidRPr="006B1800">
        <w:rPr>
          <w:b/>
          <w:sz w:val="28"/>
          <w:lang w:val="it-IT"/>
        </w:rPr>
        <w:t>I limiti dell’economia sovietica</w:t>
      </w:r>
    </w:p>
    <w:p w14:paraId="27491AFC" w14:textId="77777777" w:rsidR="00892A62" w:rsidRPr="006B1800" w:rsidRDefault="00000000">
      <w:pPr>
        <w:spacing w:after="120"/>
        <w:jc w:val="both"/>
        <w:rPr>
          <w:lang w:val="it-IT"/>
        </w:rPr>
      </w:pPr>
      <w:r w:rsidRPr="006B1800">
        <w:rPr>
          <w:lang w:val="it-IT"/>
        </w:rPr>
        <w:t>Il capitolo descrive anche le difficoltà economiche dell’Unione Sovietica. Per reggere il confronto con la crescita dei paesi occidentali, Breznev introdusse alcune correzioni ai rigidi criteri della pianificazione economica. Tuttavia, l’economia sovietica rimaneva frenata da vari problemi: la resistenza della burocrazia a ogni forma di decentramento, il deficit tecnologico, la scarsa qualità dei beni di consumo e le difficoltà del settore agricolo.</w:t>
      </w:r>
    </w:p>
    <w:p w14:paraId="3A9CF3AA" w14:textId="77777777" w:rsidR="00892A62" w:rsidRPr="006B1800" w:rsidRDefault="00000000">
      <w:pPr>
        <w:spacing w:after="120"/>
        <w:jc w:val="both"/>
        <w:rPr>
          <w:lang w:val="it-IT"/>
        </w:rPr>
      </w:pPr>
      <w:r w:rsidRPr="006B1800">
        <w:rPr>
          <w:lang w:val="it-IT"/>
        </w:rPr>
        <w:t>La collettivizzazione delle terre aveva compromesso l’agricoltura, costringendo il paese a importare quantità sempre maggiori di grano. Tutti questi elementi contribuirono a una crisi destinata a prolungarsi e ad aggravarsi nel corso degli anni Ottanta.</w:t>
      </w:r>
    </w:p>
    <w:p w14:paraId="323C8A7D" w14:textId="77777777" w:rsidR="00892A62" w:rsidRPr="006B1800" w:rsidRDefault="00000000">
      <w:pPr>
        <w:spacing w:before="160" w:after="80"/>
        <w:rPr>
          <w:lang w:val="it-IT"/>
        </w:rPr>
      </w:pPr>
      <w:r w:rsidRPr="006B1800">
        <w:rPr>
          <w:b/>
          <w:sz w:val="28"/>
          <w:lang w:val="it-IT"/>
        </w:rPr>
        <w:t>La rivoluzione iraniana e la nascita della Repubblica islamica</w:t>
      </w:r>
    </w:p>
    <w:p w14:paraId="5799AD0F" w14:textId="77777777" w:rsidR="00892A62" w:rsidRPr="006B1800" w:rsidRDefault="00000000">
      <w:pPr>
        <w:spacing w:after="120"/>
        <w:jc w:val="both"/>
        <w:rPr>
          <w:lang w:val="it-IT"/>
        </w:rPr>
      </w:pPr>
      <w:r w:rsidRPr="006B1800">
        <w:rPr>
          <w:lang w:val="it-IT"/>
        </w:rPr>
        <w:t xml:space="preserve">Un’altra svolta fondamentale degli anni Settanta fu la rivoluzione iraniana. In Iran, il regime dello scià, </w:t>
      </w:r>
      <w:proofErr w:type="gramStart"/>
      <w:r w:rsidRPr="006B1800">
        <w:rPr>
          <w:lang w:val="it-IT"/>
        </w:rPr>
        <w:t>filo-occidentale</w:t>
      </w:r>
      <w:proofErr w:type="gramEnd"/>
      <w:r w:rsidRPr="006B1800">
        <w:rPr>
          <w:lang w:val="it-IT"/>
        </w:rPr>
        <w:t>, laico ma rigidamente autoritario, venne rovesciato nel 1979 da una rivoluzione popolare guidata dall’ayatollah sciita Khomeini. Dopo la caduta dello scià, Khomeini diede vita a un regime teocratico: la Repubblica islamica.</w:t>
      </w:r>
    </w:p>
    <w:p w14:paraId="3D90F583" w14:textId="77777777" w:rsidR="00892A62" w:rsidRPr="006B1800" w:rsidRDefault="00000000">
      <w:pPr>
        <w:spacing w:after="120"/>
        <w:jc w:val="both"/>
        <w:rPr>
          <w:lang w:val="it-IT"/>
        </w:rPr>
      </w:pPr>
      <w:r w:rsidRPr="006B1800">
        <w:rPr>
          <w:lang w:val="it-IT"/>
        </w:rPr>
        <w:t xml:space="preserve">La rivoluzione iraniana ebbe effetti regionali molto rilevanti. Saddam Hussein, al potere in Iraq, approfittò dell’isolamento internazionale dell’Iran per invadere il paese e cercare di fermare il </w:t>
      </w:r>
      <w:r w:rsidRPr="006B1800">
        <w:rPr>
          <w:lang w:val="it-IT"/>
        </w:rPr>
        <w:lastRenderedPageBreak/>
        <w:t>rischio di diffusione della rivoluzione sciita. Cominciò così la lunga e cruenta guerra tra Iran e Iraq, durata dal 1980 al 1988. Il conflitto si concluse senza acquisizioni territoriali e con un bilancio di circa centinaia di migliaia di morti.</w:t>
      </w:r>
    </w:p>
    <w:p w14:paraId="7D276CFD" w14:textId="77777777" w:rsidR="00892A62" w:rsidRPr="006B1800" w:rsidRDefault="00000000">
      <w:pPr>
        <w:spacing w:before="160" w:after="80"/>
        <w:rPr>
          <w:lang w:val="it-IT"/>
        </w:rPr>
      </w:pPr>
      <w:r w:rsidRPr="006B1800">
        <w:rPr>
          <w:b/>
          <w:sz w:val="28"/>
          <w:lang w:val="it-IT"/>
        </w:rPr>
        <w:t>L’invasione sovietica dell’Afghanistan</w:t>
      </w:r>
    </w:p>
    <w:p w14:paraId="6C8D3446" w14:textId="77777777" w:rsidR="00892A62" w:rsidRPr="006B1800" w:rsidRDefault="00000000">
      <w:pPr>
        <w:spacing w:after="120"/>
        <w:jc w:val="both"/>
        <w:rPr>
          <w:lang w:val="it-IT"/>
        </w:rPr>
      </w:pPr>
      <w:r w:rsidRPr="006B1800">
        <w:rPr>
          <w:lang w:val="it-IT"/>
        </w:rPr>
        <w:t>Anche l’Unione Sovietica temeva l’influenza della rivoluzione khomeinista in un’area strategica per il controllo degli oleodotti petroliferi. Alla fine del 1979, Mosca scelse quindi una soluzione militare, invadendo l’Afghanistan. Nel paese, la popolazione delle campagne si opponeva alla secolarizzazione promossa dal governo filosovietico.</w:t>
      </w:r>
    </w:p>
    <w:p w14:paraId="001B3FC5" w14:textId="77777777" w:rsidR="00892A62" w:rsidRPr="006B1800" w:rsidRDefault="00000000">
      <w:pPr>
        <w:spacing w:after="120"/>
        <w:jc w:val="both"/>
        <w:rPr>
          <w:lang w:val="it-IT"/>
        </w:rPr>
      </w:pPr>
      <w:r w:rsidRPr="006B1800">
        <w:rPr>
          <w:lang w:val="it-IT"/>
        </w:rPr>
        <w:t>L’intervento sovietico fu condannato dalla comunità internazionale. Gli Stati Uniti reagirono duramente, interrompendo il dialogo con Mosca. Questo episodio mostrò chiaramente i limiti della distensione e segnò una nuova fase di tensione nella guerra fredda.</w:t>
      </w:r>
    </w:p>
    <w:p w14:paraId="306A100E" w14:textId="77777777" w:rsidR="00892A62" w:rsidRPr="006B1800" w:rsidRDefault="00000000">
      <w:pPr>
        <w:spacing w:before="160" w:after="80"/>
        <w:rPr>
          <w:lang w:val="it-IT"/>
        </w:rPr>
      </w:pPr>
      <w:r w:rsidRPr="006B1800">
        <w:rPr>
          <w:b/>
          <w:sz w:val="28"/>
          <w:lang w:val="it-IT"/>
        </w:rPr>
        <w:t>Le trasformazioni del contesto europeo</w:t>
      </w:r>
    </w:p>
    <w:p w14:paraId="6FF6B85C" w14:textId="77777777" w:rsidR="00892A62" w:rsidRPr="006B1800" w:rsidRDefault="00000000">
      <w:pPr>
        <w:spacing w:after="120"/>
        <w:jc w:val="both"/>
        <w:rPr>
          <w:lang w:val="it-IT"/>
        </w:rPr>
      </w:pPr>
      <w:r w:rsidRPr="006B1800">
        <w:rPr>
          <w:lang w:val="it-IT"/>
        </w:rPr>
        <w:t>Negli anni Settanta cambiò anche il quadro europeo. La Comunità europea si allargò fino a includere Gran Bretagna, Irlanda e Danimarca. Nel 1974 nacque il Consiglio europeo, che iniziò a riunirsi regolarmente due volte l’anno, dando impulso alla collaborazione tra gli Stati membri.</w:t>
      </w:r>
    </w:p>
    <w:p w14:paraId="670B9063" w14:textId="77777777" w:rsidR="00892A62" w:rsidRPr="006B1800" w:rsidRDefault="00000000">
      <w:pPr>
        <w:spacing w:after="120"/>
        <w:jc w:val="both"/>
        <w:rPr>
          <w:lang w:val="it-IT"/>
        </w:rPr>
      </w:pPr>
      <w:r w:rsidRPr="006B1800">
        <w:rPr>
          <w:lang w:val="it-IT"/>
        </w:rPr>
        <w:t>Nel 1979 venne eletto per la prima volta a suffragio diretto, da tutti i cittadini europei, il Parlamento di Strasburgo. Sebbene avesse poteri solo consultivi, il coinvolgimento diretto dei cittadini contribuì a rafforzare le istituzioni comunitarie. Tuttavia, per i membri della CEE rimase difficile trovare accordi sulla politica agricola. Sempre nel 1979 entrò in vigore lo SME, il Sistema monetario europeo, pensato per stabilizzare l’oscillazione delle monete.</w:t>
      </w:r>
    </w:p>
    <w:p w14:paraId="41AF269E" w14:textId="77777777" w:rsidR="00892A62" w:rsidRPr="006B1800" w:rsidRDefault="00000000">
      <w:pPr>
        <w:spacing w:after="120"/>
        <w:jc w:val="both"/>
        <w:rPr>
          <w:lang w:val="it-IT"/>
        </w:rPr>
      </w:pPr>
      <w:r w:rsidRPr="006B1800">
        <w:rPr>
          <w:lang w:val="it-IT"/>
        </w:rPr>
        <w:t>Il capitolo evidenzia inoltre la fine degli ultimi regimi autoritari dell’Europa occidentale. In Grecia, nel 1967, l’esercito aveva realizzato un colpo di Stato, esautorando la monarchia e instaurando il regime autoritario dei colonnelli, caratterizzato da violenta repressione del dissenso. Nel 1974, i colonnelli incoraggiarono un colpo di Stato a Cipro, isola indipendente abitata da una comunità turca e una greca. La Turchia intervenne militarmente a difesa di Cipro e l’isola finì divisa in due, creando imbarazzo all’interno della NATO, di cui facevano parte entrambi i paesi contendenti. Dopo l’intervento turco, il regime dei colonnelli venne di fatto esautorato e in Grecia iniziò un processo di democratizzazione.</w:t>
      </w:r>
    </w:p>
    <w:p w14:paraId="77695084" w14:textId="77777777" w:rsidR="00892A62" w:rsidRPr="006B1800" w:rsidRDefault="00000000">
      <w:pPr>
        <w:spacing w:after="120"/>
        <w:jc w:val="both"/>
        <w:rPr>
          <w:lang w:val="it-IT"/>
        </w:rPr>
      </w:pPr>
      <w:r w:rsidRPr="006B1800">
        <w:rPr>
          <w:lang w:val="it-IT"/>
        </w:rPr>
        <w:t>In Portogallo, paese povero e arretrato anche a causa della costosa politica coloniale, nel 1974 l’esercito realizzò un colpo di Stato incruento, noto come rivoluzione dei garofani. Questo evento pose fine al regime autoritario fondato da Salazar, al quale nel 1970 era succeduto Marcelo Caetano.</w:t>
      </w:r>
    </w:p>
    <w:p w14:paraId="63108F09" w14:textId="48DCF94D" w:rsidR="00892A62" w:rsidRPr="006B1800" w:rsidRDefault="00000000">
      <w:pPr>
        <w:spacing w:after="120"/>
        <w:jc w:val="both"/>
        <w:rPr>
          <w:lang w:val="it-IT"/>
        </w:rPr>
      </w:pPr>
      <w:r w:rsidRPr="006B1800">
        <w:rPr>
          <w:lang w:val="it-IT"/>
        </w:rPr>
        <w:t>In Spagna, infine, dopo la morte di Franco nel 1975, venne ripristinata la monarchia e fu avviato un programma di riforme democratiche sotto la guida di Adolfo Suárez.</w:t>
      </w:r>
    </w:p>
    <w:sectPr w:rsidR="00892A62" w:rsidRPr="006B1800"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oelenco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oelenco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Puntoelenco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Puntoelenco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oelenco"/>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Puntoelenco"/>
      <w:lvlText w:val=""/>
      <w:lvlJc w:val="left"/>
      <w:pPr>
        <w:tabs>
          <w:tab w:val="num" w:pos="360"/>
        </w:tabs>
        <w:ind w:left="360" w:hanging="360"/>
      </w:pPr>
      <w:rPr>
        <w:rFonts w:ascii="Symbol" w:hAnsi="Symbol" w:hint="default"/>
      </w:rPr>
    </w:lvl>
  </w:abstractNum>
  <w:num w:numId="1" w16cid:durableId="338969333">
    <w:abstractNumId w:val="8"/>
  </w:num>
  <w:num w:numId="2" w16cid:durableId="1666475044">
    <w:abstractNumId w:val="6"/>
  </w:num>
  <w:num w:numId="3" w16cid:durableId="1608267578">
    <w:abstractNumId w:val="5"/>
  </w:num>
  <w:num w:numId="4" w16cid:durableId="1050836973">
    <w:abstractNumId w:val="4"/>
  </w:num>
  <w:num w:numId="5" w16cid:durableId="630331838">
    <w:abstractNumId w:val="7"/>
  </w:num>
  <w:num w:numId="6" w16cid:durableId="1776906248">
    <w:abstractNumId w:val="3"/>
  </w:num>
  <w:num w:numId="7" w16cid:durableId="574243933">
    <w:abstractNumId w:val="2"/>
  </w:num>
  <w:num w:numId="8" w16cid:durableId="707682958">
    <w:abstractNumId w:val="1"/>
  </w:num>
  <w:num w:numId="9" w16cid:durableId="2317443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283"/>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86009"/>
    <w:rsid w:val="006B1800"/>
    <w:rsid w:val="00892A62"/>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1A13DE4"/>
  <w14:defaultImageDpi w14:val="300"/>
  <w15:docId w15:val="{B31130AE-366C-45E5-A011-EC48D7CC12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FC693F"/>
    <w:rPr>
      <w:rFonts w:ascii="Calibri" w:eastAsia="Calibri" w:hAnsi="Calibri"/>
      <w:sz w:val="24"/>
    </w:rPr>
  </w:style>
  <w:style w:type="paragraph" w:styleId="Titolo1">
    <w:name w:val="heading 1"/>
    <w:basedOn w:val="Normale"/>
    <w:next w:val="Normale"/>
    <w:link w:val="Titolo1Carattere"/>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olo2">
    <w:name w:val="heading 2"/>
    <w:basedOn w:val="Normale"/>
    <w:next w:val="Normale"/>
    <w:link w:val="Titolo2Carattere"/>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olo3">
    <w:name w:val="heading 3"/>
    <w:basedOn w:val="Normale"/>
    <w:next w:val="Normale"/>
    <w:link w:val="Titolo3Carattere"/>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olo4">
    <w:name w:val="heading 4"/>
    <w:basedOn w:val="Normale"/>
    <w:next w:val="Normale"/>
    <w:link w:val="Titolo4Carattere"/>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olo5">
    <w:name w:val="heading 5"/>
    <w:basedOn w:val="Normale"/>
    <w:next w:val="Normale"/>
    <w:link w:val="Titolo5Carattere"/>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olo6">
    <w:name w:val="heading 6"/>
    <w:basedOn w:val="Normale"/>
    <w:next w:val="Normale"/>
    <w:link w:val="Titolo6Carattere"/>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olo7">
    <w:name w:val="heading 7"/>
    <w:basedOn w:val="Normale"/>
    <w:next w:val="Normale"/>
    <w:link w:val="Titolo7Carattere"/>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olo8">
    <w:name w:val="heading 8"/>
    <w:basedOn w:val="Normale"/>
    <w:next w:val="Normale"/>
    <w:link w:val="Titolo8Carattere"/>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olo9">
    <w:name w:val="heading 9"/>
    <w:basedOn w:val="Normale"/>
    <w:next w:val="Normale"/>
    <w:link w:val="Titolo9Carattere"/>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iPriority w:val="99"/>
    <w:unhideWhenUsed/>
    <w:rsid w:val="00E618BF"/>
    <w:pPr>
      <w:tabs>
        <w:tab w:val="center" w:pos="4680"/>
        <w:tab w:val="right" w:pos="9360"/>
      </w:tabs>
      <w:spacing w:after="0" w:line="240" w:lineRule="auto"/>
    </w:pPr>
  </w:style>
  <w:style w:type="character" w:customStyle="1" w:styleId="IntestazioneCarattere">
    <w:name w:val="Intestazione Carattere"/>
    <w:basedOn w:val="Carpredefinitoparagrafo"/>
    <w:link w:val="Intestazione"/>
    <w:uiPriority w:val="99"/>
    <w:rsid w:val="00E618BF"/>
  </w:style>
  <w:style w:type="paragraph" w:styleId="Pidipagina">
    <w:name w:val="footer"/>
    <w:basedOn w:val="Normale"/>
    <w:link w:val="PidipaginaCarattere"/>
    <w:uiPriority w:val="99"/>
    <w:unhideWhenUsed/>
    <w:rsid w:val="00E618BF"/>
    <w:pPr>
      <w:tabs>
        <w:tab w:val="center" w:pos="4680"/>
        <w:tab w:val="right" w:pos="9360"/>
      </w:tabs>
      <w:spacing w:after="0" w:line="240" w:lineRule="auto"/>
    </w:pPr>
  </w:style>
  <w:style w:type="character" w:customStyle="1" w:styleId="PidipaginaCarattere">
    <w:name w:val="Piè di pagina Carattere"/>
    <w:basedOn w:val="Carpredefinitoparagrafo"/>
    <w:link w:val="Pidipagina"/>
    <w:uiPriority w:val="99"/>
    <w:rsid w:val="00E618BF"/>
  </w:style>
  <w:style w:type="paragraph" w:styleId="Nessunaspaziatura">
    <w:name w:val="No Spacing"/>
    <w:uiPriority w:val="1"/>
    <w:qFormat/>
    <w:rsid w:val="00FC693F"/>
    <w:pPr>
      <w:spacing w:after="0" w:line="240" w:lineRule="auto"/>
    </w:pPr>
  </w:style>
  <w:style w:type="character" w:customStyle="1" w:styleId="Titolo1Carattere">
    <w:name w:val="Titolo 1 Carattere"/>
    <w:basedOn w:val="Carpredefinitoparagrafo"/>
    <w:link w:val="Tito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olo2Carattere">
    <w:name w:val="Titolo 2 Carattere"/>
    <w:basedOn w:val="Carpredefinitoparagrafo"/>
    <w:link w:val="Titolo2"/>
    <w:uiPriority w:val="9"/>
    <w:rsid w:val="00FC693F"/>
    <w:rPr>
      <w:rFonts w:asciiTheme="majorHAnsi" w:eastAsiaTheme="majorEastAsia" w:hAnsiTheme="majorHAnsi" w:cstheme="majorBidi"/>
      <w:b/>
      <w:bCs/>
      <w:color w:val="4F81BD" w:themeColor="accent1"/>
      <w:sz w:val="26"/>
      <w:szCs w:val="26"/>
    </w:rPr>
  </w:style>
  <w:style w:type="character" w:customStyle="1" w:styleId="Titolo3Carattere">
    <w:name w:val="Titolo 3 Carattere"/>
    <w:basedOn w:val="Carpredefinitoparagrafo"/>
    <w:link w:val="Titolo3"/>
    <w:uiPriority w:val="9"/>
    <w:rsid w:val="00FC693F"/>
    <w:rPr>
      <w:rFonts w:asciiTheme="majorHAnsi" w:eastAsiaTheme="majorEastAsia" w:hAnsiTheme="majorHAnsi" w:cstheme="majorBidi"/>
      <w:b/>
      <w:bCs/>
      <w:color w:val="4F81BD" w:themeColor="accent1"/>
    </w:rPr>
  </w:style>
  <w:style w:type="paragraph" w:styleId="Titolo">
    <w:name w:val="Title"/>
    <w:basedOn w:val="Normale"/>
    <w:next w:val="Normale"/>
    <w:link w:val="TitoloCarattere"/>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oloCarattere">
    <w:name w:val="Titolo Carattere"/>
    <w:basedOn w:val="Carpredefinitoparagrafo"/>
    <w:link w:val="Tito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ttotitolo">
    <w:name w:val="Subtitle"/>
    <w:basedOn w:val="Normale"/>
    <w:next w:val="Normale"/>
    <w:link w:val="SottotitoloCarattere"/>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ottotitoloCarattere">
    <w:name w:val="Sottotitolo Carattere"/>
    <w:basedOn w:val="Carpredefinitoparagrafo"/>
    <w:link w:val="Sottotitolo"/>
    <w:uiPriority w:val="11"/>
    <w:rsid w:val="00FC693F"/>
    <w:rPr>
      <w:rFonts w:asciiTheme="majorHAnsi" w:eastAsiaTheme="majorEastAsia" w:hAnsiTheme="majorHAnsi" w:cstheme="majorBidi"/>
      <w:i/>
      <w:iCs/>
      <w:color w:val="4F81BD" w:themeColor="accent1"/>
      <w:spacing w:val="15"/>
      <w:sz w:val="24"/>
      <w:szCs w:val="24"/>
    </w:rPr>
  </w:style>
  <w:style w:type="paragraph" w:styleId="Paragrafoelenco">
    <w:name w:val="List Paragraph"/>
    <w:basedOn w:val="Normale"/>
    <w:uiPriority w:val="34"/>
    <w:qFormat/>
    <w:rsid w:val="00FC693F"/>
    <w:pPr>
      <w:ind w:left="720"/>
      <w:contextualSpacing/>
    </w:pPr>
  </w:style>
  <w:style w:type="paragraph" w:styleId="Corpotesto">
    <w:name w:val="Body Text"/>
    <w:basedOn w:val="Normale"/>
    <w:link w:val="CorpotestoCarattere"/>
    <w:uiPriority w:val="99"/>
    <w:unhideWhenUsed/>
    <w:rsid w:val="00AA1D8D"/>
    <w:pPr>
      <w:spacing w:after="120"/>
    </w:pPr>
  </w:style>
  <w:style w:type="character" w:customStyle="1" w:styleId="CorpotestoCarattere">
    <w:name w:val="Corpo testo Carattere"/>
    <w:basedOn w:val="Carpredefinitoparagrafo"/>
    <w:link w:val="Corpotesto"/>
    <w:uiPriority w:val="99"/>
    <w:rsid w:val="00AA1D8D"/>
  </w:style>
  <w:style w:type="paragraph" w:styleId="Corpodeltesto2">
    <w:name w:val="Body Text 2"/>
    <w:basedOn w:val="Normale"/>
    <w:link w:val="Corpodeltesto2Carattere"/>
    <w:uiPriority w:val="99"/>
    <w:unhideWhenUsed/>
    <w:rsid w:val="00AA1D8D"/>
    <w:pPr>
      <w:spacing w:after="120" w:line="480" w:lineRule="auto"/>
    </w:pPr>
  </w:style>
  <w:style w:type="character" w:customStyle="1" w:styleId="Corpodeltesto2Carattere">
    <w:name w:val="Corpo del testo 2 Carattere"/>
    <w:basedOn w:val="Carpredefinitoparagrafo"/>
    <w:link w:val="Corpodeltesto2"/>
    <w:uiPriority w:val="99"/>
    <w:rsid w:val="00AA1D8D"/>
  </w:style>
  <w:style w:type="paragraph" w:styleId="Corpodeltesto3">
    <w:name w:val="Body Text 3"/>
    <w:basedOn w:val="Normale"/>
    <w:link w:val="Corpodeltesto3Carattere"/>
    <w:uiPriority w:val="99"/>
    <w:unhideWhenUsed/>
    <w:rsid w:val="00AA1D8D"/>
    <w:pPr>
      <w:spacing w:after="120"/>
    </w:pPr>
    <w:rPr>
      <w:sz w:val="16"/>
      <w:szCs w:val="16"/>
    </w:rPr>
  </w:style>
  <w:style w:type="character" w:customStyle="1" w:styleId="Corpodeltesto3Carattere">
    <w:name w:val="Corpo del testo 3 Carattere"/>
    <w:basedOn w:val="Carpredefinitoparagrafo"/>
    <w:link w:val="Corpodeltesto3"/>
    <w:uiPriority w:val="99"/>
    <w:rsid w:val="00AA1D8D"/>
    <w:rPr>
      <w:sz w:val="16"/>
      <w:szCs w:val="16"/>
    </w:rPr>
  </w:style>
  <w:style w:type="paragraph" w:styleId="Elenco">
    <w:name w:val="List"/>
    <w:basedOn w:val="Normale"/>
    <w:uiPriority w:val="99"/>
    <w:unhideWhenUsed/>
    <w:rsid w:val="00AA1D8D"/>
    <w:pPr>
      <w:ind w:left="360" w:hanging="360"/>
      <w:contextualSpacing/>
    </w:pPr>
  </w:style>
  <w:style w:type="paragraph" w:styleId="Elenco2">
    <w:name w:val="List 2"/>
    <w:basedOn w:val="Normale"/>
    <w:uiPriority w:val="99"/>
    <w:unhideWhenUsed/>
    <w:rsid w:val="00326F90"/>
    <w:pPr>
      <w:ind w:left="720" w:hanging="360"/>
      <w:contextualSpacing/>
    </w:pPr>
  </w:style>
  <w:style w:type="paragraph" w:styleId="Elenco3">
    <w:name w:val="List 3"/>
    <w:basedOn w:val="Normale"/>
    <w:uiPriority w:val="99"/>
    <w:unhideWhenUsed/>
    <w:rsid w:val="00326F90"/>
    <w:pPr>
      <w:ind w:left="1080" w:hanging="360"/>
      <w:contextualSpacing/>
    </w:pPr>
  </w:style>
  <w:style w:type="paragraph" w:styleId="Puntoelenco">
    <w:name w:val="List Bullet"/>
    <w:basedOn w:val="Normale"/>
    <w:uiPriority w:val="99"/>
    <w:unhideWhenUsed/>
    <w:rsid w:val="00326F90"/>
    <w:pPr>
      <w:numPr>
        <w:numId w:val="1"/>
      </w:numPr>
      <w:contextualSpacing/>
    </w:pPr>
  </w:style>
  <w:style w:type="paragraph" w:styleId="Puntoelenco2">
    <w:name w:val="List Bullet 2"/>
    <w:basedOn w:val="Normale"/>
    <w:uiPriority w:val="99"/>
    <w:unhideWhenUsed/>
    <w:rsid w:val="00326F90"/>
    <w:pPr>
      <w:numPr>
        <w:numId w:val="2"/>
      </w:numPr>
      <w:contextualSpacing/>
    </w:pPr>
  </w:style>
  <w:style w:type="paragraph" w:styleId="Puntoelenco3">
    <w:name w:val="List Bullet 3"/>
    <w:basedOn w:val="Normale"/>
    <w:uiPriority w:val="99"/>
    <w:unhideWhenUsed/>
    <w:rsid w:val="00326F90"/>
    <w:pPr>
      <w:numPr>
        <w:numId w:val="3"/>
      </w:numPr>
      <w:contextualSpacing/>
    </w:pPr>
  </w:style>
  <w:style w:type="paragraph" w:styleId="Numeroelenco">
    <w:name w:val="List Number"/>
    <w:basedOn w:val="Normale"/>
    <w:uiPriority w:val="99"/>
    <w:unhideWhenUsed/>
    <w:rsid w:val="00326F90"/>
    <w:pPr>
      <w:numPr>
        <w:numId w:val="5"/>
      </w:numPr>
      <w:contextualSpacing/>
    </w:pPr>
  </w:style>
  <w:style w:type="paragraph" w:styleId="Numeroelenco2">
    <w:name w:val="List Number 2"/>
    <w:basedOn w:val="Normale"/>
    <w:uiPriority w:val="99"/>
    <w:unhideWhenUsed/>
    <w:rsid w:val="0029639D"/>
    <w:pPr>
      <w:numPr>
        <w:numId w:val="6"/>
      </w:numPr>
      <w:contextualSpacing/>
    </w:pPr>
  </w:style>
  <w:style w:type="paragraph" w:styleId="Numeroelenco3">
    <w:name w:val="List Number 3"/>
    <w:basedOn w:val="Normale"/>
    <w:uiPriority w:val="99"/>
    <w:unhideWhenUsed/>
    <w:rsid w:val="0029639D"/>
    <w:pPr>
      <w:numPr>
        <w:numId w:val="7"/>
      </w:numPr>
      <w:contextualSpacing/>
    </w:pPr>
  </w:style>
  <w:style w:type="paragraph" w:styleId="Elencocontinua">
    <w:name w:val="List Continue"/>
    <w:basedOn w:val="Normale"/>
    <w:uiPriority w:val="99"/>
    <w:unhideWhenUsed/>
    <w:rsid w:val="0029639D"/>
    <w:pPr>
      <w:spacing w:after="120"/>
      <w:ind w:left="360"/>
      <w:contextualSpacing/>
    </w:pPr>
  </w:style>
  <w:style w:type="paragraph" w:styleId="Elencocontinua2">
    <w:name w:val="List Continue 2"/>
    <w:basedOn w:val="Normale"/>
    <w:uiPriority w:val="99"/>
    <w:unhideWhenUsed/>
    <w:rsid w:val="0029639D"/>
    <w:pPr>
      <w:spacing w:after="120"/>
      <w:ind w:left="720"/>
      <w:contextualSpacing/>
    </w:pPr>
  </w:style>
  <w:style w:type="paragraph" w:styleId="Elencocontinua3">
    <w:name w:val="List Continue 3"/>
    <w:basedOn w:val="Normale"/>
    <w:uiPriority w:val="99"/>
    <w:unhideWhenUsed/>
    <w:rsid w:val="0029639D"/>
    <w:pPr>
      <w:spacing w:after="120"/>
      <w:ind w:left="1080"/>
      <w:contextualSpacing/>
    </w:pPr>
  </w:style>
  <w:style w:type="paragraph" w:styleId="Testomacro">
    <w:name w:val="macro"/>
    <w:link w:val="TestomacroCarattere"/>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stomacroCarattere">
    <w:name w:val="Testo macro Carattere"/>
    <w:basedOn w:val="Carpredefinitoparagrafo"/>
    <w:link w:val="Testomacro"/>
    <w:uiPriority w:val="99"/>
    <w:rsid w:val="0029639D"/>
    <w:rPr>
      <w:rFonts w:ascii="Courier" w:hAnsi="Courier"/>
      <w:sz w:val="20"/>
      <w:szCs w:val="20"/>
    </w:rPr>
  </w:style>
  <w:style w:type="paragraph" w:styleId="Citazione">
    <w:name w:val="Quote"/>
    <w:basedOn w:val="Normale"/>
    <w:next w:val="Normale"/>
    <w:link w:val="CitazioneCarattere"/>
    <w:uiPriority w:val="29"/>
    <w:qFormat/>
    <w:rsid w:val="00FC693F"/>
    <w:rPr>
      <w:i/>
      <w:iCs/>
      <w:color w:val="000000" w:themeColor="text1"/>
    </w:rPr>
  </w:style>
  <w:style w:type="character" w:customStyle="1" w:styleId="CitazioneCarattere">
    <w:name w:val="Citazione Carattere"/>
    <w:basedOn w:val="Carpredefinitoparagrafo"/>
    <w:link w:val="Citazione"/>
    <w:uiPriority w:val="29"/>
    <w:rsid w:val="00FC693F"/>
    <w:rPr>
      <w:i/>
      <w:iCs/>
      <w:color w:val="000000" w:themeColor="text1"/>
    </w:rPr>
  </w:style>
  <w:style w:type="character" w:customStyle="1" w:styleId="Titolo4Carattere">
    <w:name w:val="Titolo 4 Carattere"/>
    <w:basedOn w:val="Carpredefinitoparagrafo"/>
    <w:link w:val="Titolo4"/>
    <w:uiPriority w:val="9"/>
    <w:semiHidden/>
    <w:rsid w:val="00FC693F"/>
    <w:rPr>
      <w:rFonts w:asciiTheme="majorHAnsi" w:eastAsiaTheme="majorEastAsia" w:hAnsiTheme="majorHAnsi" w:cstheme="majorBidi"/>
      <w:b/>
      <w:bCs/>
      <w:i/>
      <w:iCs/>
      <w:color w:val="4F81BD" w:themeColor="accent1"/>
    </w:rPr>
  </w:style>
  <w:style w:type="character" w:customStyle="1" w:styleId="Titolo5Carattere">
    <w:name w:val="Titolo 5 Carattere"/>
    <w:basedOn w:val="Carpredefinitoparagrafo"/>
    <w:link w:val="Titolo5"/>
    <w:uiPriority w:val="9"/>
    <w:semiHidden/>
    <w:rsid w:val="00FC693F"/>
    <w:rPr>
      <w:rFonts w:asciiTheme="majorHAnsi" w:eastAsiaTheme="majorEastAsia" w:hAnsiTheme="majorHAnsi" w:cstheme="majorBidi"/>
      <w:color w:val="243F60" w:themeColor="accent1" w:themeShade="7F"/>
    </w:rPr>
  </w:style>
  <w:style w:type="character" w:customStyle="1" w:styleId="Titolo6Carattere">
    <w:name w:val="Titolo 6 Carattere"/>
    <w:basedOn w:val="Carpredefinitoparagrafo"/>
    <w:link w:val="Titolo6"/>
    <w:uiPriority w:val="9"/>
    <w:semiHidden/>
    <w:rsid w:val="00FC693F"/>
    <w:rPr>
      <w:rFonts w:asciiTheme="majorHAnsi" w:eastAsiaTheme="majorEastAsia" w:hAnsiTheme="majorHAnsi" w:cstheme="majorBidi"/>
      <w:i/>
      <w:iCs/>
      <w:color w:val="243F60" w:themeColor="accent1" w:themeShade="7F"/>
    </w:rPr>
  </w:style>
  <w:style w:type="character" w:customStyle="1" w:styleId="Titolo7Carattere">
    <w:name w:val="Titolo 7 Carattere"/>
    <w:basedOn w:val="Carpredefinitoparagrafo"/>
    <w:link w:val="Titolo7"/>
    <w:uiPriority w:val="9"/>
    <w:semiHidden/>
    <w:rsid w:val="00FC693F"/>
    <w:rPr>
      <w:rFonts w:asciiTheme="majorHAnsi" w:eastAsiaTheme="majorEastAsia" w:hAnsiTheme="majorHAnsi" w:cstheme="majorBidi"/>
      <w:i/>
      <w:iCs/>
      <w:color w:val="404040" w:themeColor="text1" w:themeTint="BF"/>
    </w:rPr>
  </w:style>
  <w:style w:type="character" w:customStyle="1" w:styleId="Titolo8Carattere">
    <w:name w:val="Titolo 8 Carattere"/>
    <w:basedOn w:val="Carpredefinitoparagrafo"/>
    <w:link w:val="Titolo8"/>
    <w:uiPriority w:val="9"/>
    <w:semiHidden/>
    <w:rsid w:val="00FC693F"/>
    <w:rPr>
      <w:rFonts w:asciiTheme="majorHAnsi" w:eastAsiaTheme="majorEastAsia" w:hAnsiTheme="majorHAnsi" w:cstheme="majorBidi"/>
      <w:color w:val="4F81BD" w:themeColor="accent1"/>
      <w:sz w:val="20"/>
      <w:szCs w:val="20"/>
    </w:rPr>
  </w:style>
  <w:style w:type="character" w:customStyle="1" w:styleId="Titolo9Carattere">
    <w:name w:val="Titolo 9 Carattere"/>
    <w:basedOn w:val="Carpredefinitoparagrafo"/>
    <w:link w:val="Titolo9"/>
    <w:uiPriority w:val="9"/>
    <w:semiHidden/>
    <w:rsid w:val="00FC693F"/>
    <w:rPr>
      <w:rFonts w:asciiTheme="majorHAnsi" w:eastAsiaTheme="majorEastAsia" w:hAnsiTheme="majorHAnsi" w:cstheme="majorBidi"/>
      <w:i/>
      <w:iCs/>
      <w:color w:val="404040" w:themeColor="text1" w:themeTint="BF"/>
      <w:sz w:val="20"/>
      <w:szCs w:val="20"/>
    </w:rPr>
  </w:style>
  <w:style w:type="paragraph" w:styleId="Didascalia">
    <w:name w:val="caption"/>
    <w:basedOn w:val="Normale"/>
    <w:next w:val="Normale"/>
    <w:uiPriority w:val="35"/>
    <w:semiHidden/>
    <w:unhideWhenUsed/>
    <w:qFormat/>
    <w:rsid w:val="00FC693F"/>
    <w:pPr>
      <w:spacing w:line="240" w:lineRule="auto"/>
    </w:pPr>
    <w:rPr>
      <w:b/>
      <w:bCs/>
      <w:color w:val="4F81BD" w:themeColor="accent1"/>
      <w:sz w:val="18"/>
      <w:szCs w:val="18"/>
    </w:rPr>
  </w:style>
  <w:style w:type="character" w:styleId="Enfasigrassetto">
    <w:name w:val="Strong"/>
    <w:basedOn w:val="Carpredefinitoparagrafo"/>
    <w:uiPriority w:val="22"/>
    <w:qFormat/>
    <w:rsid w:val="00FC693F"/>
    <w:rPr>
      <w:b/>
      <w:bCs/>
    </w:rPr>
  </w:style>
  <w:style w:type="character" w:styleId="Enfasicorsivo">
    <w:name w:val="Emphasis"/>
    <w:basedOn w:val="Carpredefinitoparagrafo"/>
    <w:uiPriority w:val="20"/>
    <w:qFormat/>
    <w:rsid w:val="00FC693F"/>
    <w:rPr>
      <w:i/>
      <w:iCs/>
    </w:rPr>
  </w:style>
  <w:style w:type="paragraph" w:styleId="Citazioneintensa">
    <w:name w:val="Intense Quote"/>
    <w:basedOn w:val="Normale"/>
    <w:next w:val="Normale"/>
    <w:link w:val="CitazioneintensaCarattere"/>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zioneintensaCarattere">
    <w:name w:val="Citazione intensa Carattere"/>
    <w:basedOn w:val="Carpredefinitoparagrafo"/>
    <w:link w:val="Citazioneintensa"/>
    <w:uiPriority w:val="30"/>
    <w:rsid w:val="00FC693F"/>
    <w:rPr>
      <w:b/>
      <w:bCs/>
      <w:i/>
      <w:iCs/>
      <w:color w:val="4F81BD" w:themeColor="accent1"/>
    </w:rPr>
  </w:style>
  <w:style w:type="character" w:styleId="Enfasidelicata">
    <w:name w:val="Subtle Emphasis"/>
    <w:basedOn w:val="Carpredefinitoparagrafo"/>
    <w:uiPriority w:val="19"/>
    <w:qFormat/>
    <w:rsid w:val="00FC693F"/>
    <w:rPr>
      <w:i/>
      <w:iCs/>
      <w:color w:val="808080" w:themeColor="text1" w:themeTint="7F"/>
    </w:rPr>
  </w:style>
  <w:style w:type="character" w:styleId="Enfasiintensa">
    <w:name w:val="Intense Emphasis"/>
    <w:basedOn w:val="Carpredefinitoparagrafo"/>
    <w:uiPriority w:val="21"/>
    <w:qFormat/>
    <w:rsid w:val="00FC693F"/>
    <w:rPr>
      <w:b/>
      <w:bCs/>
      <w:i/>
      <w:iCs/>
      <w:color w:val="4F81BD" w:themeColor="accent1"/>
    </w:rPr>
  </w:style>
  <w:style w:type="character" w:styleId="Riferimentodelicato">
    <w:name w:val="Subtle Reference"/>
    <w:basedOn w:val="Carpredefinitoparagrafo"/>
    <w:uiPriority w:val="31"/>
    <w:qFormat/>
    <w:rsid w:val="00FC693F"/>
    <w:rPr>
      <w:smallCaps/>
      <w:color w:val="C0504D" w:themeColor="accent2"/>
      <w:u w:val="single"/>
    </w:rPr>
  </w:style>
  <w:style w:type="character" w:styleId="Riferimentointenso">
    <w:name w:val="Intense Reference"/>
    <w:basedOn w:val="Carpredefinitoparagrafo"/>
    <w:uiPriority w:val="32"/>
    <w:qFormat/>
    <w:rsid w:val="00FC693F"/>
    <w:rPr>
      <w:b/>
      <w:bCs/>
      <w:smallCaps/>
      <w:color w:val="C0504D" w:themeColor="accent2"/>
      <w:spacing w:val="5"/>
      <w:u w:val="single"/>
    </w:rPr>
  </w:style>
  <w:style w:type="character" w:styleId="Titolodellibro">
    <w:name w:val="Book Title"/>
    <w:basedOn w:val="Carpredefinitoparagrafo"/>
    <w:uiPriority w:val="33"/>
    <w:qFormat/>
    <w:rsid w:val="00FC693F"/>
    <w:rPr>
      <w:b/>
      <w:bCs/>
      <w:smallCaps/>
      <w:spacing w:val="5"/>
    </w:rPr>
  </w:style>
  <w:style w:type="paragraph" w:styleId="Titolosommario">
    <w:name w:val="TOC Heading"/>
    <w:basedOn w:val="Titolo1"/>
    <w:next w:val="Normale"/>
    <w:uiPriority w:val="39"/>
    <w:semiHidden/>
    <w:unhideWhenUsed/>
    <w:qFormat/>
    <w:rsid w:val="00FC693F"/>
    <w:pPr>
      <w:outlineLvl w:val="9"/>
    </w:pPr>
  </w:style>
  <w:style w:type="table" w:styleId="Grigliatabella">
    <w:name w:val="Table Grid"/>
    <w:basedOn w:val="Tabellanorma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fondochiaro">
    <w:name w:val="Light Shading"/>
    <w:basedOn w:val="Tabellanorma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fondochiaro-Colore1">
    <w:name w:val="Light Shading Accent 1"/>
    <w:basedOn w:val="Tabellanorma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fondochiaro-Colore2">
    <w:name w:val="Light Shading Accent 2"/>
    <w:basedOn w:val="Tabellanorma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fondochiaro-Colore3">
    <w:name w:val="Light Shading Accent 3"/>
    <w:basedOn w:val="Tabellanorma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fondochiaro-Colore4">
    <w:name w:val="Light Shading Accent 4"/>
    <w:basedOn w:val="Tabellanorma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fondochiaro-Colore5">
    <w:name w:val="Light Shading Accent 5"/>
    <w:basedOn w:val="Tabellanorma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fondochiaro-Colore6">
    <w:name w:val="Light Shading Accent 6"/>
    <w:basedOn w:val="Tabellanorma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Elencochiaro">
    <w:name w:val="Light List"/>
    <w:basedOn w:val="Tabellanorma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Elencochiaro-Colore1">
    <w:name w:val="Light List Accent 1"/>
    <w:basedOn w:val="Tabellanorma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Elencochiaro-Colore2">
    <w:name w:val="Light List Accent 2"/>
    <w:basedOn w:val="Tabellanorma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Elencochiaro-Colore3">
    <w:name w:val="Light List Accent 3"/>
    <w:basedOn w:val="Tabellanorma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Elencochiaro-Colore4">
    <w:name w:val="Light List Accent 4"/>
    <w:basedOn w:val="Tabellanorma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Elencochiaro-Colore5">
    <w:name w:val="Light List Accent 5"/>
    <w:basedOn w:val="Tabellanorma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Elencochiaro-Colore6">
    <w:name w:val="Light List Accent 6"/>
    <w:basedOn w:val="Tabellanorma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gliachiara">
    <w:name w:val="Light Grid"/>
    <w:basedOn w:val="Tabellanorma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gliachiara-Colore1">
    <w:name w:val="Light Grid Accent 1"/>
    <w:basedOn w:val="Tabellanorma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gliachiara-Colore2">
    <w:name w:val="Light Grid Accent 2"/>
    <w:basedOn w:val="Tabellanorma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gliachiara-Colore3">
    <w:name w:val="Light Grid Accent 3"/>
    <w:basedOn w:val="Tabellanorma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gliachiara-Colore4">
    <w:name w:val="Light Grid Accent 4"/>
    <w:basedOn w:val="Tabellanorma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gliachiara-Colore5">
    <w:name w:val="Light Grid Accent 5"/>
    <w:basedOn w:val="Tabellanorma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gliachiara-Colore6">
    <w:name w:val="Light Grid Accent 6"/>
    <w:basedOn w:val="Tabellanorma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fondomedio1">
    <w:name w:val="Medium Shading 1"/>
    <w:basedOn w:val="Tabellanorma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fondomedio1-Colore1">
    <w:name w:val="Medium Shading 1 Accent 1"/>
    <w:basedOn w:val="Tabellanorma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fondomedio1-Colore2">
    <w:name w:val="Medium Shading 1 Accent 2"/>
    <w:basedOn w:val="Tabellanorma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fondomedio1-Colore3">
    <w:name w:val="Medium Shading 1 Accent 3"/>
    <w:basedOn w:val="Tabellanorma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fondomedio1-Colore4">
    <w:name w:val="Medium Shading 1 Accent 4"/>
    <w:basedOn w:val="Tabellanorma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fondomedio1-Colore5">
    <w:name w:val="Medium Shading 1 Accent 5"/>
    <w:basedOn w:val="Tabellanorma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fondomedio1-Colore6">
    <w:name w:val="Medium Shading 1 Accent 6"/>
    <w:basedOn w:val="Tabellanorma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fondomedio2">
    <w:name w:val="Medium Shading 2"/>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1">
    <w:name w:val="Medium Shading 2 Accent 1"/>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2">
    <w:name w:val="Medium Shading 2 Accent 2"/>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3">
    <w:name w:val="Medium Shading 2 Accent 3"/>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4">
    <w:name w:val="Medium Shading 2 Accent 4"/>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5">
    <w:name w:val="Medium Shading 2 Accent 5"/>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6">
    <w:name w:val="Medium Shading 2 Accent 6"/>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Elencomedio1">
    <w:name w:val="Medium List 1"/>
    <w:basedOn w:val="Tabellanorma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Elencomedio1-Colore1">
    <w:name w:val="Medium List 1 Accent 1"/>
    <w:basedOn w:val="Tabellanorma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Elencomedio1-Colore2">
    <w:name w:val="Medium List 1 Accent 2"/>
    <w:basedOn w:val="Tabellanorma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Elencomedio1-Colore3">
    <w:name w:val="Medium List 1 Accent 3"/>
    <w:basedOn w:val="Tabellanorma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Elencomedio1-Colore4">
    <w:name w:val="Medium List 1 Accent 4"/>
    <w:basedOn w:val="Tabellanorma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Elencomedio1-Colore5">
    <w:name w:val="Medium List 1 Accent 5"/>
    <w:basedOn w:val="Tabellanorma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Elencomedio1-Colore6">
    <w:name w:val="Medium List 1 Accent 6"/>
    <w:basedOn w:val="Tabellanorma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Elencomedio2">
    <w:name w:val="Medium List 2"/>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1">
    <w:name w:val="Medium List 2 Accent 1"/>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2">
    <w:name w:val="Medium List 2 Accent 2"/>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3">
    <w:name w:val="Medium List 2 Accent 3"/>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4">
    <w:name w:val="Medium List 2 Accent 4"/>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5">
    <w:name w:val="Medium List 2 Accent 5"/>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6">
    <w:name w:val="Medium List 2 Accent 6"/>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gliamedia1">
    <w:name w:val="Medium Grid 1"/>
    <w:basedOn w:val="Tabellanorma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gliamedia1-Colore1">
    <w:name w:val="Medium Grid 1 Accent 1"/>
    <w:basedOn w:val="Tabellanorma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gliamedia1-Colore2">
    <w:name w:val="Medium Grid 1 Accent 2"/>
    <w:basedOn w:val="Tabellanorma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gliamedia1-Colore3">
    <w:name w:val="Medium Grid 1 Accent 3"/>
    <w:basedOn w:val="Tabellanorma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gliamedia1-Colore4">
    <w:name w:val="Medium Grid 1 Accent 4"/>
    <w:basedOn w:val="Tabellanorma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gliamedia1-Colore5">
    <w:name w:val="Medium Grid 1 Accent 5"/>
    <w:basedOn w:val="Tabellanorma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gliamedia1-Colore6">
    <w:name w:val="Medium Grid 1 Accent 6"/>
    <w:basedOn w:val="Tabellanorma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gliamedia2">
    <w:name w:val="Medium Grid 2"/>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gliamedia2-Colore1">
    <w:name w:val="Medium Grid 2 Accent 1"/>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gliamedia2-Colore2">
    <w:name w:val="Medium Grid 2 Accent 2"/>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gliamedia2-Colore3">
    <w:name w:val="Medium Grid 2 Accent 3"/>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gliamedia2-Colore4">
    <w:name w:val="Medium Grid 2 Accent 4"/>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gliamedia2-Colore5">
    <w:name w:val="Medium Grid 2 Accent 5"/>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gliamedia2-Colore6">
    <w:name w:val="Medium Grid 2 Accent 6"/>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gliamedia3">
    <w:name w:val="Medium Grid 3"/>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gliamedia3-Colore1">
    <w:name w:val="Medium Grid 3 Accent 1"/>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gliamedia3-Colore2">
    <w:name w:val="Medium Grid 3 Accent 2"/>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gliamedia3-Colore3">
    <w:name w:val="Medium Grid 3 Accent 3"/>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gliamedia3-Colore4">
    <w:name w:val="Medium Grid 3 Accent 4"/>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gliamedia3-Colore5">
    <w:name w:val="Medium Grid 3 Accent 5"/>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gliamedia3-Colore6">
    <w:name w:val="Medium Grid 3 Accent 6"/>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Elencoscuro">
    <w:name w:val="Dark List"/>
    <w:basedOn w:val="Tabellanorma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Elencoscuro-Colore1">
    <w:name w:val="Dark List Accent 1"/>
    <w:basedOn w:val="Tabellanorma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Elencoscuro-Colore2">
    <w:name w:val="Dark List Accent 2"/>
    <w:basedOn w:val="Tabellanorma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Elencoscuro-Colore3">
    <w:name w:val="Dark List Accent 3"/>
    <w:basedOn w:val="Tabellanorma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Elencoscuro-Colore4">
    <w:name w:val="Dark List Accent 4"/>
    <w:basedOn w:val="Tabellanorma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Elencoscuro-Colore5">
    <w:name w:val="Dark List Accent 5"/>
    <w:basedOn w:val="Tabellanorma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Elencoscuro-Colore6">
    <w:name w:val="Dark List Accent 6"/>
    <w:basedOn w:val="Tabellanorma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fondoacolori">
    <w:name w:val="Colorful Shading"/>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fondoacolori-Colore1">
    <w:name w:val="Colorful Shading Accent 1"/>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fondoacolori-Colore2">
    <w:name w:val="Colorful Shading Accent 2"/>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fondoacolori-Colore3">
    <w:name w:val="Colorful Shading Accent 3"/>
    <w:basedOn w:val="Tabellanorma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fondoacolori-Colore4">
    <w:name w:val="Colorful Shading Accent 4"/>
    <w:basedOn w:val="Tabellanorma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fondoacolori-Colore5">
    <w:name w:val="Colorful Shading Accent 5"/>
    <w:basedOn w:val="Tabellanorma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fondoacolori-Colore6">
    <w:name w:val="Colorful Shading Accent 6"/>
    <w:basedOn w:val="Tabellanorma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Elencoacolori">
    <w:name w:val="Colorful List"/>
    <w:basedOn w:val="Tabellanorma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Elencoacolori-Colore1">
    <w:name w:val="Colorful List Accent 1"/>
    <w:basedOn w:val="Tabellanorma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Elencoacolori-Colore2">
    <w:name w:val="Colorful List Accent 2"/>
    <w:basedOn w:val="Tabellanorma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Elencoacolori-Colore3">
    <w:name w:val="Colorful List Accent 3"/>
    <w:basedOn w:val="Tabellanorma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Elencoacolori-Colore4">
    <w:name w:val="Colorful List Accent 4"/>
    <w:basedOn w:val="Tabellanorma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Elencoacolori-Colore5">
    <w:name w:val="Colorful List Accent 5"/>
    <w:basedOn w:val="Tabellanorma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Elencoacolori-Colore6">
    <w:name w:val="Colorful List Accent 6"/>
    <w:basedOn w:val="Tabellanorma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gliaacolori">
    <w:name w:val="Colorful Grid"/>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gliaacolori-Colore1">
    <w:name w:val="Colorful Grid Accent 1"/>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gliaacolori-Colore2">
    <w:name w:val="Colorful Grid Accent 2"/>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gliaacolori-Colore3">
    <w:name w:val="Colorful Grid Accent 3"/>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gliaacolori-Colore4">
    <w:name w:val="Colorful Grid Accent 4"/>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gliaacolori-Colore5">
    <w:name w:val="Colorful Grid Accent 5"/>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gliaacolori-Colore6">
    <w:name w:val="Colorful Grid Accent 6"/>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6</Pages>
  <Words>2617</Words>
  <Characters>14923</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17505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 svolte degli anni Settanta: distensione, crisi energetica e trasformazioni geopolitiche</dc:title>
  <dc:subject>Riassunto Capitolo 18</dc:subject>
  <dc:creator/>
  <cp:keywords/>
  <dc:description>generated by python-docx</dc:description>
  <cp:lastModifiedBy>Roberto Guerini</cp:lastModifiedBy>
  <cp:revision>2</cp:revision>
  <dcterms:created xsi:type="dcterms:W3CDTF">2013-12-23T23:15:00Z</dcterms:created>
  <dcterms:modified xsi:type="dcterms:W3CDTF">2026-05-29T20:23:00Z</dcterms:modified>
  <cp:category/>
</cp:coreProperties>
</file>