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0D60FD" w14:textId="77777777" w:rsidR="00727642" w:rsidRPr="00834A91" w:rsidRDefault="00000000">
      <w:pPr>
        <w:spacing w:after="240"/>
        <w:jc w:val="center"/>
        <w:rPr>
          <w:lang w:val="it-IT"/>
        </w:rPr>
      </w:pPr>
      <w:r w:rsidRPr="00834A91">
        <w:rPr>
          <w:b/>
          <w:sz w:val="30"/>
          <w:lang w:val="it-IT"/>
        </w:rPr>
        <w:t>I mutamenti dello scenario mondiale all’inizio del Novecento</w:t>
      </w:r>
    </w:p>
    <w:p w14:paraId="451A8D22" w14:textId="77777777" w:rsidR="00727642" w:rsidRPr="00834A91" w:rsidRDefault="00000000">
      <w:pPr>
        <w:keepNext/>
        <w:spacing w:before="240"/>
        <w:rPr>
          <w:lang w:val="it-IT"/>
        </w:rPr>
      </w:pPr>
      <w:r w:rsidRPr="00834A91">
        <w:rPr>
          <w:b/>
          <w:sz w:val="28"/>
          <w:lang w:val="it-IT"/>
        </w:rPr>
        <w:t>La trasformazione del nazionalismo europeo</w:t>
      </w:r>
    </w:p>
    <w:p w14:paraId="26A5323C" w14:textId="77777777" w:rsidR="00727642" w:rsidRPr="00834A91" w:rsidRDefault="00000000">
      <w:pPr>
        <w:rPr>
          <w:lang w:val="it-IT"/>
        </w:rPr>
      </w:pPr>
      <w:r w:rsidRPr="00834A91">
        <w:rPr>
          <w:lang w:val="it-IT"/>
        </w:rPr>
        <w:t>Alla fine del XIX secolo l’idea di nazione cambiò profondamente. Nell’Ottocento, soprattutto dopo la Rivoluzione francese, il concetto di nazione era stato legato a ideali politici e culturali come libertà, indipendenza e costituzione. I movimenti patriottici avevano combattuto contro la dominazione straniera in nome del binomio “patria e libertà”.</w:t>
      </w:r>
    </w:p>
    <w:p w14:paraId="2A84FC51" w14:textId="77777777" w:rsidR="00727642" w:rsidRPr="00834A91" w:rsidRDefault="00000000">
      <w:pPr>
        <w:rPr>
          <w:lang w:val="it-IT"/>
        </w:rPr>
      </w:pPr>
      <w:r w:rsidRPr="00834A91">
        <w:rPr>
          <w:lang w:val="it-IT"/>
        </w:rPr>
        <w:t>Tra la fine dell’Ottocento e l’inizio del Novecento, invece, il nazionalismo assunse un carattere più aggressivo. L’interesse nazionale cominciò a identificarsi con la potenza militare, il prestigio internazionale e la superiorità rispetto agli altri popoli. Il nazionalismo non fu alimentato solo dai contrasti coloniali, anche se la propaganda spesso collegava le conquiste coloniali alla vitalità della nazione. In molti casi, le imprese coloniali servivano anche a rafforzare il consenso interno, distogliendo l’attenzione dalle tensioni sociali e politiche.</w:t>
      </w:r>
    </w:p>
    <w:p w14:paraId="4AD08512" w14:textId="77777777" w:rsidR="00727642" w:rsidRPr="00834A91" w:rsidRDefault="00000000">
      <w:pPr>
        <w:rPr>
          <w:lang w:val="it-IT"/>
        </w:rPr>
      </w:pPr>
      <w:r w:rsidRPr="00834A91">
        <w:rPr>
          <w:lang w:val="it-IT"/>
        </w:rPr>
        <w:t>Un aspetto particolarmente pericoloso di questo nuovo nazionalismo fu il passaggio da un’idea politico-culturale della nazione a una concezione etnico-razziale. Da qui derivò la rinascita dell’antisemitismo, diffuso non solo nell’impero russo, ma anche nell’Europa centro-occidentale, soprattutto in Germania. Il nazionalismo alimentava la diffidenza verso le minoranze interne, considerate una minaccia alla compattezza nazionale.</w:t>
      </w:r>
    </w:p>
    <w:p w14:paraId="3C8DCE9E" w14:textId="77777777" w:rsidR="00727642" w:rsidRPr="00834A91" w:rsidRDefault="00000000">
      <w:pPr>
        <w:keepNext/>
        <w:spacing w:before="240"/>
        <w:rPr>
          <w:lang w:val="it-IT"/>
        </w:rPr>
      </w:pPr>
      <w:r w:rsidRPr="00834A91">
        <w:rPr>
          <w:b/>
          <w:sz w:val="28"/>
          <w:lang w:val="it-IT"/>
        </w:rPr>
        <w:t>Il nazionalismo tedesco e la Weltpolitik</w:t>
      </w:r>
    </w:p>
    <w:p w14:paraId="273C5D64" w14:textId="77777777" w:rsidR="00727642" w:rsidRPr="00834A91" w:rsidRDefault="00000000">
      <w:pPr>
        <w:rPr>
          <w:lang w:val="it-IT"/>
        </w:rPr>
      </w:pPr>
      <w:r w:rsidRPr="00834A91">
        <w:rPr>
          <w:lang w:val="it-IT"/>
        </w:rPr>
        <w:t>In Germania il nazionalismo assunse una forma particolarmente esasperata, militarista, antiparlamentare e antidemocratica. Le assemblee rappresentative e i partiti erano considerati ostacoli alla grandezza nazionale, perché accusati di favorire interessi personali, di classe o di parte invece di una politica internazionale di potenza.</w:t>
      </w:r>
    </w:p>
    <w:p w14:paraId="51D77E93" w14:textId="77777777" w:rsidR="00727642" w:rsidRPr="00834A91" w:rsidRDefault="00000000">
      <w:pPr>
        <w:rPr>
          <w:lang w:val="it-IT"/>
        </w:rPr>
      </w:pPr>
      <w:r w:rsidRPr="00834A91">
        <w:rPr>
          <w:lang w:val="it-IT"/>
        </w:rPr>
        <w:t>Le associazioni patriottiche tedesche sostenevano il primato della Germania in Europa, richiamandosi al pangermanesimo, cioè all’idea di riunire e affermare tutti i popoli di lingua e cultura tedesca. Esse diffondevano anche l’ossessione dell’accerchiamento, accusando le altre potenze di voler mantenere la Germania in una condizione di inferiorità.</w:t>
      </w:r>
    </w:p>
    <w:p w14:paraId="531F9E8D" w14:textId="77777777" w:rsidR="00727642" w:rsidRPr="00834A91" w:rsidRDefault="00000000">
      <w:pPr>
        <w:rPr>
          <w:lang w:val="it-IT"/>
        </w:rPr>
      </w:pPr>
      <w:r w:rsidRPr="00834A91">
        <w:rPr>
          <w:lang w:val="it-IT"/>
        </w:rPr>
        <w:t>La propaganda nazionalista tedesca si diffuse in modo capillare attraverso opuscoli, giornali e associazioni. Essa esaltava il Kaiser, la potenza dell’esercito e il progetto di una Germania più grande. Un ruolo importante fu svolto anche dagli insegnanti, che spesso trasmettevano questi ideali nelle scuole.</w:t>
      </w:r>
    </w:p>
    <w:p w14:paraId="7F125632" w14:textId="77777777" w:rsidR="00727642" w:rsidRPr="00834A91" w:rsidRDefault="00000000">
      <w:pPr>
        <w:rPr>
          <w:lang w:val="it-IT"/>
        </w:rPr>
      </w:pPr>
      <w:r w:rsidRPr="00834A91">
        <w:rPr>
          <w:lang w:val="it-IT"/>
        </w:rPr>
        <w:t xml:space="preserve">Sotto l’imperatore Guglielmo II, la Germania avviò una politica estera più aggressiva, chiamata Weltpolitik, cioè “politica mondiale”. Essa mirava all’espansione internazionale e al rafforzamento militare. Questo orientamento contribuì ad accrescere la diffidenza delle altre </w:t>
      </w:r>
      <w:r w:rsidRPr="00834A91">
        <w:rPr>
          <w:lang w:val="it-IT"/>
        </w:rPr>
        <w:lastRenderedPageBreak/>
        <w:t>potenze europee e favorì l’alleanza tra Francia e Russia, la Duplice Intesa del 1894, in funzione antitedesca.</w:t>
      </w:r>
    </w:p>
    <w:p w14:paraId="7D81A73C" w14:textId="77777777" w:rsidR="00727642" w:rsidRPr="00834A91" w:rsidRDefault="00000000">
      <w:pPr>
        <w:keepNext/>
        <w:spacing w:before="240"/>
        <w:rPr>
          <w:lang w:val="it-IT"/>
        </w:rPr>
      </w:pPr>
      <w:r w:rsidRPr="00834A91">
        <w:rPr>
          <w:b/>
          <w:sz w:val="28"/>
          <w:lang w:val="it-IT"/>
        </w:rPr>
        <w:t>Il nazionalismo francese e il revanscismo</w:t>
      </w:r>
    </w:p>
    <w:p w14:paraId="71F9985D" w14:textId="77777777" w:rsidR="00727642" w:rsidRPr="00834A91" w:rsidRDefault="00000000">
      <w:pPr>
        <w:rPr>
          <w:lang w:val="it-IT"/>
        </w:rPr>
      </w:pPr>
      <w:r w:rsidRPr="00834A91">
        <w:rPr>
          <w:lang w:val="it-IT"/>
        </w:rPr>
        <w:t>In Francia il nazionalismo fu segnato dal desiderio di rivincita contro la Germania. Questo sentimento, chiamato revanscismo, derivava dalla sconfitta subita nel 1870 contro la Prussia, che aveva comportato la perdita dell’Alsazia e della Lorena.</w:t>
      </w:r>
    </w:p>
    <w:p w14:paraId="0F571376" w14:textId="77777777" w:rsidR="00727642" w:rsidRPr="00834A91" w:rsidRDefault="00000000">
      <w:pPr>
        <w:rPr>
          <w:lang w:val="it-IT"/>
        </w:rPr>
      </w:pPr>
      <w:r w:rsidRPr="00834A91">
        <w:rPr>
          <w:lang w:val="it-IT"/>
        </w:rPr>
        <w:t>I nazionalisti francesi ritenevano inoltre che la Francia, dopo aver avuto un ruolo d’avanguardia con la Rivoluzione del 1789, avesse una missione civilizzatrice da svolgere in nome dell’Europa, della razionalità scientifica e del progresso sociale. Il nazionalismo francese, quindi, univa il desiderio di riscatto nazionale a una concezione della Francia come portatrice di valori universali.</w:t>
      </w:r>
    </w:p>
    <w:p w14:paraId="1A924A18" w14:textId="77777777" w:rsidR="00727642" w:rsidRPr="00834A91" w:rsidRDefault="00000000">
      <w:pPr>
        <w:rPr>
          <w:lang w:val="it-IT"/>
        </w:rPr>
      </w:pPr>
      <w:r w:rsidRPr="00834A91">
        <w:rPr>
          <w:lang w:val="it-IT"/>
        </w:rPr>
        <w:t>Nel 1899 si affermarono in Francia i governi radicali, che tentarono di attuare riforme sociali con l’appoggio del Partito socialista. Nel 1905 venne abolito il Concordato napoleonico, segnando un passaggio importante nel processo di laicizzazione dello Stato. Tuttavia, dal 1907, i radicali incontrarono l’opposizione della CGT, la principale organizzazione sindacale, che promosse numerosi scioperi. L’aumento delle tensioni sociali favorì la ripresa del nazionalismo.</w:t>
      </w:r>
    </w:p>
    <w:p w14:paraId="79314558" w14:textId="77777777" w:rsidR="00727642" w:rsidRPr="00834A91" w:rsidRDefault="00000000">
      <w:pPr>
        <w:keepNext/>
        <w:spacing w:before="240"/>
        <w:rPr>
          <w:lang w:val="it-IT"/>
        </w:rPr>
      </w:pPr>
      <w:r w:rsidRPr="00834A91">
        <w:rPr>
          <w:b/>
          <w:sz w:val="28"/>
          <w:lang w:val="it-IT"/>
        </w:rPr>
        <w:t>Il nazionalismo britannico e l’imperialismo progressista</w:t>
      </w:r>
    </w:p>
    <w:p w14:paraId="723E3DDF" w14:textId="77777777" w:rsidR="00727642" w:rsidRPr="00834A91" w:rsidRDefault="00000000">
      <w:pPr>
        <w:rPr>
          <w:lang w:val="it-IT"/>
        </w:rPr>
      </w:pPr>
      <w:r w:rsidRPr="00834A91">
        <w:rPr>
          <w:lang w:val="it-IT"/>
        </w:rPr>
        <w:t>In Gran Bretagna il nazionalismo ebbe caratteristiche diverse rispetto a quello tedesco. L’ideologia imperialista non mise mai in discussione la monarchia parlamentare né le istituzioni democratiche. Gli inglesi erano orgogliosi del proprio sistema politico e vedevano l’impero come espressione della grandezza nazionale.</w:t>
      </w:r>
    </w:p>
    <w:p w14:paraId="58D88C6C" w14:textId="77777777" w:rsidR="00727642" w:rsidRPr="00834A91" w:rsidRDefault="00000000">
      <w:pPr>
        <w:rPr>
          <w:lang w:val="it-IT"/>
        </w:rPr>
      </w:pPr>
      <w:r w:rsidRPr="00834A91">
        <w:rPr>
          <w:lang w:val="it-IT"/>
        </w:rPr>
        <w:t>L’imperialismo britannico era giustificato anche con l’idea di una missione civilizzatrice. Molti inglesi ritenevano di avere il compito storico di emancipare le popolazioni indigene considerate arretrate. Per una parte dell’opinione pubblica, l’imperialismo britannico appariva dunque come un imperialismo “progressista”, rispettoso, almeno nella rappresentazione ideologica, delle tradizioni locali, come nel caso dell’India.</w:t>
      </w:r>
    </w:p>
    <w:p w14:paraId="068FE12E" w14:textId="77777777" w:rsidR="00727642" w:rsidRPr="00834A91" w:rsidRDefault="00000000">
      <w:pPr>
        <w:rPr>
          <w:lang w:val="it-IT"/>
        </w:rPr>
      </w:pPr>
      <w:r w:rsidRPr="00834A91">
        <w:rPr>
          <w:lang w:val="it-IT"/>
        </w:rPr>
        <w:t>All’inizio del XX secolo, però, il primato inglese iniziò a entrare in una fase di declino. Ciò favorì l’emergere di istanze nazionalistiche e il rafforzamento dell’ideologia imperialista, senza tuttavia compromettere la solidità delle istituzioni parlamentari.</w:t>
      </w:r>
    </w:p>
    <w:p w14:paraId="58BE624C" w14:textId="77777777" w:rsidR="00727642" w:rsidRPr="00834A91" w:rsidRDefault="00000000">
      <w:pPr>
        <w:keepNext/>
        <w:spacing w:before="240"/>
        <w:rPr>
          <w:lang w:val="it-IT"/>
        </w:rPr>
      </w:pPr>
      <w:r w:rsidRPr="00834A91">
        <w:rPr>
          <w:b/>
          <w:sz w:val="28"/>
          <w:lang w:val="it-IT"/>
        </w:rPr>
        <w:t>Il declino dei grandi imperi</w:t>
      </w:r>
    </w:p>
    <w:p w14:paraId="1ACDED7B" w14:textId="77777777" w:rsidR="00727642" w:rsidRPr="00834A91" w:rsidRDefault="00000000">
      <w:pPr>
        <w:rPr>
          <w:lang w:val="it-IT"/>
        </w:rPr>
      </w:pPr>
      <w:r w:rsidRPr="00834A91">
        <w:rPr>
          <w:lang w:val="it-IT"/>
        </w:rPr>
        <w:t xml:space="preserve">All’inizio del Novecento i “grandi malati” d’Europa erano diversi. L’espressione, usata da tempo per indicare l’impero ottomano, poteva ormai essere applicata anche alla Russia zarista e all’impero austro-ungarico. La Russia era ancora prevalentemente rurale, povera e dominata dal </w:t>
      </w:r>
      <w:r w:rsidRPr="00834A91">
        <w:rPr>
          <w:lang w:val="it-IT"/>
        </w:rPr>
        <w:lastRenderedPageBreak/>
        <w:t>potere autocratico dello zar. L’impero asburgico, invece, era indebolito da forti squilibri economici, sociali ed etnici. L’impero ottomano, infine, appariva in piena decadenza politica e militare.</w:t>
      </w:r>
    </w:p>
    <w:p w14:paraId="691C426D" w14:textId="77777777" w:rsidR="00727642" w:rsidRPr="00834A91" w:rsidRDefault="00000000">
      <w:pPr>
        <w:keepNext/>
        <w:spacing w:before="240"/>
        <w:rPr>
          <w:lang w:val="it-IT"/>
        </w:rPr>
      </w:pPr>
      <w:r w:rsidRPr="00834A91">
        <w:rPr>
          <w:b/>
          <w:sz w:val="28"/>
          <w:lang w:val="it-IT"/>
        </w:rPr>
        <w:t>La Russia zarista: modernizzazione incompleta e arretratezza sociale</w:t>
      </w:r>
    </w:p>
    <w:p w14:paraId="7C2D3905" w14:textId="77777777" w:rsidR="00727642" w:rsidRPr="00834A91" w:rsidRDefault="00000000">
      <w:pPr>
        <w:rPr>
          <w:lang w:val="it-IT"/>
        </w:rPr>
      </w:pPr>
      <w:r w:rsidRPr="00834A91">
        <w:rPr>
          <w:lang w:val="it-IT"/>
        </w:rPr>
        <w:t>Tra la fine del XIX e l’inizio del XX secolo la Russia conobbe una certa crescita industriale, soprattutto nell’industria pesante. Si ampliarono il mercato interno e la popolazione aumentò in modo significativo. L’inaugurazione, nel 1904, della ferrovia Transiberiana, lunga oltre 9.000 chilometri e capace di collegare Mosca e San Pietroburgo alle città affacciate sull’Oceano Pacifico, sembrò simboleggiare l’ingresso della Russia nella modernità.</w:t>
      </w:r>
    </w:p>
    <w:p w14:paraId="6DF16475" w14:textId="77777777" w:rsidR="00727642" w:rsidRPr="00834A91" w:rsidRDefault="00000000">
      <w:pPr>
        <w:rPr>
          <w:lang w:val="it-IT"/>
        </w:rPr>
      </w:pPr>
      <w:r w:rsidRPr="00834A91">
        <w:rPr>
          <w:lang w:val="it-IT"/>
        </w:rPr>
        <w:t>Tuttavia, questa modernizzazione era fragile e squilibrata. Lo sviluppo economico non era il risultato di una crescita autonoma della società, ma dipendeva in larga parte dall’iniziativa dello Stato. Le fabbriche erano concentrate in poche grandi città, soprattutto Mosca e Pietroburgo, mentre il resto del paese rimaneva prevalentemente agricolo. All’inizio del Novecento più dell’80% della popolazione viveva ancora di agricoltura e nelle campagne sopravvivevano ordinamenti semifeudali.</w:t>
      </w:r>
    </w:p>
    <w:p w14:paraId="60A7CF38" w14:textId="77777777" w:rsidR="00727642" w:rsidRPr="00834A91" w:rsidRDefault="00000000">
      <w:pPr>
        <w:rPr>
          <w:lang w:val="it-IT"/>
        </w:rPr>
      </w:pPr>
      <w:r w:rsidRPr="00834A91">
        <w:rPr>
          <w:lang w:val="it-IT"/>
        </w:rPr>
        <w:t>Sul piano politico, la Russia era molto lontana dai modelli costituzionali europei. Il potere era interamente nelle mani dello zar, capo dello Stato e della Chiesa per diritto divino, sostenuto dalla Chiesa ortodossa e dalla nobiltà terriera. Le masse popolari vivevano in condizioni di estrema miseria: i contadini erano poveri e malnutriti, mentre gli operai ricevevano salari bassissimi e subivano condizioni di lavoro durissime. I sindacati e gli scioperi erano proibiti, e i diritti politici e civili non erano riconosciuti.</w:t>
      </w:r>
    </w:p>
    <w:p w14:paraId="20C574C8" w14:textId="77777777" w:rsidR="00727642" w:rsidRPr="00834A91" w:rsidRDefault="00000000">
      <w:pPr>
        <w:keepNext/>
        <w:spacing w:before="240"/>
        <w:rPr>
          <w:lang w:val="it-IT"/>
        </w:rPr>
      </w:pPr>
      <w:r w:rsidRPr="00834A91">
        <w:rPr>
          <w:b/>
          <w:sz w:val="28"/>
          <w:lang w:val="it-IT"/>
        </w:rPr>
        <w:t>Le ideologie rivoluzionarie in Russia</w:t>
      </w:r>
    </w:p>
    <w:p w14:paraId="521DE38A" w14:textId="77777777" w:rsidR="00727642" w:rsidRPr="00834A91" w:rsidRDefault="00000000">
      <w:pPr>
        <w:rPr>
          <w:lang w:val="it-IT"/>
        </w:rPr>
      </w:pPr>
      <w:r w:rsidRPr="00834A91">
        <w:rPr>
          <w:lang w:val="it-IT"/>
        </w:rPr>
        <w:t>In questo contesto di arretratezza e miseria, le ideologie rivoluzionarie esercitarono una forte attrazione. Il Partito socialista rivoluzionario, erede del populismo russo, sosteneva una via russa al socialismo fondata soprattutto sul mondo contadino, sulle tradizioni comunitarie rurali e su forme precapitalistiche di organizzazione sociale.</w:t>
      </w:r>
    </w:p>
    <w:p w14:paraId="5FAEF887" w14:textId="77777777" w:rsidR="00727642" w:rsidRPr="00834A91" w:rsidRDefault="00000000">
      <w:pPr>
        <w:rPr>
          <w:lang w:val="it-IT"/>
        </w:rPr>
      </w:pPr>
      <w:r w:rsidRPr="00834A91">
        <w:rPr>
          <w:lang w:val="it-IT"/>
        </w:rPr>
        <w:t>Nelle fabbriche si diffuse invece il marxismo, rappresentato dal Partito operaio socialdemocratico russo. Secondo i marxisti, la Russia avrebbe dovuto modernizzarsi e svilupparsi in senso capitalistico e borghese prima di creare le condizioni per una rivoluzione socialista guidata dal proletariato industriale.</w:t>
      </w:r>
    </w:p>
    <w:p w14:paraId="56813340" w14:textId="77777777" w:rsidR="00727642" w:rsidRPr="00834A91" w:rsidRDefault="00000000">
      <w:pPr>
        <w:rPr>
          <w:lang w:val="it-IT"/>
        </w:rPr>
      </w:pPr>
      <w:r w:rsidRPr="00834A91">
        <w:rPr>
          <w:lang w:val="it-IT"/>
        </w:rPr>
        <w:t xml:space="preserve">All’interno del Partito socialdemocratico emerse però una diversa interpretazione, sostenuta da Vladimir Il’ič Ul’janov, noto come Lenin. Nel suo opuscolo Che fare?, pubblicato nel 1902, Lenin sosteneva che la rivoluzione potesse essere guidata da un “partito di quadri”, cioè da un gruppo ristretto, selezionato e disciplinato di intellettuali e attivisti. Questo partito avrebbe dovuto </w:t>
      </w:r>
      <w:r w:rsidRPr="00834A91">
        <w:rPr>
          <w:lang w:val="it-IT"/>
        </w:rPr>
        <w:lastRenderedPageBreak/>
        <w:t>agire come avanguardia della classe operaia, anche in assenza delle condizioni economiche previste da Marx.</w:t>
      </w:r>
    </w:p>
    <w:p w14:paraId="359800C8" w14:textId="77777777" w:rsidR="00727642" w:rsidRPr="00834A91" w:rsidRDefault="00000000">
      <w:pPr>
        <w:rPr>
          <w:lang w:val="it-IT"/>
        </w:rPr>
      </w:pPr>
      <w:r w:rsidRPr="00834A91">
        <w:rPr>
          <w:lang w:val="it-IT"/>
        </w:rPr>
        <w:t>Il contrasto tra Lenin e Georgij Valentinovič Plechanov, considerato il padre del marxismo russo, portò alla divisione del Partito socialdemocratico in due fazioni:</w:t>
      </w:r>
    </w:p>
    <w:p w14:paraId="2362CD07" w14:textId="77777777" w:rsidR="00727642" w:rsidRPr="00834A91" w:rsidRDefault="00000000">
      <w:pPr>
        <w:pStyle w:val="Puntoelenco"/>
        <w:spacing w:after="60"/>
        <w:ind w:left="397"/>
        <w:rPr>
          <w:lang w:val="it-IT"/>
        </w:rPr>
      </w:pPr>
      <w:r w:rsidRPr="00834A91">
        <w:rPr>
          <w:lang w:val="it-IT"/>
        </w:rPr>
        <w:t>i bolscevichi, cioè “la maggioranza”, favorevoli alla tesi di Lenin e al partito rivoluzionario d’avanguardia;</w:t>
      </w:r>
    </w:p>
    <w:p w14:paraId="20604D40" w14:textId="77777777" w:rsidR="00727642" w:rsidRPr="00834A91" w:rsidRDefault="00000000">
      <w:pPr>
        <w:pStyle w:val="Puntoelenco"/>
        <w:spacing w:after="60"/>
        <w:ind w:left="397"/>
        <w:rPr>
          <w:lang w:val="it-IT"/>
        </w:rPr>
      </w:pPr>
      <w:r w:rsidRPr="00834A91">
        <w:rPr>
          <w:lang w:val="it-IT"/>
        </w:rPr>
        <w:t>i menscevichi, cioè “la minoranza”, fedeli al modello del partito di massa della Seconda Internazionale e convinti che la Russia dovesse prima trasformarsi in una liberal-democrazia capitalistica e borghese.</w:t>
      </w:r>
    </w:p>
    <w:p w14:paraId="29806392" w14:textId="77777777" w:rsidR="00727642" w:rsidRPr="00834A91" w:rsidRDefault="00000000">
      <w:pPr>
        <w:keepNext/>
        <w:spacing w:before="240"/>
        <w:rPr>
          <w:lang w:val="it-IT"/>
        </w:rPr>
      </w:pPr>
      <w:r w:rsidRPr="00834A91">
        <w:rPr>
          <w:b/>
          <w:sz w:val="28"/>
          <w:lang w:val="it-IT"/>
        </w:rPr>
        <w:t>La domenica di sangue e la rivoluzione del 1905</w:t>
      </w:r>
    </w:p>
    <w:p w14:paraId="3D78B147" w14:textId="77777777" w:rsidR="00727642" w:rsidRPr="00834A91" w:rsidRDefault="00000000">
      <w:pPr>
        <w:rPr>
          <w:lang w:val="it-IT"/>
        </w:rPr>
      </w:pPr>
      <w:r w:rsidRPr="00834A91">
        <w:rPr>
          <w:lang w:val="it-IT"/>
        </w:rPr>
        <w:t>Il 9 gennaio 1905, secondo il calendario giuliano, corrispondente al 22 gennaio secondo il calendario gregoriano, una grande folla si radunò davanti al Palazzo d’Inverno di San Pietroburgo, residenza dello zar. A guidarla era il pope Georgij Apollonovič Gapon, che portava una petizione destinata allo zar Nicola II Romanov, salito al trono nel 1894.</w:t>
      </w:r>
    </w:p>
    <w:p w14:paraId="5A35D772" w14:textId="77777777" w:rsidR="00727642" w:rsidRPr="00834A91" w:rsidRDefault="00000000">
      <w:pPr>
        <w:rPr>
          <w:lang w:val="it-IT"/>
        </w:rPr>
      </w:pPr>
      <w:r w:rsidRPr="00834A91">
        <w:rPr>
          <w:lang w:val="it-IT"/>
        </w:rPr>
        <w:t>I manifestanti chiedevano la giornata lavorativa di nove ore, un giorno di riposo settimanale, l’abolizione delle imposte indirette, l’amnistia per i detenuti politici e soprattutto una Costituzione. La protesta era alimentata anche dai sacrifici imposti dalla guerra contro il Giappone, iniziata nel 1904 per il controllo della Manciuria e destinata a concludersi con una disastrosa sconfitta russa.</w:t>
      </w:r>
    </w:p>
    <w:p w14:paraId="5E970468" w14:textId="77777777" w:rsidR="00727642" w:rsidRPr="00834A91" w:rsidRDefault="00000000">
      <w:pPr>
        <w:rPr>
          <w:lang w:val="it-IT"/>
        </w:rPr>
      </w:pPr>
      <w:r w:rsidRPr="00834A91">
        <w:rPr>
          <w:lang w:val="it-IT"/>
        </w:rPr>
        <w:t>Nonostante le richieste, la folla non appariva inizialmente rivoluzionaria: molti manifestanti portavano icone e ritratti dello zar, confidando ancora nella sua benevolenza. Nicola II, però, convinto di dover difendere l’autocrazia, ordinò all’esercito di sparare sulla folla. L’episodio passò alla storia come “domenica di sangue”.</w:t>
      </w:r>
    </w:p>
    <w:p w14:paraId="6290FB5F" w14:textId="77777777" w:rsidR="00727642" w:rsidRPr="00834A91" w:rsidRDefault="00000000">
      <w:pPr>
        <w:rPr>
          <w:lang w:val="it-IT"/>
        </w:rPr>
      </w:pPr>
      <w:r w:rsidRPr="00834A91">
        <w:rPr>
          <w:lang w:val="it-IT"/>
        </w:rPr>
        <w:t>La repressione spezzò il legame di fiducia tra lo zar e gran parte del popolo. Seguì un’ondata di scioperi che coinvolse operai, ferrovieri e impiegati delle poste. I contadini, guidati dai socialisti rivoluzionari, si sollevarono contro i proprietari terrieri. Anche i marinai della corazzata Potëmkin, nel Mar Nero, si ammutinarono. Nelle fabbriche e nelle campagne nacquero i primi soviet, consigli dei lavoratori che volevano creare una democrazia dal basso, sul modello della Comune di Parigi del 1871.</w:t>
      </w:r>
    </w:p>
    <w:p w14:paraId="6F08536F" w14:textId="77777777" w:rsidR="00727642" w:rsidRPr="00834A91" w:rsidRDefault="00000000">
      <w:pPr>
        <w:rPr>
          <w:lang w:val="it-IT"/>
        </w:rPr>
      </w:pPr>
      <w:r w:rsidRPr="00834A91">
        <w:rPr>
          <w:lang w:val="it-IT"/>
        </w:rPr>
        <w:t>Di fronte alla rivolta, nell’ottobre 1905 lo zar fu costretto a concedere libertà politiche e civili e l’elezione di un Parlamento, la Duma, dotato di ampi poteri legislativi. Il 27 aprile 1906, con la prima seduta della Duma, l’impero russo sembrò trasformarsi in una monarchia costituzionale. Tuttavia, questa trasformazione durò poco.</w:t>
      </w:r>
    </w:p>
    <w:p w14:paraId="2D75C70E" w14:textId="77777777" w:rsidR="00727642" w:rsidRPr="00834A91" w:rsidRDefault="00000000">
      <w:pPr>
        <w:keepNext/>
        <w:spacing w:before="240"/>
        <w:rPr>
          <w:lang w:val="it-IT"/>
        </w:rPr>
      </w:pPr>
      <w:r w:rsidRPr="00834A91">
        <w:rPr>
          <w:b/>
          <w:sz w:val="28"/>
          <w:lang w:val="it-IT"/>
        </w:rPr>
        <w:lastRenderedPageBreak/>
        <w:t>La restaurazione zarista e la riforma agraria di Stolypin</w:t>
      </w:r>
    </w:p>
    <w:p w14:paraId="1A623623" w14:textId="77777777" w:rsidR="00727642" w:rsidRPr="00834A91" w:rsidRDefault="00000000">
      <w:pPr>
        <w:rPr>
          <w:lang w:val="it-IT"/>
        </w:rPr>
      </w:pPr>
      <w:r w:rsidRPr="00834A91">
        <w:rPr>
          <w:lang w:val="it-IT"/>
        </w:rPr>
        <w:t>Dopo la conclusione della guerra contro il Giappone, lo zar cercò di ripristinare il proprio potere. Per ridurre il peso delle componenti liberali e democratiche, che avevano ottenuto la maggioranza nelle prime elezioni della Duma, venne approvata una nuova legge elettorale molto favorevole ai proprietari terrieri. Il voto di un solo proprietario terriero equivaleva a quello di circa quattro elettori dell’alta borghesia, 260 contadini e 540 operai. In questo modo, la terza Duma divenne uno strumento docile nelle mani dello zar.</w:t>
      </w:r>
    </w:p>
    <w:p w14:paraId="44C38C38" w14:textId="77777777" w:rsidR="00727642" w:rsidRPr="00834A91" w:rsidRDefault="00000000">
      <w:pPr>
        <w:rPr>
          <w:lang w:val="it-IT"/>
        </w:rPr>
      </w:pPr>
      <w:r w:rsidRPr="00834A91">
        <w:rPr>
          <w:lang w:val="it-IT"/>
        </w:rPr>
        <w:t>Dal 1906 il primo ministro Pëtr Arkad’evič Stolypin condusse una durissima repressione contro i rivoluzionari: migliaia di persone furono condannate all’esilio, alla fucilazione o alla deportazione in Siberia. Anche Lenin fu costretto all’esilio.</w:t>
      </w:r>
    </w:p>
    <w:p w14:paraId="1CE72054" w14:textId="77777777" w:rsidR="00727642" w:rsidRPr="00834A91" w:rsidRDefault="00000000">
      <w:pPr>
        <w:rPr>
          <w:lang w:val="it-IT"/>
        </w:rPr>
      </w:pPr>
      <w:r w:rsidRPr="00834A91">
        <w:rPr>
          <w:lang w:val="it-IT"/>
        </w:rPr>
        <w:t>Allo stesso tempo, Stolypin avviò un programma riformista, soprattutto in campo agrario. La sua riforma mirava a favorire, con agevolazioni creditizie, l’acquisto della terra da parte dei contadini. L’obiettivo era creare uno strato di piccoli e medi proprietari rurali, capace di attenuare la miseria delle campagne e sottrarre i contadini all’influenza dei gruppi rivoluzionari.</w:t>
      </w:r>
    </w:p>
    <w:p w14:paraId="69D00424" w14:textId="77777777" w:rsidR="00727642" w:rsidRPr="00834A91" w:rsidRDefault="00000000">
      <w:pPr>
        <w:rPr>
          <w:lang w:val="it-IT"/>
        </w:rPr>
      </w:pPr>
      <w:r w:rsidRPr="00834A91">
        <w:rPr>
          <w:lang w:val="it-IT"/>
        </w:rPr>
        <w:t>La riforma incontrò però forti opposizioni, sia da parte dei rivoluzionari sia dell’aristocrazia agraria. Stolypin fu assassinato nel 1911 e, alla sua morte, gli obiettivi della riforma erano stati raggiunti solo in minima parte. La Russia rimaneva quindi un paese segnato da fame, debolezza parlamentare, fragilità della borghesia e crescente diffusione delle idee rivoluzionarie.</w:t>
      </w:r>
    </w:p>
    <w:p w14:paraId="6C3BB9CF" w14:textId="77777777" w:rsidR="00727642" w:rsidRPr="00834A91" w:rsidRDefault="00000000">
      <w:pPr>
        <w:keepNext/>
        <w:spacing w:before="240"/>
        <w:rPr>
          <w:lang w:val="it-IT"/>
        </w:rPr>
      </w:pPr>
      <w:r w:rsidRPr="00834A91">
        <w:rPr>
          <w:b/>
          <w:sz w:val="28"/>
          <w:lang w:val="it-IT"/>
        </w:rPr>
        <w:t>L’impero austro-ungarico: sviluppo diseguale e tensioni nazionali</w:t>
      </w:r>
    </w:p>
    <w:p w14:paraId="4A542725" w14:textId="77777777" w:rsidR="00727642" w:rsidRPr="00834A91" w:rsidRDefault="00000000">
      <w:pPr>
        <w:rPr>
          <w:lang w:val="it-IT"/>
        </w:rPr>
      </w:pPr>
      <w:r w:rsidRPr="00834A91">
        <w:rPr>
          <w:lang w:val="it-IT"/>
        </w:rPr>
        <w:t>Nel primo decennio del XX secolo l’impero austro-ungarico conobbe una certa crescita economica, ma rimase segnato da forti squilibri interni. Le province austriache e ceche erano più industrializzate e ospitavano le aree urbane più popolose; molte altre regioni, invece, avevano ancora un carattere rurale ed erano segnate da povertà e arretratezza.</w:t>
      </w:r>
    </w:p>
    <w:p w14:paraId="196E947B" w14:textId="77777777" w:rsidR="00727642" w:rsidRPr="00834A91" w:rsidRDefault="00000000">
      <w:pPr>
        <w:rPr>
          <w:lang w:val="it-IT"/>
        </w:rPr>
      </w:pPr>
      <w:r w:rsidRPr="00834A91">
        <w:rPr>
          <w:lang w:val="it-IT"/>
        </w:rPr>
        <w:t>Questi squilibri economici si intrecciavano con la frammentazione etnica e sociale dell’impero. Le diverse nazionalità rivendicavano autonomia o indipendenza, rendendo sempre più difficile il controllo da parte del governo di Vienna. In Boemia erano forti i contrasti tra popolazioni di lingua tedesca e popolazioni di lingua ceca. A sud, trentini e istriani rivendicavano la propria identità nazionale e guardavano all’Italia. Anche i rapporti con l’Ungheria rimanevano instabili, nonostante il Compromesso del 1867, che aveva trasformato l’impero austriaco in una duplice monarchia: impero d’Austria e regno d’Ungheria, uniti dalla figura di Francesco Giuseppe.</w:t>
      </w:r>
    </w:p>
    <w:p w14:paraId="49FB0A6C" w14:textId="77777777" w:rsidR="00727642" w:rsidRPr="00834A91" w:rsidRDefault="00000000">
      <w:pPr>
        <w:keepNext/>
        <w:spacing w:before="240"/>
        <w:rPr>
          <w:lang w:val="it-IT"/>
        </w:rPr>
      </w:pPr>
      <w:r w:rsidRPr="00834A91">
        <w:rPr>
          <w:b/>
          <w:sz w:val="28"/>
          <w:lang w:val="it-IT"/>
        </w:rPr>
        <w:t>La crisi dell’impero ottomano e la rivoluzione dei Giovani turchi</w:t>
      </w:r>
    </w:p>
    <w:p w14:paraId="3ECBA7ED" w14:textId="77777777" w:rsidR="00727642" w:rsidRPr="00834A91" w:rsidRDefault="00000000">
      <w:pPr>
        <w:rPr>
          <w:lang w:val="it-IT"/>
        </w:rPr>
      </w:pPr>
      <w:r w:rsidRPr="00834A91">
        <w:rPr>
          <w:lang w:val="it-IT"/>
        </w:rPr>
        <w:t>Nel luglio 1908 scoppiò nell’impero ottomano un’insurrezione guidata dal partito Unione e Progresso, formato da ufficiali dell’esercito, intellettuali e funzionari statali. I rivoluzionari presero il nome di Giovani turchi, ispirandosi alla Giovine Italia mazziniana.</w:t>
      </w:r>
    </w:p>
    <w:p w14:paraId="25F60F02" w14:textId="77777777" w:rsidR="00727642" w:rsidRPr="00834A91" w:rsidRDefault="00000000">
      <w:pPr>
        <w:rPr>
          <w:lang w:val="it-IT"/>
        </w:rPr>
      </w:pPr>
      <w:r w:rsidRPr="00834A91">
        <w:rPr>
          <w:lang w:val="it-IT"/>
        </w:rPr>
        <w:lastRenderedPageBreak/>
        <w:t>Il loro obiettivo era duplice: da un lato volevano rafforzare l’impero in senso nazionalistico per frenare le spinte indipendentistiche; dall’altro volevano modernizzare lo Stato in senso laico e parlamentare. Guidati da Mustafa Kemal, nel 1909 destituirono il sultano Abdul-Hamid II e lo sostituirono con il fratello Maometto V, al quale imposero una svolta costituzionale.</w:t>
      </w:r>
    </w:p>
    <w:p w14:paraId="6BAA8662" w14:textId="77777777" w:rsidR="00727642" w:rsidRPr="00834A91" w:rsidRDefault="00000000">
      <w:pPr>
        <w:rPr>
          <w:lang w:val="it-IT"/>
        </w:rPr>
      </w:pPr>
      <w:r w:rsidRPr="00834A91">
        <w:rPr>
          <w:lang w:val="it-IT"/>
        </w:rPr>
        <w:t>Tuttavia, gli eventi successivi mostrarono che la crisi dell’impero ottomano era ormai irreversibile. La convivenza pacifica tra le diverse etnie e religioni dell’impero appariva sempre più illusoria.</w:t>
      </w:r>
    </w:p>
    <w:p w14:paraId="0AA6C882" w14:textId="77777777" w:rsidR="00727642" w:rsidRPr="00834A91" w:rsidRDefault="00000000">
      <w:pPr>
        <w:keepNext/>
        <w:spacing w:before="240"/>
        <w:rPr>
          <w:lang w:val="it-IT"/>
        </w:rPr>
      </w:pPr>
      <w:r w:rsidRPr="00834A91">
        <w:rPr>
          <w:b/>
          <w:sz w:val="28"/>
          <w:lang w:val="it-IT"/>
        </w:rPr>
        <w:t>Gli Stati Uniti come nuova potenza mondiale</w:t>
      </w:r>
    </w:p>
    <w:p w14:paraId="3B66D4E8" w14:textId="77777777" w:rsidR="00727642" w:rsidRPr="00834A91" w:rsidRDefault="00000000">
      <w:pPr>
        <w:rPr>
          <w:lang w:val="it-IT"/>
        </w:rPr>
      </w:pPr>
      <w:r w:rsidRPr="00834A91">
        <w:rPr>
          <w:lang w:val="it-IT"/>
        </w:rPr>
        <w:t>All’inizio del Novecento gli Stati Uniti si affermarono come grande potenza economica e industriale. Il paese disponeva di immense risorse naturali e aveva raggiunto un livello di sviluppo industriale e finanziario superiore a quello delle principali economie europee.</w:t>
      </w:r>
    </w:p>
    <w:p w14:paraId="73028C2A" w14:textId="77777777" w:rsidR="00727642" w:rsidRPr="00834A91" w:rsidRDefault="00000000">
      <w:pPr>
        <w:rPr>
          <w:lang w:val="it-IT"/>
        </w:rPr>
      </w:pPr>
      <w:r w:rsidRPr="00834A91">
        <w:rPr>
          <w:lang w:val="it-IT"/>
        </w:rPr>
        <w:t>Intorno al 1890 si era conclusa la conquista del West, e il territorio statunitense si estendeva ormai dall’Atlantico al Pacifico. L’economia americana cresceva rapidamente grazie a diversi fattori: la disponibilità di materie prime come carbone, petrolio, ferro e rame; l’abbondante manodopera a basso costo fornita dall’immigrazione; una rete ferroviaria che nel 1900 superava quella di tutti gli stati europei messi insieme. Questi elementi favorirono una straordinaria espansione del mercato interno.</w:t>
      </w:r>
    </w:p>
    <w:p w14:paraId="43C816D3" w14:textId="77777777" w:rsidR="00727642" w:rsidRPr="00834A91" w:rsidRDefault="00000000">
      <w:pPr>
        <w:keepNext/>
        <w:spacing w:before="240"/>
        <w:rPr>
          <w:lang w:val="it-IT"/>
        </w:rPr>
      </w:pPr>
      <w:r w:rsidRPr="00834A91">
        <w:rPr>
          <w:b/>
          <w:sz w:val="28"/>
          <w:lang w:val="it-IT"/>
        </w:rPr>
        <w:t>Agricoltura, industria e crescita demografica negli Stati Uniti</w:t>
      </w:r>
    </w:p>
    <w:p w14:paraId="6E208852" w14:textId="77777777" w:rsidR="00727642" w:rsidRPr="00834A91" w:rsidRDefault="00000000">
      <w:pPr>
        <w:rPr>
          <w:lang w:val="it-IT"/>
        </w:rPr>
      </w:pPr>
      <w:r w:rsidRPr="00834A91">
        <w:rPr>
          <w:lang w:val="it-IT"/>
        </w:rPr>
        <w:t>L’agricoltura statunitense si sviluppò grazie all’uso di fertilizzanti chimici e nuovi macchinari. Gli Stati Uniti raggiunsero il primato mondiale nella produzione di cereali e cotone.</w:t>
      </w:r>
    </w:p>
    <w:p w14:paraId="711AB2AA" w14:textId="77777777" w:rsidR="00727642" w:rsidRPr="00834A91" w:rsidRDefault="00000000">
      <w:pPr>
        <w:rPr>
          <w:lang w:val="it-IT"/>
        </w:rPr>
      </w:pPr>
      <w:r w:rsidRPr="00834A91">
        <w:rPr>
          <w:lang w:val="it-IT"/>
        </w:rPr>
        <w:t>Lo sviluppo più imponente, però, avvenne nell’industria. I settori trainanti erano quelli siderurgico, meccanico, elettrico e petrolifero. Dominavano le corporations, cioè grandi concentrazioni industriali e finanziarie cresciute in un capitalismo quasi privo di regole.</w:t>
      </w:r>
    </w:p>
    <w:p w14:paraId="28450DC8" w14:textId="77777777" w:rsidR="00727642" w:rsidRPr="00834A91" w:rsidRDefault="00000000">
      <w:pPr>
        <w:rPr>
          <w:lang w:val="it-IT"/>
        </w:rPr>
      </w:pPr>
      <w:r w:rsidRPr="00834A91">
        <w:rPr>
          <w:lang w:val="it-IT"/>
        </w:rPr>
        <w:t>Anche la popolazione aumentò rapidamente: da 39 milioni di abitanti nel 1871 si passò a 97 milioni nel 1914. Molti americani vivevano ancora nelle campagne, ma le città crebbero molto. Nel 1900 New York contava 3.500.000 abitanti, Chicago 1.700.000, Filadelfia 1.300.000 e Los Angeles 300.000.</w:t>
      </w:r>
    </w:p>
    <w:p w14:paraId="7C2E8C64" w14:textId="77777777" w:rsidR="00727642" w:rsidRPr="00834A91" w:rsidRDefault="00000000">
      <w:pPr>
        <w:keepNext/>
        <w:spacing w:before="240"/>
        <w:rPr>
          <w:lang w:val="it-IT"/>
        </w:rPr>
      </w:pPr>
      <w:r w:rsidRPr="00834A91">
        <w:rPr>
          <w:b/>
          <w:sz w:val="28"/>
          <w:lang w:val="it-IT"/>
        </w:rPr>
        <w:t>Immigrazione, disuguaglianze sociali e razziali</w:t>
      </w:r>
    </w:p>
    <w:p w14:paraId="20CCD742" w14:textId="77777777" w:rsidR="00727642" w:rsidRPr="00834A91" w:rsidRDefault="00000000">
      <w:pPr>
        <w:rPr>
          <w:lang w:val="it-IT"/>
        </w:rPr>
      </w:pPr>
      <w:r w:rsidRPr="00834A91">
        <w:rPr>
          <w:lang w:val="it-IT"/>
        </w:rPr>
        <w:t>La crescita americana conviveva con profonde disuguaglianze. I neri, che cominciavano a lasciare gli stati del Sud per cercare lavoro nelle città del Nord, vivevano spesso in ghetti poveri, privi di strutture sanitarie e servizi adeguati.</w:t>
      </w:r>
    </w:p>
    <w:p w14:paraId="6D6ACD6D" w14:textId="77777777" w:rsidR="00727642" w:rsidRPr="00834A91" w:rsidRDefault="00000000">
      <w:pPr>
        <w:rPr>
          <w:lang w:val="it-IT"/>
        </w:rPr>
      </w:pPr>
      <w:r w:rsidRPr="00834A91">
        <w:rPr>
          <w:lang w:val="it-IT"/>
        </w:rPr>
        <w:t xml:space="preserve">Anche molti immigrati europei conducevano una vita difficile. Tra il 1821 e il 1910 arrivarono negli Stati Uniti 23 milioni di immigrati, di cui 9 milioni solo nel primo decennio del Novecento. </w:t>
      </w:r>
      <w:r w:rsidRPr="00834A91">
        <w:rPr>
          <w:lang w:val="it-IT"/>
        </w:rPr>
        <w:lastRenderedPageBreak/>
        <w:t>Spesso erano guardati con diffidenza dalla popolazione locale, vivevano isolati in comunità legate alle tradizioni d’origine e svolgevano i lavori più umili.</w:t>
      </w:r>
    </w:p>
    <w:p w14:paraId="3557AF42" w14:textId="77777777" w:rsidR="00727642" w:rsidRPr="00834A91" w:rsidRDefault="00000000">
      <w:pPr>
        <w:rPr>
          <w:lang w:val="it-IT"/>
        </w:rPr>
      </w:pPr>
      <w:r w:rsidRPr="00834A91">
        <w:rPr>
          <w:lang w:val="it-IT"/>
        </w:rPr>
        <w:t>Il capitolo dedica attenzione a Ellis Island, l’isolotto nella baia di New York dove dal 1892 aveva sede l’Ufficio Immigrazione. Gli immigrati venivano sottoposti a controlli medici, burocratici e interrogatori. Per entrare negli Stati Uniti bisognava essere fisicamente e mentalmente sani, non avere precedenti criminali o sovversivi ed essere in grado di lavorare. Chi non superava i controlli poteva restare mesi nell’ospedale dell’isola oppure essere espulso. Per molti, quindi, il “sogno americano” significò in realtà anni di duro lavoro e difficile integrazione.</w:t>
      </w:r>
    </w:p>
    <w:p w14:paraId="7FEB36BD" w14:textId="77777777" w:rsidR="00727642" w:rsidRPr="00834A91" w:rsidRDefault="00000000">
      <w:pPr>
        <w:keepNext/>
        <w:spacing w:before="240"/>
        <w:rPr>
          <w:lang w:val="it-IT"/>
        </w:rPr>
      </w:pPr>
      <w:r w:rsidRPr="00834A91">
        <w:rPr>
          <w:b/>
          <w:sz w:val="28"/>
          <w:lang w:val="it-IT"/>
        </w:rPr>
        <w:t>Il Partito populista e la critica ai trust</w:t>
      </w:r>
    </w:p>
    <w:p w14:paraId="7D9FE099" w14:textId="77777777" w:rsidR="00727642" w:rsidRPr="00834A91" w:rsidRDefault="00000000">
      <w:pPr>
        <w:rPr>
          <w:lang w:val="it-IT"/>
        </w:rPr>
      </w:pPr>
      <w:r w:rsidRPr="00834A91">
        <w:rPr>
          <w:lang w:val="it-IT"/>
        </w:rPr>
        <w:t>Sul piano politico, una questione centrale era il controllo delle grandi imprese monopolistiche. Nel 1890 lo Sherman Act aveva cercato di limitare il potere dei trust, ma con scarso successo. Gli Stati Uniti sembravano passare dall’America dei coloni all’America dei trust, dove i grandi gruppi industriali e finanziari sfuggivano al controllo pubblico e minacciavano la democrazia economica.</w:t>
      </w:r>
    </w:p>
    <w:p w14:paraId="79785C2B" w14:textId="77777777" w:rsidR="00727642" w:rsidRPr="00834A91" w:rsidRDefault="00000000">
      <w:pPr>
        <w:rPr>
          <w:lang w:val="it-IT"/>
        </w:rPr>
      </w:pPr>
      <w:r w:rsidRPr="00834A91">
        <w:rPr>
          <w:lang w:val="it-IT"/>
        </w:rPr>
        <w:t>Nel 1892 nacque il Partito populista, che proponeva un programma di democrazia radicale, liberista e antimonopolistica. I populisti accusavano democratici e repubblicani di difendere gli interessi dei grandi gruppi industriali. Si richiamavano alla tradizione democratica agraria di Thomas Jefferson, considerata più vicina ai bisogni del popolo, e trovavano sostegno soprattutto tra i piccoli e medi proprietari terrieri.</w:t>
      </w:r>
    </w:p>
    <w:p w14:paraId="1974D0F0" w14:textId="77777777" w:rsidR="00727642" w:rsidRPr="00834A91" w:rsidRDefault="00000000">
      <w:pPr>
        <w:rPr>
          <w:lang w:val="it-IT"/>
        </w:rPr>
      </w:pPr>
      <w:r w:rsidRPr="00834A91">
        <w:rPr>
          <w:lang w:val="it-IT"/>
        </w:rPr>
        <w:t>Tuttavia, il Partito populista fu segnato anche da tendenze xenofobe e antisemite. Non riuscì a cambiare in profondità la politica americana e perse progressivamente importanza, fino allo scioglimento nel 1912.</w:t>
      </w:r>
    </w:p>
    <w:p w14:paraId="31804FA5" w14:textId="77777777" w:rsidR="00727642" w:rsidRPr="00834A91" w:rsidRDefault="00000000">
      <w:pPr>
        <w:keepNext/>
        <w:spacing w:before="240"/>
        <w:rPr>
          <w:lang w:val="it-IT"/>
        </w:rPr>
      </w:pPr>
      <w:r w:rsidRPr="00834A91">
        <w:rPr>
          <w:b/>
          <w:sz w:val="28"/>
          <w:lang w:val="it-IT"/>
        </w:rPr>
        <w:t>Da McKinley all’età progressista di Theodore Roosevelt</w:t>
      </w:r>
    </w:p>
    <w:p w14:paraId="227C3938" w14:textId="77777777" w:rsidR="00727642" w:rsidRPr="00834A91" w:rsidRDefault="00000000">
      <w:pPr>
        <w:rPr>
          <w:lang w:val="it-IT"/>
        </w:rPr>
      </w:pPr>
      <w:r w:rsidRPr="00834A91">
        <w:rPr>
          <w:lang w:val="it-IT"/>
        </w:rPr>
        <w:t>Alle elezioni del 1896 il democratico William Jennings Bryan, che aveva accolto alcune istanze populiste, fu sconfitto dal repubblicano William McKinley, espressione degli interessi della grande industria e dell’alta finanza. McKinley, entrato in carica nel 1897, adottò politiche protezionistiche e mise da parte la legge del 1890 contro i trust. Nel 1901 fu assassinato da un anarchico di origini polacche.</w:t>
      </w:r>
    </w:p>
    <w:p w14:paraId="12ABEFBD" w14:textId="77777777" w:rsidR="00727642" w:rsidRPr="00834A91" w:rsidRDefault="00000000">
      <w:pPr>
        <w:rPr>
          <w:lang w:val="it-IT"/>
        </w:rPr>
      </w:pPr>
      <w:r w:rsidRPr="00834A91">
        <w:rPr>
          <w:lang w:val="it-IT"/>
        </w:rPr>
        <w:t>Gli succedette il vicepresidente Theodore Roosevelt, esponente dell’ala progressista del Partito repubblicano. La sua presidenza aprì una fase chiamata età progressista, caratterizzata da riforme sociali ed economiche. Roosevelt cercò di rafforzare il controllo statale sui grandi gruppi monopolistici e per questo fu soprannominato trust-buster, cioè “distruttore dei trust”.</w:t>
      </w:r>
    </w:p>
    <w:p w14:paraId="6918E9B1" w14:textId="77777777" w:rsidR="00727642" w:rsidRPr="00834A91" w:rsidRDefault="00000000">
      <w:pPr>
        <w:rPr>
          <w:lang w:val="it-IT"/>
        </w:rPr>
      </w:pPr>
      <w:r w:rsidRPr="00834A91">
        <w:rPr>
          <w:lang w:val="it-IT"/>
        </w:rPr>
        <w:lastRenderedPageBreak/>
        <w:t>Promosse anche una prima legislazione sociale e mostrò maggiore attenzione alle libertà sindacali. Consentì all’American Federation of Labour, fondata nel 1886, di agire in rappresentanza dei lavoratori nelle trattative su salari e diritti della classe operaia.</w:t>
      </w:r>
    </w:p>
    <w:p w14:paraId="7BCA28CD" w14:textId="77777777" w:rsidR="00727642" w:rsidRPr="00834A91" w:rsidRDefault="00000000">
      <w:pPr>
        <w:keepNext/>
        <w:spacing w:before="240"/>
        <w:rPr>
          <w:lang w:val="it-IT"/>
        </w:rPr>
      </w:pPr>
      <w:r w:rsidRPr="00834A91">
        <w:rPr>
          <w:b/>
          <w:sz w:val="28"/>
          <w:lang w:val="it-IT"/>
        </w:rPr>
        <w:t>Wilson e il capitalismo responsabile</w:t>
      </w:r>
    </w:p>
    <w:p w14:paraId="158C4A32" w14:textId="77777777" w:rsidR="00727642" w:rsidRPr="00834A91" w:rsidRDefault="00000000">
      <w:pPr>
        <w:rPr>
          <w:lang w:val="it-IT"/>
        </w:rPr>
      </w:pPr>
      <w:r w:rsidRPr="00834A91">
        <w:rPr>
          <w:lang w:val="it-IT"/>
        </w:rPr>
        <w:t>Nel 1912 vinse le elezioni il democratico Thomas Woodrow Wilson, che sconfisse sia i repubblicani sia il Partito progressista fondato da Roosevelt. Wilson sostenne l’idea di un capitalismo “responsabile”, antimonopolistico e attento alla giustizia sociale.</w:t>
      </w:r>
    </w:p>
    <w:p w14:paraId="42070E3F" w14:textId="77777777" w:rsidR="00727642" w:rsidRPr="00834A91" w:rsidRDefault="00000000">
      <w:pPr>
        <w:rPr>
          <w:lang w:val="it-IT"/>
        </w:rPr>
      </w:pPr>
      <w:r w:rsidRPr="00834A91">
        <w:rPr>
          <w:lang w:val="it-IT"/>
        </w:rPr>
        <w:t>Durante la sua presidenza potenziò la legislazione sociale, abolì il divieto di sciopero e rafforzò la lotta contro i trust. Il suo obiettivo era ripristinare la libera concorrenza e aumentare il controllo pubblico sull’economia.</w:t>
      </w:r>
    </w:p>
    <w:p w14:paraId="510AC291" w14:textId="77777777" w:rsidR="00727642" w:rsidRPr="00834A91" w:rsidRDefault="00000000">
      <w:pPr>
        <w:keepNext/>
        <w:spacing w:before="240"/>
        <w:rPr>
          <w:lang w:val="it-IT"/>
        </w:rPr>
      </w:pPr>
      <w:r w:rsidRPr="00834A91">
        <w:rPr>
          <w:b/>
          <w:sz w:val="28"/>
          <w:lang w:val="it-IT"/>
        </w:rPr>
        <w:t>La diplomazia del dollaro, il “grosso bastone” e Panama</w:t>
      </w:r>
    </w:p>
    <w:p w14:paraId="24D72824" w14:textId="77777777" w:rsidR="00727642" w:rsidRPr="00834A91" w:rsidRDefault="00000000">
      <w:pPr>
        <w:rPr>
          <w:lang w:val="it-IT"/>
        </w:rPr>
      </w:pPr>
      <w:r w:rsidRPr="00834A91">
        <w:rPr>
          <w:lang w:val="it-IT"/>
        </w:rPr>
        <w:t>Durante la presidenza Roosevelt, la politica estera statunitense divenne più aggressiva. Gli Stati Uniti rafforzarono la propria presenza in Centro America attraverso investimenti e infrastrutture. Questa penetrazione economica fu chiamata “diplomazia del dollaro”.</w:t>
      </w:r>
    </w:p>
    <w:p w14:paraId="6D2BC365" w14:textId="77777777" w:rsidR="00727642" w:rsidRPr="00834A91" w:rsidRDefault="00000000">
      <w:pPr>
        <w:rPr>
          <w:lang w:val="it-IT"/>
        </w:rPr>
      </w:pPr>
      <w:r w:rsidRPr="00834A91">
        <w:rPr>
          <w:lang w:val="it-IT"/>
        </w:rPr>
        <w:t>Roosevelt affiancò però alla penetrazione economica una politica più energica, detta “politica del grosso bastone”. Essa prevedeva l’uso della forza o della pressione militare per difendere gli interessi economici americani quando fossero minacciati.</w:t>
      </w:r>
    </w:p>
    <w:p w14:paraId="42F3DD1F" w14:textId="77777777" w:rsidR="00727642" w:rsidRPr="00834A91" w:rsidRDefault="00000000">
      <w:pPr>
        <w:rPr>
          <w:lang w:val="it-IT"/>
        </w:rPr>
      </w:pPr>
      <w:r w:rsidRPr="00834A91">
        <w:rPr>
          <w:lang w:val="it-IT"/>
        </w:rPr>
        <w:t>Un esempio fondamentale fu la questione del canale di Panama. Il progetto di costruzione del canale era stato avviato dai francesi nel 1881, ma non era stato completato. Nel 1901 gli Stati Uniti ottennero dalla Colombia, a cui Panama apparteneva, l’autorizzazione a completare l’opera e gestire il canale per cento anni. Quando nel 1903 la Colombia rifiutò di ratificare l’accordo, Washington sostenne la ribellione degli indipendentisti panamensi.</w:t>
      </w:r>
    </w:p>
    <w:p w14:paraId="2076C99A" w14:textId="77777777" w:rsidR="00727642" w:rsidRPr="00834A91" w:rsidRDefault="00000000">
      <w:pPr>
        <w:rPr>
          <w:lang w:val="it-IT"/>
        </w:rPr>
      </w:pPr>
      <w:r w:rsidRPr="00834A91">
        <w:rPr>
          <w:lang w:val="it-IT"/>
        </w:rPr>
        <w:t>Panama divenne una repubblica indipendente e fu posta sotto tutela americana, come era già avvenuto per Cuba. Gli Stati Uniti completarono il canale nel 1914 e ottennero su di esso una concessione perpetua.</w:t>
      </w:r>
    </w:p>
    <w:p w14:paraId="0820DC89" w14:textId="77777777" w:rsidR="00727642" w:rsidRPr="00834A91" w:rsidRDefault="00000000">
      <w:pPr>
        <w:keepNext/>
        <w:spacing w:before="240"/>
        <w:rPr>
          <w:lang w:val="it-IT"/>
        </w:rPr>
      </w:pPr>
      <w:r w:rsidRPr="00834A91">
        <w:rPr>
          <w:b/>
          <w:sz w:val="28"/>
          <w:lang w:val="it-IT"/>
        </w:rPr>
        <w:t>Il corollario alla dottrina Monroe</w:t>
      </w:r>
    </w:p>
    <w:p w14:paraId="6FB92119" w14:textId="77777777" w:rsidR="00727642" w:rsidRPr="00834A91" w:rsidRDefault="00000000">
      <w:pPr>
        <w:rPr>
          <w:lang w:val="it-IT"/>
        </w:rPr>
      </w:pPr>
      <w:r w:rsidRPr="00834A91">
        <w:rPr>
          <w:lang w:val="it-IT"/>
        </w:rPr>
        <w:t>I fatti di Panama mostrarono chiaramente la volontà degli Stati Uniti di affermare il proprio primato sull’emisfero americano. Nel 1904 Roosevelt trasformò questa prassi in un principio della politica estera statunitense con il corollario alla dottrina Monroe.</w:t>
      </w:r>
    </w:p>
    <w:p w14:paraId="2C37B82A" w14:textId="77777777" w:rsidR="00727642" w:rsidRPr="00834A91" w:rsidRDefault="00000000">
      <w:pPr>
        <w:rPr>
          <w:lang w:val="it-IT"/>
        </w:rPr>
      </w:pPr>
      <w:r w:rsidRPr="00834A91">
        <w:rPr>
          <w:lang w:val="it-IT"/>
        </w:rPr>
        <w:t xml:space="preserve">La dottrina Monroe, formulata nel 1823, sosteneva che le potenze europee non dovessero intervenire negli affari del continente americano. Roosevelt aggiunse a questo principio l’idea che gli Stati Uniti avessero un potere di “polizia internazionale” nel continente, per impedire che </w:t>
      </w:r>
      <w:r w:rsidRPr="00834A91">
        <w:rPr>
          <w:lang w:val="it-IT"/>
        </w:rPr>
        <w:lastRenderedPageBreak/>
        <w:t>l’instabilità degli stati latinoamericani provocasse l’intervento europeo o danneggiasse gli interessi americani.</w:t>
      </w:r>
    </w:p>
    <w:p w14:paraId="70A0F54D" w14:textId="77777777" w:rsidR="00727642" w:rsidRPr="00834A91" w:rsidRDefault="00000000">
      <w:pPr>
        <w:rPr>
          <w:lang w:val="it-IT"/>
        </w:rPr>
      </w:pPr>
      <w:r w:rsidRPr="00834A91">
        <w:rPr>
          <w:lang w:val="it-IT"/>
        </w:rPr>
        <w:t>L’imperialismo statunitense risultava quindi contraddittorio: da un lato gli Stati Uniti si presentavano come difensori della libertà e della democrazia; dall’altro perseguivano una politica espansionistica fondata sulla supremazia marittima, sul controllo delle vie di navigazione e sulla conquista di nuovi mercati. Non miravano sempre alla creazione di un impero coloniale diretto, ma spesso a forme di controllo indiretto su aree considerate strategiche.</w:t>
      </w:r>
    </w:p>
    <w:p w14:paraId="69EF8734" w14:textId="77777777" w:rsidR="00727642" w:rsidRPr="00834A91" w:rsidRDefault="00000000">
      <w:pPr>
        <w:keepNext/>
        <w:spacing w:before="240"/>
        <w:rPr>
          <w:lang w:val="it-IT"/>
        </w:rPr>
      </w:pPr>
      <w:r w:rsidRPr="00834A91">
        <w:rPr>
          <w:b/>
          <w:sz w:val="28"/>
          <w:lang w:val="it-IT"/>
        </w:rPr>
        <w:t>Wilson e la “nuova libertà”</w:t>
      </w:r>
    </w:p>
    <w:p w14:paraId="2522B607" w14:textId="77777777" w:rsidR="00727642" w:rsidRPr="00834A91" w:rsidRDefault="00000000">
      <w:pPr>
        <w:rPr>
          <w:lang w:val="it-IT"/>
        </w:rPr>
      </w:pPr>
      <w:r w:rsidRPr="00834A91">
        <w:rPr>
          <w:lang w:val="it-IT"/>
        </w:rPr>
        <w:t>Wilson contrappose all’imperialismo rooseveltiano la teoria della “nuova libertà”. Secondo questa visione, gli Stati Uniti avevano una responsabilità nel difendere la libertà e la democrazia nel mondo, ma dovevano abbandonare gli aspetti più aggressivi e militaristici della politica precedente.</w:t>
      </w:r>
    </w:p>
    <w:p w14:paraId="3FADDFBE" w14:textId="77777777" w:rsidR="00727642" w:rsidRPr="00834A91" w:rsidRDefault="00000000">
      <w:pPr>
        <w:rPr>
          <w:lang w:val="it-IT"/>
        </w:rPr>
      </w:pPr>
      <w:r w:rsidRPr="00834A91">
        <w:rPr>
          <w:lang w:val="it-IT"/>
        </w:rPr>
        <w:t>La presenza americana nel mondo, almeno in teoria, non avrebbe dovuto fondarsi sulle armi, ma sulla forza dell’idea di libertà e sulla fedeltà agli ideali democratici. Quando nel 1917 gli Stati Uniti entrarono nella Prima guerra mondiale, Wilson dichiarò che il paese non combatteva per conquistare nuove zone di influenza, ma per rendere il mondo “un luogo sicuro per la democrazia”.</w:t>
      </w:r>
    </w:p>
    <w:p w14:paraId="01139ED8" w14:textId="77777777" w:rsidR="00727642" w:rsidRPr="00834A91" w:rsidRDefault="00000000">
      <w:pPr>
        <w:keepNext/>
        <w:spacing w:before="240"/>
        <w:rPr>
          <w:lang w:val="it-IT"/>
        </w:rPr>
      </w:pPr>
      <w:r w:rsidRPr="00834A91">
        <w:rPr>
          <w:b/>
          <w:sz w:val="28"/>
          <w:lang w:val="it-IT"/>
        </w:rPr>
        <w:t>La spartizione dell’Africa e le tensioni coloniali europee</w:t>
      </w:r>
    </w:p>
    <w:p w14:paraId="68C187D4" w14:textId="77777777" w:rsidR="00727642" w:rsidRPr="00834A91" w:rsidRDefault="00000000">
      <w:pPr>
        <w:rPr>
          <w:lang w:val="it-IT"/>
        </w:rPr>
      </w:pPr>
      <w:r w:rsidRPr="00834A91">
        <w:rPr>
          <w:lang w:val="it-IT"/>
        </w:rPr>
        <w:t>La spartizione dell’Africa da parte delle potenze europee si era accelerata dopo la conferenza di Berlino del 1884-1885. Questa competizione coloniale generò tensioni continue tra le potenze.</w:t>
      </w:r>
    </w:p>
    <w:p w14:paraId="6384B52B" w14:textId="77777777" w:rsidR="00727642" w:rsidRPr="00834A91" w:rsidRDefault="00000000">
      <w:pPr>
        <w:rPr>
          <w:lang w:val="it-IT"/>
        </w:rPr>
      </w:pPr>
      <w:r w:rsidRPr="00834A91">
        <w:rPr>
          <w:lang w:val="it-IT"/>
        </w:rPr>
        <w:t>Uno degli episodi più gravi fu l’incidente di Fashoda del 1898, quando le truppe inglesi sfiorarono lo scontro con quelle francesi nel villaggio sudanese. La crisi fu risolta con la definizione di diverse zone d’influenza.</w:t>
      </w:r>
    </w:p>
    <w:p w14:paraId="7527202A" w14:textId="77777777" w:rsidR="00727642" w:rsidRPr="00834A91" w:rsidRDefault="00000000">
      <w:pPr>
        <w:rPr>
          <w:lang w:val="it-IT"/>
        </w:rPr>
      </w:pPr>
      <w:r w:rsidRPr="00834A91">
        <w:rPr>
          <w:lang w:val="it-IT"/>
        </w:rPr>
        <w:t>Dopo aver risolto le dispute con la Francia, la Gran Bretagna si concentrò sulla conquista del Sudafrica. Nel 1910, dopo una guerra sanguinosa, nacque l’Unione Sudafricana, che inglobava le ex repubbliche boere.</w:t>
      </w:r>
    </w:p>
    <w:p w14:paraId="7909DA86" w14:textId="77777777" w:rsidR="00727642" w:rsidRPr="00834A91" w:rsidRDefault="00000000">
      <w:pPr>
        <w:rPr>
          <w:lang w:val="it-IT"/>
        </w:rPr>
      </w:pPr>
      <w:r w:rsidRPr="00834A91">
        <w:rPr>
          <w:lang w:val="it-IT"/>
        </w:rPr>
        <w:t>Le aspirazioni coloniali della Germania allarmarono le altre potenze europee e contribuirono alla formazione di un sistema di alleanze in funzione antitedesca.</w:t>
      </w:r>
    </w:p>
    <w:p w14:paraId="0A113CD8" w14:textId="77777777" w:rsidR="00727642" w:rsidRPr="00834A91" w:rsidRDefault="00000000">
      <w:pPr>
        <w:keepNext/>
        <w:spacing w:before="240"/>
        <w:rPr>
          <w:lang w:val="it-IT"/>
        </w:rPr>
      </w:pPr>
      <w:r w:rsidRPr="00834A91">
        <w:rPr>
          <w:b/>
          <w:sz w:val="28"/>
          <w:lang w:val="it-IT"/>
        </w:rPr>
        <w:t>Il sistema delle alleanze e l’avvicinamento alla guerra</w:t>
      </w:r>
    </w:p>
    <w:p w14:paraId="5257EF2D" w14:textId="77777777" w:rsidR="00727642" w:rsidRPr="00834A91" w:rsidRDefault="00000000">
      <w:pPr>
        <w:rPr>
          <w:lang w:val="it-IT"/>
        </w:rPr>
      </w:pPr>
      <w:r w:rsidRPr="00834A91">
        <w:rPr>
          <w:lang w:val="it-IT"/>
        </w:rPr>
        <w:t>Il capitolo mostra come le tensioni nazionalistiche, imperialistiche e balcaniche contribuirono alla formazione di blocchi contrapposti. Nel 1904 Francia e Gran Bretagna firmarono l’Intesa Cordiale. Nel 1907 la Gran Bretagna si unì a Francia e Russia nella Triplice Intesa.</w:t>
      </w:r>
    </w:p>
    <w:p w14:paraId="127F80D8" w14:textId="77777777" w:rsidR="00727642" w:rsidRPr="00834A91" w:rsidRDefault="00000000">
      <w:pPr>
        <w:rPr>
          <w:lang w:val="it-IT"/>
        </w:rPr>
      </w:pPr>
      <w:r w:rsidRPr="00834A91">
        <w:rPr>
          <w:lang w:val="it-IT"/>
        </w:rPr>
        <w:lastRenderedPageBreak/>
        <w:t>Dall’altra parte rimaneva la Triplice Alleanza, formata da Germania, Austria-Ungheria e Italia, anche se indebolita da interessi divergenti. In questo quadro, un conflitto locale, specialmente nei Balcani, poteva facilmente trasformarsi in una guerra generale.</w:t>
      </w:r>
    </w:p>
    <w:sectPr w:rsidR="00727642" w:rsidRPr="00834A91"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elenc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elenc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Puntoelenc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Puntoelenc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elenc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Puntoelenco"/>
      <w:lvlText w:val=""/>
      <w:lvlJc w:val="left"/>
      <w:pPr>
        <w:tabs>
          <w:tab w:val="num" w:pos="360"/>
        </w:tabs>
        <w:ind w:left="360" w:hanging="360"/>
      </w:pPr>
      <w:rPr>
        <w:rFonts w:ascii="Symbol" w:hAnsi="Symbol" w:hint="default"/>
      </w:rPr>
    </w:lvl>
  </w:abstractNum>
  <w:num w:numId="1" w16cid:durableId="111871714">
    <w:abstractNumId w:val="8"/>
  </w:num>
  <w:num w:numId="2" w16cid:durableId="1484200383">
    <w:abstractNumId w:val="6"/>
  </w:num>
  <w:num w:numId="3" w16cid:durableId="84693647">
    <w:abstractNumId w:val="5"/>
  </w:num>
  <w:num w:numId="4" w16cid:durableId="1210990792">
    <w:abstractNumId w:val="4"/>
  </w:num>
  <w:num w:numId="5" w16cid:durableId="39135629">
    <w:abstractNumId w:val="7"/>
  </w:num>
  <w:num w:numId="6" w16cid:durableId="20127502">
    <w:abstractNumId w:val="3"/>
  </w:num>
  <w:num w:numId="7" w16cid:durableId="69885499">
    <w:abstractNumId w:val="2"/>
  </w:num>
  <w:num w:numId="8" w16cid:durableId="430396738">
    <w:abstractNumId w:val="1"/>
  </w:num>
  <w:num w:numId="9" w16cid:durableId="19036385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2A01EC"/>
    <w:rsid w:val="00326F90"/>
    <w:rsid w:val="00427C2C"/>
    <w:rsid w:val="00727642"/>
    <w:rsid w:val="00834A91"/>
    <w:rsid w:val="00853FA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5738314"/>
  <w14:defaultImageDpi w14:val="300"/>
  <w15:docId w15:val="{F1C0E72E-A8FB-4D00-AE12-6715950DEA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FC693F"/>
    <w:pPr>
      <w:spacing w:after="120"/>
      <w:jc w:val="both"/>
    </w:pPr>
    <w:rPr>
      <w:rFonts w:ascii="Calibri" w:eastAsia="Calibri" w:hAnsi="Calibri"/>
      <w:sz w:val="24"/>
    </w:rPr>
  </w:style>
  <w:style w:type="paragraph" w:styleId="Titolo1">
    <w:name w:val="heading 1"/>
    <w:basedOn w:val="Normale"/>
    <w:next w:val="Normale"/>
    <w:link w:val="Titolo1Carattere"/>
    <w:uiPriority w:val="9"/>
    <w:qFormat/>
    <w:rsid w:val="00FC693F"/>
    <w:pPr>
      <w:keepNext/>
      <w:keepLines/>
      <w:spacing w:before="240"/>
      <w:jc w:val="left"/>
      <w:outlineLvl w:val="0"/>
    </w:pPr>
    <w:rPr>
      <w:rFonts w:asciiTheme="majorHAnsi" w:eastAsiaTheme="majorEastAsia" w:hAnsiTheme="majorHAnsi" w:cstheme="majorBidi"/>
      <w:b/>
      <w:bCs/>
      <w:color w:val="365F91" w:themeColor="accent1" w:themeShade="BF"/>
      <w:sz w:val="28"/>
      <w:szCs w:val="28"/>
    </w:rPr>
  </w:style>
  <w:style w:type="paragraph" w:styleId="Titolo2">
    <w:name w:val="heading 2"/>
    <w:basedOn w:val="Normale"/>
    <w:next w:val="Normale"/>
    <w:link w:val="Titolo2Carattere"/>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itolo3">
    <w:name w:val="heading 3"/>
    <w:basedOn w:val="Normale"/>
    <w:next w:val="Normale"/>
    <w:link w:val="Titolo3Carattere"/>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itolo4">
    <w:name w:val="heading 4"/>
    <w:basedOn w:val="Normale"/>
    <w:next w:val="Normale"/>
    <w:link w:val="Titolo4Carattere"/>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itolo5">
    <w:name w:val="heading 5"/>
    <w:basedOn w:val="Normale"/>
    <w:next w:val="Normale"/>
    <w:link w:val="Titolo5Carattere"/>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itolo6">
    <w:name w:val="heading 6"/>
    <w:basedOn w:val="Normale"/>
    <w:next w:val="Normale"/>
    <w:link w:val="Titolo6Carattere"/>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itolo7">
    <w:name w:val="heading 7"/>
    <w:basedOn w:val="Normale"/>
    <w:next w:val="Normale"/>
    <w:link w:val="Titolo7Carattere"/>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itolo8">
    <w:name w:val="heading 8"/>
    <w:basedOn w:val="Normale"/>
    <w:next w:val="Normale"/>
    <w:link w:val="Titolo8Carattere"/>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itolo9">
    <w:name w:val="heading 9"/>
    <w:basedOn w:val="Normale"/>
    <w:next w:val="Normale"/>
    <w:link w:val="Titolo9Carattere"/>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Intestazione">
    <w:name w:val="header"/>
    <w:basedOn w:val="Normale"/>
    <w:link w:val="IntestazioneCarattere"/>
    <w:uiPriority w:val="99"/>
    <w:unhideWhenUsed/>
    <w:rsid w:val="00E618BF"/>
    <w:pPr>
      <w:tabs>
        <w:tab w:val="center" w:pos="4680"/>
        <w:tab w:val="right" w:pos="9360"/>
      </w:tabs>
      <w:spacing w:after="0" w:line="240" w:lineRule="auto"/>
    </w:pPr>
  </w:style>
  <w:style w:type="character" w:customStyle="1" w:styleId="IntestazioneCarattere">
    <w:name w:val="Intestazione Carattere"/>
    <w:basedOn w:val="Carpredefinitoparagrafo"/>
    <w:link w:val="Intestazione"/>
    <w:uiPriority w:val="99"/>
    <w:rsid w:val="00E618BF"/>
  </w:style>
  <w:style w:type="paragraph" w:styleId="Pidipagina">
    <w:name w:val="footer"/>
    <w:basedOn w:val="Normale"/>
    <w:link w:val="PidipaginaCarattere"/>
    <w:uiPriority w:val="99"/>
    <w:unhideWhenUsed/>
    <w:rsid w:val="00E618BF"/>
    <w:pPr>
      <w:tabs>
        <w:tab w:val="center" w:pos="4680"/>
        <w:tab w:val="right" w:pos="9360"/>
      </w:tabs>
      <w:spacing w:after="0" w:line="240" w:lineRule="auto"/>
    </w:pPr>
  </w:style>
  <w:style w:type="character" w:customStyle="1" w:styleId="PidipaginaCarattere">
    <w:name w:val="Piè di pagina Carattere"/>
    <w:basedOn w:val="Carpredefinitoparagrafo"/>
    <w:link w:val="Pidipagina"/>
    <w:uiPriority w:val="99"/>
    <w:rsid w:val="00E618BF"/>
  </w:style>
  <w:style w:type="paragraph" w:styleId="Nessunaspaziatura">
    <w:name w:val="No Spacing"/>
    <w:uiPriority w:val="1"/>
    <w:qFormat/>
    <w:rsid w:val="00FC693F"/>
    <w:pPr>
      <w:spacing w:after="0" w:line="240" w:lineRule="auto"/>
    </w:pPr>
  </w:style>
  <w:style w:type="character" w:customStyle="1" w:styleId="Titolo1Carattere">
    <w:name w:val="Titolo 1 Carattere"/>
    <w:basedOn w:val="Carpredefinitoparagrafo"/>
    <w:link w:val="Tito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itolo2Carattere">
    <w:name w:val="Titolo 2 Carattere"/>
    <w:basedOn w:val="Carpredefinitoparagrafo"/>
    <w:link w:val="Titolo2"/>
    <w:uiPriority w:val="9"/>
    <w:rsid w:val="00FC693F"/>
    <w:rPr>
      <w:rFonts w:asciiTheme="majorHAnsi" w:eastAsiaTheme="majorEastAsia" w:hAnsiTheme="majorHAnsi" w:cstheme="majorBidi"/>
      <w:b/>
      <w:bCs/>
      <w:color w:val="4F81BD" w:themeColor="accent1"/>
      <w:sz w:val="26"/>
      <w:szCs w:val="26"/>
    </w:rPr>
  </w:style>
  <w:style w:type="character" w:customStyle="1" w:styleId="Titolo3Carattere">
    <w:name w:val="Titolo 3 Carattere"/>
    <w:basedOn w:val="Carpredefinitoparagrafo"/>
    <w:link w:val="Titolo3"/>
    <w:uiPriority w:val="9"/>
    <w:rsid w:val="00FC693F"/>
    <w:rPr>
      <w:rFonts w:asciiTheme="majorHAnsi" w:eastAsiaTheme="majorEastAsia" w:hAnsiTheme="majorHAnsi" w:cstheme="majorBidi"/>
      <w:b/>
      <w:bCs/>
      <w:color w:val="4F81BD" w:themeColor="accent1"/>
    </w:rPr>
  </w:style>
  <w:style w:type="paragraph" w:styleId="Titolo">
    <w:name w:val="Title"/>
    <w:basedOn w:val="Normale"/>
    <w:next w:val="Normale"/>
    <w:link w:val="TitoloCarattere"/>
    <w:uiPriority w:val="10"/>
    <w:qFormat/>
    <w:rsid w:val="00FC693F"/>
    <w:pPr>
      <w:pBdr>
        <w:bottom w:val="single" w:sz="8" w:space="4" w:color="4F81BD" w:themeColor="accent1"/>
      </w:pBdr>
      <w:spacing w:after="240"/>
      <w:contextualSpacing/>
      <w:jc w:val="center"/>
    </w:pPr>
    <w:rPr>
      <w:rFonts w:asciiTheme="majorHAnsi" w:eastAsiaTheme="majorEastAsia" w:hAnsiTheme="majorHAnsi" w:cstheme="majorBidi"/>
      <w:b/>
      <w:color w:val="17365D" w:themeColor="text2" w:themeShade="BF"/>
      <w:spacing w:val="5"/>
      <w:kern w:val="28"/>
      <w:sz w:val="30"/>
      <w:szCs w:val="52"/>
    </w:rPr>
  </w:style>
  <w:style w:type="character" w:customStyle="1" w:styleId="TitoloCarattere">
    <w:name w:val="Titolo Carattere"/>
    <w:basedOn w:val="Carpredefinitoparagrafo"/>
    <w:link w:val="Tito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ottotitolo">
    <w:name w:val="Subtitle"/>
    <w:basedOn w:val="Normale"/>
    <w:next w:val="Normale"/>
    <w:link w:val="SottotitoloCarattere"/>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ottotitoloCarattere">
    <w:name w:val="Sottotitolo Carattere"/>
    <w:basedOn w:val="Carpredefinitoparagrafo"/>
    <w:link w:val="Sottotitolo"/>
    <w:uiPriority w:val="11"/>
    <w:rsid w:val="00FC693F"/>
    <w:rPr>
      <w:rFonts w:asciiTheme="majorHAnsi" w:eastAsiaTheme="majorEastAsia" w:hAnsiTheme="majorHAnsi" w:cstheme="majorBidi"/>
      <w:i/>
      <w:iCs/>
      <w:color w:val="4F81BD" w:themeColor="accent1"/>
      <w:spacing w:val="15"/>
      <w:sz w:val="24"/>
      <w:szCs w:val="24"/>
    </w:rPr>
  </w:style>
  <w:style w:type="paragraph" w:styleId="Paragrafoelenco">
    <w:name w:val="List Paragraph"/>
    <w:basedOn w:val="Normale"/>
    <w:uiPriority w:val="34"/>
    <w:qFormat/>
    <w:rsid w:val="00FC693F"/>
    <w:pPr>
      <w:ind w:left="720"/>
      <w:contextualSpacing/>
    </w:pPr>
  </w:style>
  <w:style w:type="paragraph" w:styleId="Corpotesto">
    <w:name w:val="Body Text"/>
    <w:basedOn w:val="Normale"/>
    <w:link w:val="CorpotestoCarattere"/>
    <w:uiPriority w:val="99"/>
    <w:unhideWhenUsed/>
    <w:rsid w:val="00AA1D8D"/>
  </w:style>
  <w:style w:type="character" w:customStyle="1" w:styleId="CorpotestoCarattere">
    <w:name w:val="Corpo testo Carattere"/>
    <w:basedOn w:val="Carpredefinitoparagrafo"/>
    <w:link w:val="Corpotesto"/>
    <w:uiPriority w:val="99"/>
    <w:rsid w:val="00AA1D8D"/>
  </w:style>
  <w:style w:type="paragraph" w:styleId="Corpodeltesto2">
    <w:name w:val="Body Text 2"/>
    <w:basedOn w:val="Normale"/>
    <w:link w:val="Corpodeltesto2Carattere"/>
    <w:uiPriority w:val="99"/>
    <w:unhideWhenUsed/>
    <w:rsid w:val="00AA1D8D"/>
    <w:pPr>
      <w:spacing w:line="480" w:lineRule="auto"/>
    </w:pPr>
  </w:style>
  <w:style w:type="character" w:customStyle="1" w:styleId="Corpodeltesto2Carattere">
    <w:name w:val="Corpo del testo 2 Carattere"/>
    <w:basedOn w:val="Carpredefinitoparagrafo"/>
    <w:link w:val="Corpodeltesto2"/>
    <w:uiPriority w:val="99"/>
    <w:rsid w:val="00AA1D8D"/>
  </w:style>
  <w:style w:type="paragraph" w:styleId="Corpodeltesto3">
    <w:name w:val="Body Text 3"/>
    <w:basedOn w:val="Normale"/>
    <w:link w:val="Corpodeltesto3Carattere"/>
    <w:uiPriority w:val="99"/>
    <w:unhideWhenUsed/>
    <w:rsid w:val="00AA1D8D"/>
    <w:rPr>
      <w:sz w:val="16"/>
      <w:szCs w:val="16"/>
    </w:rPr>
  </w:style>
  <w:style w:type="character" w:customStyle="1" w:styleId="Corpodeltesto3Carattere">
    <w:name w:val="Corpo del testo 3 Carattere"/>
    <w:basedOn w:val="Carpredefinitoparagrafo"/>
    <w:link w:val="Corpodeltesto3"/>
    <w:uiPriority w:val="99"/>
    <w:rsid w:val="00AA1D8D"/>
    <w:rPr>
      <w:sz w:val="16"/>
      <w:szCs w:val="16"/>
    </w:rPr>
  </w:style>
  <w:style w:type="paragraph" w:styleId="Elenco">
    <w:name w:val="List"/>
    <w:basedOn w:val="Normale"/>
    <w:uiPriority w:val="99"/>
    <w:unhideWhenUsed/>
    <w:rsid w:val="00AA1D8D"/>
    <w:pPr>
      <w:ind w:left="360" w:hanging="360"/>
      <w:contextualSpacing/>
    </w:pPr>
  </w:style>
  <w:style w:type="paragraph" w:styleId="Elenco2">
    <w:name w:val="List 2"/>
    <w:basedOn w:val="Normale"/>
    <w:uiPriority w:val="99"/>
    <w:unhideWhenUsed/>
    <w:rsid w:val="00326F90"/>
    <w:pPr>
      <w:ind w:left="720" w:hanging="360"/>
      <w:contextualSpacing/>
    </w:pPr>
  </w:style>
  <w:style w:type="paragraph" w:styleId="Elenco3">
    <w:name w:val="List 3"/>
    <w:basedOn w:val="Normale"/>
    <w:uiPriority w:val="99"/>
    <w:unhideWhenUsed/>
    <w:rsid w:val="00326F90"/>
    <w:pPr>
      <w:ind w:left="1080" w:hanging="360"/>
      <w:contextualSpacing/>
    </w:pPr>
  </w:style>
  <w:style w:type="paragraph" w:styleId="Puntoelenco">
    <w:name w:val="List Bullet"/>
    <w:basedOn w:val="Normale"/>
    <w:uiPriority w:val="99"/>
    <w:unhideWhenUsed/>
    <w:rsid w:val="00326F90"/>
    <w:pPr>
      <w:numPr>
        <w:numId w:val="1"/>
      </w:numPr>
      <w:contextualSpacing/>
    </w:pPr>
  </w:style>
  <w:style w:type="paragraph" w:styleId="Puntoelenco2">
    <w:name w:val="List Bullet 2"/>
    <w:basedOn w:val="Normale"/>
    <w:uiPriority w:val="99"/>
    <w:unhideWhenUsed/>
    <w:rsid w:val="00326F90"/>
    <w:pPr>
      <w:numPr>
        <w:numId w:val="2"/>
      </w:numPr>
      <w:contextualSpacing/>
    </w:pPr>
  </w:style>
  <w:style w:type="paragraph" w:styleId="Puntoelenco3">
    <w:name w:val="List Bullet 3"/>
    <w:basedOn w:val="Normale"/>
    <w:uiPriority w:val="99"/>
    <w:unhideWhenUsed/>
    <w:rsid w:val="00326F90"/>
    <w:pPr>
      <w:numPr>
        <w:numId w:val="3"/>
      </w:numPr>
      <w:contextualSpacing/>
    </w:pPr>
  </w:style>
  <w:style w:type="paragraph" w:styleId="Numeroelenco">
    <w:name w:val="List Number"/>
    <w:basedOn w:val="Normale"/>
    <w:uiPriority w:val="99"/>
    <w:unhideWhenUsed/>
    <w:rsid w:val="00326F90"/>
    <w:pPr>
      <w:numPr>
        <w:numId w:val="5"/>
      </w:numPr>
      <w:contextualSpacing/>
    </w:pPr>
  </w:style>
  <w:style w:type="paragraph" w:styleId="Numeroelenco2">
    <w:name w:val="List Number 2"/>
    <w:basedOn w:val="Normale"/>
    <w:uiPriority w:val="99"/>
    <w:unhideWhenUsed/>
    <w:rsid w:val="0029639D"/>
    <w:pPr>
      <w:numPr>
        <w:numId w:val="6"/>
      </w:numPr>
      <w:contextualSpacing/>
    </w:pPr>
  </w:style>
  <w:style w:type="paragraph" w:styleId="Numeroelenco3">
    <w:name w:val="List Number 3"/>
    <w:basedOn w:val="Normale"/>
    <w:uiPriority w:val="99"/>
    <w:unhideWhenUsed/>
    <w:rsid w:val="0029639D"/>
    <w:pPr>
      <w:numPr>
        <w:numId w:val="7"/>
      </w:numPr>
      <w:contextualSpacing/>
    </w:pPr>
  </w:style>
  <w:style w:type="paragraph" w:styleId="Elencocontinua">
    <w:name w:val="List Continue"/>
    <w:basedOn w:val="Normale"/>
    <w:uiPriority w:val="99"/>
    <w:unhideWhenUsed/>
    <w:rsid w:val="0029639D"/>
    <w:pPr>
      <w:ind w:left="360"/>
      <w:contextualSpacing/>
    </w:pPr>
  </w:style>
  <w:style w:type="paragraph" w:styleId="Elencocontinua2">
    <w:name w:val="List Continue 2"/>
    <w:basedOn w:val="Normale"/>
    <w:uiPriority w:val="99"/>
    <w:unhideWhenUsed/>
    <w:rsid w:val="0029639D"/>
    <w:pPr>
      <w:ind w:left="720"/>
      <w:contextualSpacing/>
    </w:pPr>
  </w:style>
  <w:style w:type="paragraph" w:styleId="Elencocontinua3">
    <w:name w:val="List Continue 3"/>
    <w:basedOn w:val="Normale"/>
    <w:uiPriority w:val="99"/>
    <w:unhideWhenUsed/>
    <w:rsid w:val="0029639D"/>
    <w:pPr>
      <w:ind w:left="1080"/>
      <w:contextualSpacing/>
    </w:pPr>
  </w:style>
  <w:style w:type="paragraph" w:styleId="Testomacro">
    <w:name w:val="macro"/>
    <w:link w:val="TestomacroCarattere"/>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stomacroCarattere">
    <w:name w:val="Testo macro Carattere"/>
    <w:basedOn w:val="Carpredefinitoparagrafo"/>
    <w:link w:val="Testomacro"/>
    <w:uiPriority w:val="99"/>
    <w:rsid w:val="0029639D"/>
    <w:rPr>
      <w:rFonts w:ascii="Courier" w:hAnsi="Courier"/>
      <w:sz w:val="20"/>
      <w:szCs w:val="20"/>
    </w:rPr>
  </w:style>
  <w:style w:type="paragraph" w:styleId="Citazione">
    <w:name w:val="Quote"/>
    <w:basedOn w:val="Normale"/>
    <w:next w:val="Normale"/>
    <w:link w:val="CitazioneCarattere"/>
    <w:uiPriority w:val="29"/>
    <w:qFormat/>
    <w:rsid w:val="00FC693F"/>
    <w:rPr>
      <w:i/>
      <w:iCs/>
      <w:color w:val="000000" w:themeColor="text1"/>
    </w:rPr>
  </w:style>
  <w:style w:type="character" w:customStyle="1" w:styleId="CitazioneCarattere">
    <w:name w:val="Citazione Carattere"/>
    <w:basedOn w:val="Carpredefinitoparagrafo"/>
    <w:link w:val="Citazione"/>
    <w:uiPriority w:val="29"/>
    <w:rsid w:val="00FC693F"/>
    <w:rPr>
      <w:i/>
      <w:iCs/>
      <w:color w:val="000000" w:themeColor="text1"/>
    </w:rPr>
  </w:style>
  <w:style w:type="character" w:customStyle="1" w:styleId="Titolo4Carattere">
    <w:name w:val="Titolo 4 Carattere"/>
    <w:basedOn w:val="Carpredefinitoparagrafo"/>
    <w:link w:val="Titolo4"/>
    <w:uiPriority w:val="9"/>
    <w:semiHidden/>
    <w:rsid w:val="00FC693F"/>
    <w:rPr>
      <w:rFonts w:asciiTheme="majorHAnsi" w:eastAsiaTheme="majorEastAsia" w:hAnsiTheme="majorHAnsi" w:cstheme="majorBidi"/>
      <w:b/>
      <w:bCs/>
      <w:i/>
      <w:iCs/>
      <w:color w:val="4F81BD" w:themeColor="accent1"/>
    </w:rPr>
  </w:style>
  <w:style w:type="character" w:customStyle="1" w:styleId="Titolo5Carattere">
    <w:name w:val="Titolo 5 Carattere"/>
    <w:basedOn w:val="Carpredefinitoparagrafo"/>
    <w:link w:val="Titolo5"/>
    <w:uiPriority w:val="9"/>
    <w:semiHidden/>
    <w:rsid w:val="00FC693F"/>
    <w:rPr>
      <w:rFonts w:asciiTheme="majorHAnsi" w:eastAsiaTheme="majorEastAsia" w:hAnsiTheme="majorHAnsi" w:cstheme="majorBidi"/>
      <w:color w:val="243F60" w:themeColor="accent1" w:themeShade="7F"/>
    </w:rPr>
  </w:style>
  <w:style w:type="character" w:customStyle="1" w:styleId="Titolo6Carattere">
    <w:name w:val="Titolo 6 Carattere"/>
    <w:basedOn w:val="Carpredefinitoparagrafo"/>
    <w:link w:val="Titolo6"/>
    <w:uiPriority w:val="9"/>
    <w:semiHidden/>
    <w:rsid w:val="00FC693F"/>
    <w:rPr>
      <w:rFonts w:asciiTheme="majorHAnsi" w:eastAsiaTheme="majorEastAsia" w:hAnsiTheme="majorHAnsi" w:cstheme="majorBidi"/>
      <w:i/>
      <w:iCs/>
      <w:color w:val="243F60" w:themeColor="accent1" w:themeShade="7F"/>
    </w:rPr>
  </w:style>
  <w:style w:type="character" w:customStyle="1" w:styleId="Titolo7Carattere">
    <w:name w:val="Titolo 7 Carattere"/>
    <w:basedOn w:val="Carpredefinitoparagrafo"/>
    <w:link w:val="Titolo7"/>
    <w:uiPriority w:val="9"/>
    <w:semiHidden/>
    <w:rsid w:val="00FC693F"/>
    <w:rPr>
      <w:rFonts w:asciiTheme="majorHAnsi" w:eastAsiaTheme="majorEastAsia" w:hAnsiTheme="majorHAnsi" w:cstheme="majorBidi"/>
      <w:i/>
      <w:iCs/>
      <w:color w:val="404040" w:themeColor="text1" w:themeTint="BF"/>
    </w:rPr>
  </w:style>
  <w:style w:type="character" w:customStyle="1" w:styleId="Titolo8Carattere">
    <w:name w:val="Titolo 8 Carattere"/>
    <w:basedOn w:val="Carpredefinitoparagrafo"/>
    <w:link w:val="Titolo8"/>
    <w:uiPriority w:val="9"/>
    <w:semiHidden/>
    <w:rsid w:val="00FC693F"/>
    <w:rPr>
      <w:rFonts w:asciiTheme="majorHAnsi" w:eastAsiaTheme="majorEastAsia" w:hAnsiTheme="majorHAnsi" w:cstheme="majorBidi"/>
      <w:color w:val="4F81BD" w:themeColor="accent1"/>
      <w:sz w:val="20"/>
      <w:szCs w:val="20"/>
    </w:rPr>
  </w:style>
  <w:style w:type="character" w:customStyle="1" w:styleId="Titolo9Carattere">
    <w:name w:val="Titolo 9 Carattere"/>
    <w:basedOn w:val="Carpredefinitoparagrafo"/>
    <w:link w:val="Titolo9"/>
    <w:uiPriority w:val="9"/>
    <w:semiHidden/>
    <w:rsid w:val="00FC693F"/>
    <w:rPr>
      <w:rFonts w:asciiTheme="majorHAnsi" w:eastAsiaTheme="majorEastAsia" w:hAnsiTheme="majorHAnsi" w:cstheme="majorBidi"/>
      <w:i/>
      <w:iCs/>
      <w:color w:val="404040" w:themeColor="text1" w:themeTint="BF"/>
      <w:sz w:val="20"/>
      <w:szCs w:val="20"/>
    </w:rPr>
  </w:style>
  <w:style w:type="paragraph" w:styleId="Didascalia">
    <w:name w:val="caption"/>
    <w:basedOn w:val="Normale"/>
    <w:next w:val="Normale"/>
    <w:uiPriority w:val="35"/>
    <w:semiHidden/>
    <w:unhideWhenUsed/>
    <w:qFormat/>
    <w:rsid w:val="00FC693F"/>
    <w:pPr>
      <w:spacing w:line="240" w:lineRule="auto"/>
    </w:pPr>
    <w:rPr>
      <w:b/>
      <w:bCs/>
      <w:color w:val="4F81BD" w:themeColor="accent1"/>
      <w:sz w:val="18"/>
      <w:szCs w:val="18"/>
    </w:rPr>
  </w:style>
  <w:style w:type="character" w:styleId="Enfasigrassetto">
    <w:name w:val="Strong"/>
    <w:basedOn w:val="Carpredefinitoparagrafo"/>
    <w:uiPriority w:val="22"/>
    <w:qFormat/>
    <w:rsid w:val="00FC693F"/>
    <w:rPr>
      <w:b/>
      <w:bCs/>
    </w:rPr>
  </w:style>
  <w:style w:type="character" w:styleId="Enfasicorsivo">
    <w:name w:val="Emphasis"/>
    <w:basedOn w:val="Carpredefinitoparagrafo"/>
    <w:uiPriority w:val="20"/>
    <w:qFormat/>
    <w:rsid w:val="00FC693F"/>
    <w:rPr>
      <w:i/>
      <w:iCs/>
    </w:rPr>
  </w:style>
  <w:style w:type="paragraph" w:styleId="Citazioneintensa">
    <w:name w:val="Intense Quote"/>
    <w:basedOn w:val="Normale"/>
    <w:next w:val="Normale"/>
    <w:link w:val="CitazioneintensaCarattere"/>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zioneintensaCarattere">
    <w:name w:val="Citazione intensa Carattere"/>
    <w:basedOn w:val="Carpredefinitoparagrafo"/>
    <w:link w:val="Citazioneintensa"/>
    <w:uiPriority w:val="30"/>
    <w:rsid w:val="00FC693F"/>
    <w:rPr>
      <w:b/>
      <w:bCs/>
      <w:i/>
      <w:iCs/>
      <w:color w:val="4F81BD" w:themeColor="accent1"/>
    </w:rPr>
  </w:style>
  <w:style w:type="character" w:styleId="Enfasidelicata">
    <w:name w:val="Subtle Emphasis"/>
    <w:basedOn w:val="Carpredefinitoparagrafo"/>
    <w:uiPriority w:val="19"/>
    <w:qFormat/>
    <w:rsid w:val="00FC693F"/>
    <w:rPr>
      <w:i/>
      <w:iCs/>
      <w:color w:val="808080" w:themeColor="text1" w:themeTint="7F"/>
    </w:rPr>
  </w:style>
  <w:style w:type="character" w:styleId="Enfasiintensa">
    <w:name w:val="Intense Emphasis"/>
    <w:basedOn w:val="Carpredefinitoparagrafo"/>
    <w:uiPriority w:val="21"/>
    <w:qFormat/>
    <w:rsid w:val="00FC693F"/>
    <w:rPr>
      <w:b/>
      <w:bCs/>
      <w:i/>
      <w:iCs/>
      <w:color w:val="4F81BD" w:themeColor="accent1"/>
    </w:rPr>
  </w:style>
  <w:style w:type="character" w:styleId="Riferimentodelicato">
    <w:name w:val="Subtle Reference"/>
    <w:basedOn w:val="Carpredefinitoparagrafo"/>
    <w:uiPriority w:val="31"/>
    <w:qFormat/>
    <w:rsid w:val="00FC693F"/>
    <w:rPr>
      <w:smallCaps/>
      <w:color w:val="C0504D" w:themeColor="accent2"/>
      <w:u w:val="single"/>
    </w:rPr>
  </w:style>
  <w:style w:type="character" w:styleId="Riferimentointenso">
    <w:name w:val="Intense Reference"/>
    <w:basedOn w:val="Carpredefinitoparagrafo"/>
    <w:uiPriority w:val="32"/>
    <w:qFormat/>
    <w:rsid w:val="00FC693F"/>
    <w:rPr>
      <w:b/>
      <w:bCs/>
      <w:smallCaps/>
      <w:color w:val="C0504D" w:themeColor="accent2"/>
      <w:spacing w:val="5"/>
      <w:u w:val="single"/>
    </w:rPr>
  </w:style>
  <w:style w:type="character" w:styleId="Titolodellibro">
    <w:name w:val="Book Title"/>
    <w:basedOn w:val="Carpredefinitoparagrafo"/>
    <w:uiPriority w:val="33"/>
    <w:qFormat/>
    <w:rsid w:val="00FC693F"/>
    <w:rPr>
      <w:b/>
      <w:bCs/>
      <w:smallCaps/>
      <w:spacing w:val="5"/>
    </w:rPr>
  </w:style>
  <w:style w:type="paragraph" w:styleId="Titolosommario">
    <w:name w:val="TOC Heading"/>
    <w:basedOn w:val="Titolo1"/>
    <w:next w:val="Normale"/>
    <w:uiPriority w:val="39"/>
    <w:semiHidden/>
    <w:unhideWhenUsed/>
    <w:qFormat/>
    <w:rsid w:val="00FC693F"/>
    <w:pPr>
      <w:outlineLvl w:val="9"/>
    </w:pPr>
  </w:style>
  <w:style w:type="table" w:styleId="Grigliatabella">
    <w:name w:val="Table Grid"/>
    <w:basedOn w:val="Tabellanorma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fondochiaro">
    <w:name w:val="Light Shading"/>
    <w:basedOn w:val="Tabellanorma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fondochiaro-Colore1">
    <w:name w:val="Light Shading Accent 1"/>
    <w:basedOn w:val="Tabellanorma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fondochiaro-Colore2">
    <w:name w:val="Light Shading Accent 2"/>
    <w:basedOn w:val="Tabellanorma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fondochiaro-Colore3">
    <w:name w:val="Light Shading Accent 3"/>
    <w:basedOn w:val="Tabellanorma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fondochiaro-Colore4">
    <w:name w:val="Light Shading Accent 4"/>
    <w:basedOn w:val="Tabellanorma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fondochiaro-Colore5">
    <w:name w:val="Light Shading Accent 5"/>
    <w:basedOn w:val="Tabellanorma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fondochiaro-Colore6">
    <w:name w:val="Light Shading Accent 6"/>
    <w:basedOn w:val="Tabellanorma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Elencochiaro">
    <w:name w:val="Light List"/>
    <w:basedOn w:val="Tabellanorma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Elencochiaro-Colore1">
    <w:name w:val="Light List Accent 1"/>
    <w:basedOn w:val="Tabellanorma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Elencochiaro-Colore2">
    <w:name w:val="Light List Accent 2"/>
    <w:basedOn w:val="Tabellanorma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Elencochiaro-Colore3">
    <w:name w:val="Light List Accent 3"/>
    <w:basedOn w:val="Tabellanorma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Elencochiaro-Colore4">
    <w:name w:val="Light List Accent 4"/>
    <w:basedOn w:val="Tabellanorma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Elencochiaro-Colore5">
    <w:name w:val="Light List Accent 5"/>
    <w:basedOn w:val="Tabellanorma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Elencochiaro-Colore6">
    <w:name w:val="Light List Accent 6"/>
    <w:basedOn w:val="Tabellanorma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igliachiara">
    <w:name w:val="Light Grid"/>
    <w:basedOn w:val="Tabellanorma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igliachiara-Colore1">
    <w:name w:val="Light Grid Accent 1"/>
    <w:basedOn w:val="Tabellanorma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igliachiara-Colore2">
    <w:name w:val="Light Grid Accent 2"/>
    <w:basedOn w:val="Tabellanorma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igliachiara-Colore3">
    <w:name w:val="Light Grid Accent 3"/>
    <w:basedOn w:val="Tabellanorma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igliachiara-Colore4">
    <w:name w:val="Light Grid Accent 4"/>
    <w:basedOn w:val="Tabellanorma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igliachiara-Colore5">
    <w:name w:val="Light Grid Accent 5"/>
    <w:basedOn w:val="Tabellanorma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igliachiara-Colore6">
    <w:name w:val="Light Grid Accent 6"/>
    <w:basedOn w:val="Tabellanorma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fondomedio1">
    <w:name w:val="Medium Shading 1"/>
    <w:basedOn w:val="Tabellanorma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fondomedio1-Colore1">
    <w:name w:val="Medium Shading 1 Accent 1"/>
    <w:basedOn w:val="Tabellanorma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fondomedio1-Colore2">
    <w:name w:val="Medium Shading 1 Accent 2"/>
    <w:basedOn w:val="Tabellanorma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fondomedio1-Colore3">
    <w:name w:val="Medium Shading 1 Accent 3"/>
    <w:basedOn w:val="Tabellanorma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fondomedio1-Colore4">
    <w:name w:val="Medium Shading 1 Accent 4"/>
    <w:basedOn w:val="Tabellanorma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fondomedio1-Colore5">
    <w:name w:val="Medium Shading 1 Accent 5"/>
    <w:basedOn w:val="Tabellanorma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fondomedio1-Colore6">
    <w:name w:val="Medium Shading 1 Accent 6"/>
    <w:basedOn w:val="Tabellanorma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fondomedio2">
    <w:name w:val="Medium Shading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1">
    <w:name w:val="Medium Shading 2 Accent 1"/>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2">
    <w:name w:val="Medium Shading 2 Accent 2"/>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3">
    <w:name w:val="Medium Shading 2 Accent 3"/>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4">
    <w:name w:val="Medium Shading 2 Accent 4"/>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5">
    <w:name w:val="Medium Shading 2 Accent 5"/>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fondomedio2-Colore6">
    <w:name w:val="Medium Shading 2 Accent 6"/>
    <w:basedOn w:val="Tabellanorma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Elencomedio1">
    <w:name w:val="Medium List 1"/>
    <w:basedOn w:val="Tabellanorma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Elencomedio1-Colore1">
    <w:name w:val="Medium List 1 Accent 1"/>
    <w:basedOn w:val="Tabellanorma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Elencomedio1-Colore2">
    <w:name w:val="Medium List 1 Accent 2"/>
    <w:basedOn w:val="Tabellanorma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Elencomedio1-Colore3">
    <w:name w:val="Medium List 1 Accent 3"/>
    <w:basedOn w:val="Tabellanorma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Elencomedio1-Colore4">
    <w:name w:val="Medium List 1 Accent 4"/>
    <w:basedOn w:val="Tabellanorma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Elencomedio1-Colore5">
    <w:name w:val="Medium List 1 Accent 5"/>
    <w:basedOn w:val="Tabellanorma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Elencomedio1-Colore6">
    <w:name w:val="Medium List 1 Accent 6"/>
    <w:basedOn w:val="Tabellanorma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Elencomedio2">
    <w:name w:val="Medium Lis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1">
    <w:name w:val="Medium List 2 Accent 1"/>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2">
    <w:name w:val="Medium List 2 Accent 2"/>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3">
    <w:name w:val="Medium List 2 Accent 3"/>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4">
    <w:name w:val="Medium List 2 Accent 4"/>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5">
    <w:name w:val="Medium List 2 Accent 5"/>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Elencomedio2-Colore6">
    <w:name w:val="Medium List 2 Accent 6"/>
    <w:basedOn w:val="Tabellanorma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igliamedia1">
    <w:name w:val="Medium Grid 1"/>
    <w:basedOn w:val="Tabellanorma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media1-Colore1">
    <w:name w:val="Medium Grid 1 Accent 1"/>
    <w:basedOn w:val="Tabellanorma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media1-Colore2">
    <w:name w:val="Medium Grid 1 Accent 2"/>
    <w:basedOn w:val="Tabellanorma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media1-Colore3">
    <w:name w:val="Medium Grid 1 Accent 3"/>
    <w:basedOn w:val="Tabellanorma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media1-Colore4">
    <w:name w:val="Medium Grid 1 Accent 4"/>
    <w:basedOn w:val="Tabellanorma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media1-Colore5">
    <w:name w:val="Medium Grid 1 Accent 5"/>
    <w:basedOn w:val="Tabellanorma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media1-Colore6">
    <w:name w:val="Medium Grid 1 Accent 6"/>
    <w:basedOn w:val="Tabellanorma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igliamedia2">
    <w:name w:val="Medium Grid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igliamedia2-Colore1">
    <w:name w:val="Medium Grid 2 Accent 1"/>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igliamedia2-Colore2">
    <w:name w:val="Medium Grid 2 Accent 2"/>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igliamedia2-Colore3">
    <w:name w:val="Medium Grid 2 Accent 3"/>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igliamedia2-Colore4">
    <w:name w:val="Medium Grid 2 Accent 4"/>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igliamedia2-Colore5">
    <w:name w:val="Medium Grid 2 Accent 5"/>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igliamedia2-Colore6">
    <w:name w:val="Medium Grid 2 Accent 6"/>
    <w:basedOn w:val="Tabellanorma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igliamedia3">
    <w:name w:val="Medium Grid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igliamedia3-Colore1">
    <w:name w:val="Medium Grid 3 Accent 1"/>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igliamedia3-Colore2">
    <w:name w:val="Medium Grid 3 Accent 2"/>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igliamedia3-Colore3">
    <w:name w:val="Medium Grid 3 Accent 3"/>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igliamedia3-Colore4">
    <w:name w:val="Medium Grid 3 Accent 4"/>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igliamedia3-Colore5">
    <w:name w:val="Medium Grid 3 Accent 5"/>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igliamedia3-Colore6">
    <w:name w:val="Medium Grid 3 Accent 6"/>
    <w:basedOn w:val="Tabellanorma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Elencoscuro">
    <w:name w:val="Dark List"/>
    <w:basedOn w:val="Tabellanorma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Elencoscuro-Colore1">
    <w:name w:val="Dark List Accent 1"/>
    <w:basedOn w:val="Tabellanorma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Elencoscuro-Colore2">
    <w:name w:val="Dark List Accent 2"/>
    <w:basedOn w:val="Tabellanorma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Elencoscuro-Colore3">
    <w:name w:val="Dark List Accent 3"/>
    <w:basedOn w:val="Tabellanorma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Elencoscuro-Colore4">
    <w:name w:val="Dark List Accent 4"/>
    <w:basedOn w:val="Tabellanorma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Elencoscuro-Colore5">
    <w:name w:val="Dark List Accent 5"/>
    <w:basedOn w:val="Tabellanorma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Elencoscuro-Colore6">
    <w:name w:val="Dark List Accent 6"/>
    <w:basedOn w:val="Tabellanorma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fondoacolori">
    <w:name w:val="Colorful Shading"/>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fondoacolori-Colore1">
    <w:name w:val="Colorful Shading Accent 1"/>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fondoacolori-Colore2">
    <w:name w:val="Colorful Shading Accent 2"/>
    <w:basedOn w:val="Tabellanorma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fondoacolori-Colore3">
    <w:name w:val="Colorful Shading Accent 3"/>
    <w:basedOn w:val="Tabellanorma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fondoacolori-Colore4">
    <w:name w:val="Colorful Shading Accent 4"/>
    <w:basedOn w:val="Tabellanorma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fondoacolori-Colore5">
    <w:name w:val="Colorful Shading Accent 5"/>
    <w:basedOn w:val="Tabellanorma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fondoacolori-Colore6">
    <w:name w:val="Colorful Shading Accent 6"/>
    <w:basedOn w:val="Tabellanorma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Elencoacolori">
    <w:name w:val="Colorful List"/>
    <w:basedOn w:val="Tabellanorma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Elencoacolori-Colore1">
    <w:name w:val="Colorful List Accent 1"/>
    <w:basedOn w:val="Tabellanorma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Elencoacolori-Colore2">
    <w:name w:val="Colorful List Accent 2"/>
    <w:basedOn w:val="Tabellanorma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Elencoacolori-Colore3">
    <w:name w:val="Colorful List Accent 3"/>
    <w:basedOn w:val="Tabellanorma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Elencoacolori-Colore4">
    <w:name w:val="Colorful List Accent 4"/>
    <w:basedOn w:val="Tabellanorma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Elencoacolori-Colore5">
    <w:name w:val="Colorful List Accent 5"/>
    <w:basedOn w:val="Tabellanorma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Elencoacolori-Colore6">
    <w:name w:val="Colorful List Accent 6"/>
    <w:basedOn w:val="Tabellanorma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igliaacolori">
    <w:name w:val="Colorful Grid"/>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igliaacolori-Colore1">
    <w:name w:val="Colorful Grid Accent 1"/>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igliaacolori-Colore2">
    <w:name w:val="Colorful Grid Accent 2"/>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igliaacolori-Colore3">
    <w:name w:val="Colorful Grid Accent 3"/>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igliaacolori-Colore4">
    <w:name w:val="Colorful Grid Accent 4"/>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igliaacolori-Colore5">
    <w:name w:val="Colorful Grid Accent 5"/>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igliaacolori-Colore6">
    <w:name w:val="Colorful Grid Accent 6"/>
    <w:basedOn w:val="Tabellanorma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10</Pages>
  <Words>3650</Words>
  <Characters>20807</Characters>
  <Application>Microsoft Office Word</Application>
  <DocSecurity>0</DocSecurity>
  <Lines>173</Lines>
  <Paragraphs>48</Paragraphs>
  <ScaleCrop>false</ScaleCrop>
  <HeadingPairs>
    <vt:vector size="4" baseType="variant">
      <vt:variant>
        <vt:lpstr>Titolo</vt:lpstr>
      </vt:variant>
      <vt:variant>
        <vt:i4>1</vt:i4>
      </vt:variant>
      <vt:variant>
        <vt:lpstr>Title</vt:lpstr>
      </vt:variant>
      <vt:variant>
        <vt:i4>1</vt:i4>
      </vt:variant>
    </vt:vector>
  </HeadingPairs>
  <TitlesOfParts>
    <vt:vector size="2" baseType="lpstr">
      <vt:lpstr>Riassunto Capitolo 2 - I mutamenti dello scenario mondiale all’inizio del Novecento</vt:lpstr>
      <vt:lpstr/>
    </vt:vector>
  </TitlesOfParts>
  <Manager/>
  <Company/>
  <LinksUpToDate>false</LinksUpToDate>
  <CharactersWithSpaces>24409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Riassunto Capitolo 2 - I mutamenti dello scenario mondiale all’inizio del Novecento</dc:title>
  <dc:subject>Riassunto di storia</dc:subject>
  <dc:creator/>
  <cp:keywords/>
  <dc:description/>
  <cp:lastModifiedBy>Roberto Guerini</cp:lastModifiedBy>
  <cp:revision>2</cp:revision>
  <dcterms:created xsi:type="dcterms:W3CDTF">2013-12-23T23:15:00Z</dcterms:created>
  <dcterms:modified xsi:type="dcterms:W3CDTF">2026-05-29T19:50:00Z</dcterms:modified>
  <cp:category/>
</cp:coreProperties>
</file>