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574B1" w14:textId="77777777" w:rsidR="00D47093" w:rsidRPr="007F123B" w:rsidRDefault="00000000">
      <w:pPr>
        <w:spacing w:after="240"/>
        <w:jc w:val="center"/>
        <w:rPr>
          <w:lang w:val="it-IT"/>
        </w:rPr>
      </w:pPr>
      <w:r w:rsidRPr="007F123B">
        <w:rPr>
          <w:b/>
          <w:sz w:val="30"/>
          <w:lang w:val="it-IT"/>
        </w:rPr>
        <w:t>L’età giolittiana: modernizzazione dell’Italia, questione sociale e crisi del liberalismo</w:t>
      </w:r>
    </w:p>
    <w:p w14:paraId="554365B4" w14:textId="77777777" w:rsidR="00D47093" w:rsidRPr="007F123B" w:rsidRDefault="00000000">
      <w:pPr>
        <w:pStyle w:val="Titolo1"/>
        <w:spacing w:before="160" w:after="80"/>
        <w:rPr>
          <w:lang w:val="it-IT"/>
        </w:rPr>
      </w:pPr>
      <w:r w:rsidRPr="007F123B">
        <w:rPr>
          <w:rFonts w:ascii="Calibri" w:eastAsia="Calibri" w:hAnsi="Calibri"/>
          <w:lang w:val="it-IT"/>
        </w:rPr>
        <w:t>Dalla crisi di fine secolo alla svolta liberal-democratica</w:t>
      </w:r>
    </w:p>
    <w:p w14:paraId="15A18A74" w14:textId="77777777" w:rsidR="00D47093" w:rsidRPr="007F123B" w:rsidRDefault="00000000">
      <w:pPr>
        <w:rPr>
          <w:lang w:val="it-IT"/>
        </w:rPr>
      </w:pPr>
      <w:r w:rsidRPr="007F123B">
        <w:rPr>
          <w:lang w:val="it-IT"/>
        </w:rPr>
        <w:t>Alla fine dell’Ottocento l’Italia attraversò una grave crisi politica e istituzionale. I governi liberali avevano reagito all’affermarsi dei movimenti di massa con strumenti prevalentemente autoritari. La caduta dell’ultimo governo Crispi nel 1896, dopo la sconfitta italiana ad Adua contro l’esercito abissino di Menelik II, portò al ritorno al governo di Antonio Starabba di Rudinì, esponente conservatore.</w:t>
      </w:r>
    </w:p>
    <w:p w14:paraId="7149325E" w14:textId="77777777" w:rsidR="00D47093" w:rsidRPr="007F123B" w:rsidRDefault="00000000">
      <w:pPr>
        <w:rPr>
          <w:lang w:val="it-IT"/>
        </w:rPr>
      </w:pPr>
      <w:r w:rsidRPr="007F123B">
        <w:rPr>
          <w:lang w:val="it-IT"/>
        </w:rPr>
        <w:t>Il contesto era reso più instabile dall’allargamento del suffragio introdotto con la legge elettorale del 1882 e dalla nascita, nel 1892, del Partito socialista italiano, primo partito di massa moderno nel paese. Per i liberali conservatori, abituati a un sistema politico censitario e individualista, questi mutamenti apparivano come una minaccia.</w:t>
      </w:r>
    </w:p>
    <w:p w14:paraId="201E4320" w14:textId="77777777" w:rsidR="00D47093" w:rsidRPr="007F123B" w:rsidRDefault="00000000">
      <w:pPr>
        <w:rPr>
          <w:lang w:val="it-IT"/>
        </w:rPr>
      </w:pPr>
      <w:r w:rsidRPr="007F123B">
        <w:rPr>
          <w:lang w:val="it-IT"/>
        </w:rPr>
        <w:t>Nel gennaio 1897 Sidney Sonnino pubblicò sulla “Nuova Antologia” l’articolo Torniamo allo Statuto, nel quale proponeva di rafforzare il ruolo della monarchia a scapito del Parlamento. Sonnino voleva tornare alla lettera dello Statuto albertino, secondo cui il governo dipendeva soprattutto dalla fiducia del re, non da quella parlamentare. Era quindi una proposta di tipo conservatore e autoritario, contraria all’evoluzione democratica del sistema politico.</w:t>
      </w:r>
    </w:p>
    <w:p w14:paraId="4401E995" w14:textId="77777777" w:rsidR="00D47093" w:rsidRPr="007F123B" w:rsidRDefault="00000000">
      <w:pPr>
        <w:rPr>
          <w:lang w:val="it-IT"/>
        </w:rPr>
      </w:pPr>
      <w:r w:rsidRPr="007F123B">
        <w:rPr>
          <w:lang w:val="it-IT"/>
        </w:rPr>
        <w:t>La situazione precipitò nel 1898, quando il forte rincaro del prezzo del pane provocò proteste popolari in varie zone d’Italia. A Milano, tra il 6 e il 9 maggio, il generale Bava Beccaris ordinò di sparare con i cannoni contro i dimostranti, causando oltre 80 morti e centinaia di feriti. La città fu posta in stato d’assedio e furono duramente colpiti socialisti, radicali, repubblicani e cattolici sociali.</w:t>
      </w:r>
    </w:p>
    <w:p w14:paraId="186AD37F" w14:textId="77777777" w:rsidR="00D47093" w:rsidRPr="007F123B" w:rsidRDefault="00000000">
      <w:pPr>
        <w:rPr>
          <w:lang w:val="it-IT"/>
        </w:rPr>
      </w:pPr>
      <w:r w:rsidRPr="007F123B">
        <w:rPr>
          <w:lang w:val="it-IT"/>
        </w:rPr>
        <w:t>Nel 1899 il presidente del Consiglio Luigi Pelloux tentò di far approvare leggi che limitavano la libertà di stampa, di associazione e di sciopero. Contro questi provvedimenti si formò un’opposizione parlamentare composta da socialisti, radicali, repubblicani e liberali progressisti vicini a Giolitti e Zanardelli. L’ostruzionismo parlamentare impedì l’approvazione delle leggi e le elezioni del 1900 segnarono un’avanzata delle opposizioni, costringendo Pelloux alle dimissioni.</w:t>
      </w:r>
    </w:p>
    <w:p w14:paraId="554064DC" w14:textId="77777777" w:rsidR="00D47093" w:rsidRPr="007F123B" w:rsidRDefault="00000000">
      <w:pPr>
        <w:pStyle w:val="Titolo1"/>
        <w:spacing w:before="160" w:after="80"/>
        <w:rPr>
          <w:lang w:val="it-IT"/>
        </w:rPr>
      </w:pPr>
      <w:r w:rsidRPr="007F123B">
        <w:rPr>
          <w:rFonts w:ascii="Calibri" w:eastAsia="Calibri" w:hAnsi="Calibri"/>
          <w:lang w:val="it-IT"/>
        </w:rPr>
        <w:t>L’assassinio di Umberto I e l’avvio del nuovo corso politico</w:t>
      </w:r>
    </w:p>
    <w:p w14:paraId="226A2ED4" w14:textId="77777777" w:rsidR="00D47093" w:rsidRPr="007F123B" w:rsidRDefault="00000000">
      <w:pPr>
        <w:rPr>
          <w:lang w:val="it-IT"/>
        </w:rPr>
      </w:pPr>
      <w:r w:rsidRPr="007F123B">
        <w:rPr>
          <w:lang w:val="it-IT"/>
        </w:rPr>
        <w:t>Il 29 luglio 1900 il re Umberto I fu assassinato dall’anarchico Gaetano Bresci, che intendeva vendicare i morti della repressione del 1898. Il regicidio avrebbe potuto favorire una nuova svolta autoritaria, ma il nuovo re Vittorio Emanuele III comprese che il clima politico era cambiato e si mostrò più aperto agli orientamenti liberal-democratici.</w:t>
      </w:r>
    </w:p>
    <w:p w14:paraId="5E934BDD" w14:textId="77777777" w:rsidR="00D47093" w:rsidRPr="007F123B" w:rsidRDefault="00000000">
      <w:pPr>
        <w:rPr>
          <w:lang w:val="it-IT"/>
        </w:rPr>
      </w:pPr>
      <w:r w:rsidRPr="007F123B">
        <w:rPr>
          <w:lang w:val="it-IT"/>
        </w:rPr>
        <w:t xml:space="preserve">Dopo il breve governo Saracco, nel febbraio 1901 il re affidò l’incarico a Giuseppe Zanardelli, leader della sinistra liberale. Con il governo Zanardelli terminò la fase autoritaria di fine secolo e </w:t>
      </w:r>
      <w:r w:rsidRPr="007F123B">
        <w:rPr>
          <w:lang w:val="it-IT"/>
        </w:rPr>
        <w:lastRenderedPageBreak/>
        <w:t>iniziò una svolta liberal-democratica. Al centro dell’azione politica non vi furono più soltanto le questioni istituzionali, ma soprattutto quelle sociali.</w:t>
      </w:r>
    </w:p>
    <w:p w14:paraId="53D236C0" w14:textId="77777777" w:rsidR="00D47093" w:rsidRPr="007F123B" w:rsidRDefault="00000000">
      <w:pPr>
        <w:rPr>
          <w:lang w:val="it-IT"/>
        </w:rPr>
      </w:pPr>
      <w:r w:rsidRPr="007F123B">
        <w:rPr>
          <w:lang w:val="it-IT"/>
        </w:rPr>
        <w:t>Il governo Zanardelli approvò provvedimenti per tutelare il lavoro femminile e minorile, migliorò le norme sulle assicurazioni per la vecchiaia e per gli infortuni sul lavoro, ridusse alcune imposte sui generi alimentari e favorì la municipalizzazione dei servizi pubblici, come elettricità, gas e trasporti. Non riuscì invece a realizzare una riforma tributaria progressiva, che avrebbe aumentato le imposte dirette in base alla ricchezza.</w:t>
      </w:r>
    </w:p>
    <w:p w14:paraId="428B38F2" w14:textId="77777777" w:rsidR="00D47093" w:rsidRPr="007F123B" w:rsidRDefault="00000000">
      <w:pPr>
        <w:pStyle w:val="Titolo1"/>
        <w:spacing w:before="160" w:after="80"/>
        <w:rPr>
          <w:lang w:val="it-IT"/>
        </w:rPr>
      </w:pPr>
      <w:r w:rsidRPr="007F123B">
        <w:rPr>
          <w:rFonts w:ascii="Calibri" w:eastAsia="Calibri" w:hAnsi="Calibri"/>
          <w:lang w:val="it-IT"/>
        </w:rPr>
        <w:t>Giolitti ministro degli Interni: neutralità dello Stato e riconoscimento dei conflitti sociali</w:t>
      </w:r>
    </w:p>
    <w:p w14:paraId="7214638B" w14:textId="77777777" w:rsidR="00D47093" w:rsidRPr="007F123B" w:rsidRDefault="00000000">
      <w:pPr>
        <w:rPr>
          <w:lang w:val="it-IT"/>
        </w:rPr>
      </w:pPr>
      <w:r w:rsidRPr="007F123B">
        <w:rPr>
          <w:lang w:val="it-IT"/>
        </w:rPr>
        <w:t>La figura centrale del governo Zanardelli fu Giovanni Giolitti, nominato ministro degli Interni. Giolitti si distinse dai governi precedenti perché rifiutò l’idea di risolvere il problema del consenso con la repressione. La sua politica si basava sull’integrazione delle masse popolari nello Stato liberale.</w:t>
      </w:r>
    </w:p>
    <w:p w14:paraId="133BBE37" w14:textId="77777777" w:rsidR="00D47093" w:rsidRPr="007F123B" w:rsidRDefault="00000000">
      <w:pPr>
        <w:rPr>
          <w:lang w:val="it-IT"/>
        </w:rPr>
      </w:pPr>
      <w:r w:rsidRPr="007F123B">
        <w:rPr>
          <w:lang w:val="it-IT"/>
        </w:rPr>
        <w:t>Per Giolitti l’ascesa delle classi popolari e la progressiva affermazione dei principi di uguaglianza erano fenomeni storici inevitabili. Lo Stato non doveva opporsi ciecamente alle rivendicazioni popolari, perché ciò avrebbe rafforzato le forze rivoluzionarie; doveva invece guidare e controllare il processo attraverso riforme, ampliamento dei diritti e maggiore partecipazione politica.</w:t>
      </w:r>
    </w:p>
    <w:p w14:paraId="75FCFB0D" w14:textId="77777777" w:rsidR="00D47093" w:rsidRPr="007F123B" w:rsidRDefault="00000000">
      <w:pPr>
        <w:rPr>
          <w:lang w:val="it-IT"/>
        </w:rPr>
      </w:pPr>
      <w:r w:rsidRPr="007F123B">
        <w:rPr>
          <w:lang w:val="it-IT"/>
        </w:rPr>
        <w:t>Questa nuova linea si espresse soprattutto nei conflitti tra capitale e lavoro. Giolitti sostenne che lo Stato non doveva più schierarsi automaticamente dalla parte dei proprietari e degli industriali, ma mantenere una posizione di rigorosa neutralità. Come ministro degli Interni riconobbe ai lavoratori il diritto di sciopero e la libertà di associazione, imponendo ai prefetti di far intervenire la forza pubblica solo in caso di minaccia concreta all’ordine e alla sicurezza.</w:t>
      </w:r>
    </w:p>
    <w:p w14:paraId="05380EF9" w14:textId="77777777" w:rsidR="00D47093" w:rsidRPr="007F123B" w:rsidRDefault="00000000">
      <w:pPr>
        <w:rPr>
          <w:lang w:val="it-IT"/>
        </w:rPr>
      </w:pPr>
      <w:r w:rsidRPr="007F123B">
        <w:rPr>
          <w:lang w:val="it-IT"/>
        </w:rPr>
        <w:t>Questa politica favorì una forte ripresa della mobilitazione operaia, che spesso ottenne aumenti salariali. Il contesto economico era infatti nuovamente favorevole: dopo una lunga fase negativa, l’Italia entrava in una fase espansiva. Anche una parte degli imprenditori riteneva che salari più alti potessero aumentare il potere d’acquisto, sostenere la domanda e ampliare il mercato interno.</w:t>
      </w:r>
    </w:p>
    <w:p w14:paraId="52A313A3" w14:textId="77777777" w:rsidR="00D47093" w:rsidRPr="007F123B" w:rsidRDefault="00000000">
      <w:pPr>
        <w:rPr>
          <w:lang w:val="it-IT"/>
        </w:rPr>
      </w:pPr>
      <w:r w:rsidRPr="007F123B">
        <w:rPr>
          <w:lang w:val="it-IT"/>
        </w:rPr>
        <w:t>In questi anni si rafforzarono le organizzazioni sindacali: le Camere del Lavoro passarono da 17 a 76 tra il 1900 e il 1902, mentre le Leghe bracciantili confluirono nel 1901 nella Federterra, che superò i 200.000 iscritti. La Federterra si batté per la riduzione dell’orario di lavoro, l’aumento delle paghe e il miglioramento dei contratti. Particolare rilievo ebbe la tutela delle mondine, le lavoratrici delle risaie, sostenute anche dall’azione di Argentina Altobelli, segretaria della federazione dal 1906.</w:t>
      </w:r>
    </w:p>
    <w:p w14:paraId="5535425C" w14:textId="77777777" w:rsidR="00D47093" w:rsidRPr="007F123B" w:rsidRDefault="00000000">
      <w:pPr>
        <w:pStyle w:val="Titolo1"/>
        <w:spacing w:before="160" w:after="80"/>
        <w:rPr>
          <w:lang w:val="it-IT"/>
        </w:rPr>
      </w:pPr>
      <w:r w:rsidRPr="007F123B">
        <w:rPr>
          <w:rFonts w:ascii="Calibri" w:eastAsia="Calibri" w:hAnsi="Calibri"/>
          <w:lang w:val="it-IT"/>
        </w:rPr>
        <w:lastRenderedPageBreak/>
        <w:t>Giolitti al governo e il rapporto con i socialisti</w:t>
      </w:r>
    </w:p>
    <w:p w14:paraId="773F9DB5" w14:textId="77777777" w:rsidR="00D47093" w:rsidRPr="007F123B" w:rsidRDefault="00000000">
      <w:pPr>
        <w:rPr>
          <w:lang w:val="it-IT"/>
        </w:rPr>
      </w:pPr>
      <w:r w:rsidRPr="007F123B">
        <w:rPr>
          <w:lang w:val="it-IT"/>
        </w:rPr>
        <w:t>Nell’ottobre 1903 Zanardelli, ormai gravemente malato, si dimise e il re affidò il governo a Giolitti. Formalmente si trattava del suo secondo incarico, dopo la breve esperienza del 1892-1893, ma da quel momento lo statista piemontese avrebbe dominato la politica italiana quasi senza interruzioni fino al 1914.</w:t>
      </w:r>
    </w:p>
    <w:p w14:paraId="5E92243C" w14:textId="77777777" w:rsidR="00D47093" w:rsidRPr="007F123B" w:rsidRDefault="00000000">
      <w:pPr>
        <w:rPr>
          <w:lang w:val="it-IT"/>
        </w:rPr>
      </w:pPr>
      <w:r w:rsidRPr="007F123B">
        <w:rPr>
          <w:lang w:val="it-IT"/>
        </w:rPr>
        <w:t>Uno degli obiettivi principali di Giolitti era allargare le basi sociali dello Stato liberale. Per questo cercò di coinvolgere il Partito socialista italiano nel governo e invitò Filippo Turati a entrare nella compagine ministeriale. Turati però rifiutò, sia per non spaccare il partito sia per non perdere consenso tra le masse popolari.</w:t>
      </w:r>
    </w:p>
    <w:p w14:paraId="2784F8D3" w14:textId="77777777" w:rsidR="00D47093" w:rsidRPr="007F123B" w:rsidRDefault="00000000">
      <w:pPr>
        <w:rPr>
          <w:lang w:val="it-IT"/>
        </w:rPr>
      </w:pPr>
      <w:r w:rsidRPr="007F123B">
        <w:rPr>
          <w:lang w:val="it-IT"/>
        </w:rPr>
        <w:t>Nel PSI convivevano due correnti principali: una rivoluzionaria, guidata da Arturo Labriola ed Enrico Ferri, e una riformista, guidata da Turati e Claudio Treves. Al congresso di Roma del 1900 era prevalsa la linea riformista, favorevole a un “programma minimo” che puntava alla trasformazione graduale dello Stato liberale attraverso riforme democratiche, ampliamento del suffragio, legislazione sociale, tassazione progressiva, libertà di stampa e maggiore autonomia comunale.</w:t>
      </w:r>
    </w:p>
    <w:p w14:paraId="334A8720" w14:textId="77777777" w:rsidR="00D47093" w:rsidRPr="007F123B" w:rsidRDefault="00000000">
      <w:pPr>
        <w:rPr>
          <w:lang w:val="it-IT"/>
        </w:rPr>
      </w:pPr>
      <w:r w:rsidRPr="007F123B">
        <w:rPr>
          <w:lang w:val="it-IT"/>
        </w:rPr>
        <w:t>Giolitti vedeva nei socialisti riformisti un interlocutore utile: voleva rafforzarli per isolare l’ala rivoluzionaria. Il suo progetto di modernizzazione si fondava soprattutto sulla convergenza tra borghesia industriale e proletariato organizzato del Nord. Secondo questa visione, lo sviluppo del Nord avrebbe poi trainato anche il Sud agricolo e arretrato.</w:t>
      </w:r>
    </w:p>
    <w:p w14:paraId="4D2EB39C" w14:textId="77777777" w:rsidR="00D47093" w:rsidRPr="007F123B" w:rsidRDefault="00000000">
      <w:pPr>
        <w:rPr>
          <w:lang w:val="it-IT"/>
        </w:rPr>
      </w:pPr>
      <w:r w:rsidRPr="007F123B">
        <w:rPr>
          <w:lang w:val="it-IT"/>
        </w:rPr>
        <w:t>Tuttavia questa politica ebbe un forte limite: Giolitti fu disponibile al dialogo con gli operai e le organizzazioni sindacali soprattutto nelle aree industriali settentrionali, mentre nel Mezzogiorno e nelle zone più povere non esitò a reprimere duramente le proteste contadine. Gli scontri nelle campagne meridionali provocarono spesso vittime, definite dalla stampa socialista “eccidi proletari”.</w:t>
      </w:r>
    </w:p>
    <w:p w14:paraId="13AD5179" w14:textId="77777777" w:rsidR="00D47093" w:rsidRPr="007F123B" w:rsidRDefault="00000000">
      <w:pPr>
        <w:pStyle w:val="Titolo1"/>
        <w:spacing w:before="160" w:after="80"/>
        <w:rPr>
          <w:lang w:val="it-IT"/>
        </w:rPr>
      </w:pPr>
      <w:r w:rsidRPr="007F123B">
        <w:rPr>
          <w:rFonts w:ascii="Calibri" w:eastAsia="Calibri" w:hAnsi="Calibri"/>
          <w:lang w:val="it-IT"/>
        </w:rPr>
        <w:t>Lo sciopero generale del 1904 e la nascita della CGdL</w:t>
      </w:r>
    </w:p>
    <w:p w14:paraId="7B1B54B6" w14:textId="77777777" w:rsidR="00D47093" w:rsidRPr="007F123B" w:rsidRDefault="00000000">
      <w:pPr>
        <w:rPr>
          <w:lang w:val="it-IT"/>
        </w:rPr>
      </w:pPr>
      <w:r w:rsidRPr="007F123B">
        <w:rPr>
          <w:lang w:val="it-IT"/>
        </w:rPr>
        <w:t>Nel 1904 la conflittualità sociale esplose in seguito a nuove stragi di lavoratori durante scontri con la polizia in Sardegna e Sicilia. Il caso più importante fu quello di Buggerru, in Sardegna, dove il 4 settembre 1904 i minatori si ribellarono alle durissime condizioni di lavoro. La repressione causò tre morti. Poco dopo, a Castelluzzo, in provincia di Trapani, morirono due braccianti e vi furono decine di feriti.</w:t>
      </w:r>
    </w:p>
    <w:p w14:paraId="628DCE70" w14:textId="77777777" w:rsidR="00D47093" w:rsidRPr="007F123B" w:rsidRDefault="00000000">
      <w:pPr>
        <w:rPr>
          <w:lang w:val="it-IT"/>
        </w:rPr>
      </w:pPr>
      <w:r w:rsidRPr="007F123B">
        <w:rPr>
          <w:lang w:val="it-IT"/>
        </w:rPr>
        <w:t>La risposta socialista fu la proclamazione del primo sciopero generale nazionale, dal 16 al 21 settembre 1904. I massimalisti, tornati alla guida del PSI, applicavano le teorie del sindacalismo rivoluzionario. I conservatori chiedevano una risposta dura, ma Giolitti adottò una tattica attendista: evitò l’intervento diretto dello Stato per non alimentare la protesta. Lo sciopero si esaurì in pochi giorni.</w:t>
      </w:r>
    </w:p>
    <w:p w14:paraId="7535967F" w14:textId="77777777" w:rsidR="00D47093" w:rsidRPr="007F123B" w:rsidRDefault="00000000">
      <w:pPr>
        <w:rPr>
          <w:lang w:val="it-IT"/>
        </w:rPr>
      </w:pPr>
      <w:r w:rsidRPr="007F123B">
        <w:rPr>
          <w:lang w:val="it-IT"/>
        </w:rPr>
        <w:lastRenderedPageBreak/>
        <w:t>Giolitti sfruttò politicamente il risultato e indisse nuove elezioni nel novembre 1904. I socialisti arretrarono da 33 a 29 seggi e il fallimento dell’iniziativa rivoluzionaria rafforzò nuovamente la corrente riformista. Tuttavia, soprattutto al Sud, furono denunciate accuse di brogli elettorali, una pratica ricorrente nell’età giolittiana.</w:t>
      </w:r>
    </w:p>
    <w:p w14:paraId="23DB70FD" w14:textId="77777777" w:rsidR="00D47093" w:rsidRPr="007F123B" w:rsidRDefault="00000000">
      <w:pPr>
        <w:rPr>
          <w:lang w:val="it-IT"/>
        </w:rPr>
      </w:pPr>
      <w:r w:rsidRPr="007F123B">
        <w:rPr>
          <w:lang w:val="it-IT"/>
        </w:rPr>
        <w:t>Nel 1906 nacque la Confederazione generale del lavoro, la CGdL, nella quale confluirono federazioni di categoria, Camere del Lavoro e Leghe bracciantili. Il primo presidente fu Rinaldo Rigola. La CGdL divenne subito una roccaforte riformista e contribuì a stabilizzare il sistema giolittiano, insieme al PSI riformista e ad alcuni settori avanzati del mondo industriale e finanziario.</w:t>
      </w:r>
    </w:p>
    <w:p w14:paraId="348A4E49" w14:textId="77777777" w:rsidR="00D47093" w:rsidRPr="007F123B" w:rsidRDefault="00000000">
      <w:pPr>
        <w:pStyle w:val="Titolo1"/>
        <w:spacing w:before="160" w:after="80"/>
        <w:rPr>
          <w:lang w:val="it-IT"/>
        </w:rPr>
      </w:pPr>
      <w:r w:rsidRPr="007F123B">
        <w:rPr>
          <w:rFonts w:ascii="Calibri" w:eastAsia="Calibri" w:hAnsi="Calibri"/>
          <w:lang w:val="it-IT"/>
        </w:rPr>
        <w:t>Il sistema giolittiano: trasformismo e riformismo pragmatico</w:t>
      </w:r>
    </w:p>
    <w:p w14:paraId="38EA1F16" w14:textId="77777777" w:rsidR="00D47093" w:rsidRPr="007F123B" w:rsidRDefault="00000000">
      <w:pPr>
        <w:rPr>
          <w:lang w:val="it-IT"/>
        </w:rPr>
      </w:pPr>
      <w:r w:rsidRPr="007F123B">
        <w:rPr>
          <w:lang w:val="it-IT"/>
        </w:rPr>
        <w:t>Il rifiuto dei socialisti di entrare nel governo spinse Giolitti a riprendere i metodi trasformisti già usati da Agostino Depretis. Egli non costruì un vero partito liberale moderno, né un sistema politico basato sull’alternanza tra progressisti e conservatori. Preferì invece creare ampie maggioranze parlamentari flessibili, fondate su accordi personali e programmi limitati.</w:t>
      </w:r>
    </w:p>
    <w:p w14:paraId="08B75D4C" w14:textId="77777777" w:rsidR="00D47093" w:rsidRPr="007F123B" w:rsidRDefault="00000000">
      <w:pPr>
        <w:rPr>
          <w:lang w:val="it-IT"/>
        </w:rPr>
      </w:pPr>
      <w:r w:rsidRPr="007F123B">
        <w:rPr>
          <w:lang w:val="it-IT"/>
        </w:rPr>
        <w:t>La sua politica richiedeva una continua mediazione tra interessi diversi e tendeva a evitare posizioni ideologiche troppo nette. Il riformismo giolittiano fu quindi pragmatico: non mirava a una trasformazione radicale dello Stato, ma a una modernizzazione graduale, fondata sulla fiducia nel progresso e sulla capacità dello Stato di governare i conflitti sociali.</w:t>
      </w:r>
    </w:p>
    <w:p w14:paraId="7D82D8F7" w14:textId="77777777" w:rsidR="00D47093" w:rsidRPr="007F123B" w:rsidRDefault="00000000">
      <w:pPr>
        <w:rPr>
          <w:lang w:val="it-IT"/>
        </w:rPr>
      </w:pPr>
      <w:r w:rsidRPr="007F123B">
        <w:rPr>
          <w:lang w:val="it-IT"/>
        </w:rPr>
        <w:t>Anche quando Giolitti lasciava temporaneamente il governo, continuava a influenzare la politica italiana. Tra il 1905 e il 1906, durante il governo Fortis, fu portata avanti la statalizzazione delle principali linee ferroviarie. La riforma, approvata nel 1905, permise allo Stato di investire nella modernizzazione della rete ferroviaria, nell’estensione delle linee e nell’apertura di trafori come quello del Sempione. Furono introdotte anche tariffe agevolate per il trasporto merci, utili al commercio con l’estero.</w:t>
      </w:r>
    </w:p>
    <w:p w14:paraId="1FCA69F4" w14:textId="77777777" w:rsidR="00D47093" w:rsidRPr="007F123B" w:rsidRDefault="00000000">
      <w:pPr>
        <w:rPr>
          <w:lang w:val="it-IT"/>
        </w:rPr>
      </w:pPr>
      <w:r w:rsidRPr="007F123B">
        <w:rPr>
          <w:lang w:val="it-IT"/>
        </w:rPr>
        <w:t>Tornato al governo nel maggio 1906, Giolitti rimase fino al 1909 e approvò, con l’appoggio socialista, importanti riforme sociali: riposo festivo obbligatorio, divieto del lavoro notturno per donne e ragazzi, conferma del diritto di sciopero, riduzione dell’imposta sui generi alimentari e apertura delle gare d’appalto pubbliche alle cooperative di lavoratori.</w:t>
      </w:r>
    </w:p>
    <w:p w14:paraId="334F709C" w14:textId="77777777" w:rsidR="00D47093" w:rsidRPr="007F123B" w:rsidRDefault="00000000">
      <w:pPr>
        <w:pStyle w:val="Titolo1"/>
        <w:spacing w:before="160" w:after="80"/>
        <w:rPr>
          <w:lang w:val="it-IT"/>
        </w:rPr>
      </w:pPr>
      <w:r w:rsidRPr="007F123B">
        <w:rPr>
          <w:rFonts w:ascii="Calibri" w:eastAsia="Calibri" w:hAnsi="Calibri"/>
          <w:lang w:val="it-IT"/>
        </w:rPr>
        <w:t>Le opposizioni a Giolitti: Sonnino, Albertini e Salvemini</w:t>
      </w:r>
    </w:p>
    <w:p w14:paraId="099FE8A4" w14:textId="77777777" w:rsidR="00D47093" w:rsidRPr="007F123B" w:rsidRDefault="00000000">
      <w:pPr>
        <w:rPr>
          <w:lang w:val="it-IT"/>
        </w:rPr>
      </w:pPr>
      <w:r w:rsidRPr="007F123B">
        <w:rPr>
          <w:lang w:val="it-IT"/>
        </w:rPr>
        <w:t>L’alternativa conservatrice a Giolitti fu rappresentata da Sidney Sonnino, che dopo aver abbandonato i suoi iniziali progetti autoritari elaborò un programma basato sullo sviluppo della piccola proprietà contadina, soprattutto nel Meridione. Il progetto prevedeva anche sgravi fiscali, ma incontrò l’opposizione dei grandi latifondisti meridionali e la diffidenza degli industriali del Nord. Sonnino governò per brevi periodi, tra febbraio e maggio 1906 e tra dicembre 1909 e marzo 1910, senza riuscire a sostituire realmente il sistema giolittiano.</w:t>
      </w:r>
    </w:p>
    <w:p w14:paraId="56AC987E" w14:textId="77777777" w:rsidR="00D47093" w:rsidRPr="007F123B" w:rsidRDefault="00000000">
      <w:pPr>
        <w:rPr>
          <w:lang w:val="it-IT"/>
        </w:rPr>
      </w:pPr>
      <w:r w:rsidRPr="007F123B">
        <w:rPr>
          <w:lang w:val="it-IT"/>
        </w:rPr>
        <w:lastRenderedPageBreak/>
        <w:t>Giolitti fu criticato anche dalla stampa e dagli intellettuali. Luigi Albertini, direttore del “Corriere della Sera”, accusò il Parlamento di essersi ridotto a uno strumento docile nelle mani del presidente del Consiglio. I meridionalisti lo accusavano invece di comportarsi come un “Giano bifronte”: liberale e progressista al Nord, autoritario e clientelare al Sud.</w:t>
      </w:r>
    </w:p>
    <w:p w14:paraId="36630D77" w14:textId="77777777" w:rsidR="00D47093" w:rsidRPr="007F123B" w:rsidRDefault="00000000">
      <w:pPr>
        <w:rPr>
          <w:lang w:val="it-IT"/>
        </w:rPr>
      </w:pPr>
      <w:r w:rsidRPr="007F123B">
        <w:rPr>
          <w:lang w:val="it-IT"/>
        </w:rPr>
        <w:t>La critica più dura venne da Gaetano Salvemini, che nel 1909 pubblicò l’opuscolo Il ministro della malavita, accusando Giolitti di manipolare le elezioni nel Mezzogiorno attraverso prefetti, pressioni clientelari e “mazzieri”. Secondo Salvemini, Giolitti garantiva la libertà politica dove l’opinione pubblica era forte, cioè nel Nord, ma costruiva la propria maggioranza parlamentare nel Sud attraverso metodi scorretti.</w:t>
      </w:r>
    </w:p>
    <w:p w14:paraId="11085318" w14:textId="77777777" w:rsidR="00D47093" w:rsidRPr="007F123B" w:rsidRDefault="00000000">
      <w:pPr>
        <w:rPr>
          <w:lang w:val="it-IT"/>
        </w:rPr>
      </w:pPr>
      <w:r w:rsidRPr="007F123B">
        <w:rPr>
          <w:lang w:val="it-IT"/>
        </w:rPr>
        <w:t>Il capitolo mostra però anche che il giudizio su Giolitti non è univoco: pur con gravi limiti, egli seguì un progetto coerente di modernizzazione economica e sociale, anche se prevalentemente orientato verso il Nord.</w:t>
      </w:r>
    </w:p>
    <w:p w14:paraId="0768706D" w14:textId="77777777" w:rsidR="00D47093" w:rsidRPr="007F123B" w:rsidRDefault="00000000">
      <w:pPr>
        <w:pStyle w:val="Titolo1"/>
        <w:spacing w:before="160" w:after="80"/>
        <w:rPr>
          <w:lang w:val="it-IT"/>
        </w:rPr>
      </w:pPr>
      <w:r w:rsidRPr="007F123B">
        <w:rPr>
          <w:rFonts w:ascii="Calibri" w:eastAsia="Calibri" w:hAnsi="Calibri"/>
          <w:lang w:val="it-IT"/>
        </w:rPr>
        <w:t>Lo sviluppo economico dell’Italia giolittiana</w:t>
      </w:r>
    </w:p>
    <w:p w14:paraId="4CADBB9F" w14:textId="77777777" w:rsidR="00D47093" w:rsidRPr="007F123B" w:rsidRDefault="00000000">
      <w:pPr>
        <w:rPr>
          <w:lang w:val="it-IT"/>
        </w:rPr>
      </w:pPr>
      <w:r w:rsidRPr="007F123B">
        <w:rPr>
          <w:lang w:val="it-IT"/>
        </w:rPr>
        <w:t>Durante l’età giolittiana l’Italia conobbe una vigorosa ripresa economica, inserita in una più ampia fase di espansione europea e statunitense iniziata alla fine dell’Ottocento e durata, con una battuta d’arresto nel 1907, fino al 1914. L’Italia rimase una potenza economica secondaria rispetto a Germania, Gran Bretagna e Francia, ma riuscì comunque a entrare nell’area industriale dell’Europa occidentale.</w:t>
      </w:r>
    </w:p>
    <w:p w14:paraId="40039B2D" w14:textId="77777777" w:rsidR="00D47093" w:rsidRPr="007F123B" w:rsidRDefault="00000000">
      <w:pPr>
        <w:rPr>
          <w:lang w:val="it-IT"/>
        </w:rPr>
      </w:pPr>
      <w:r w:rsidRPr="007F123B">
        <w:rPr>
          <w:lang w:val="it-IT"/>
        </w:rPr>
        <w:t>Il decollo industriale italiano dipese in larga parte dall’intervento dello Stato. La politica protezionistica, avviata già negli anni Ottanta dell’Ottocento, mise al riparo molte imprese dalla concorrenza straniera, favorendo in particolare l’industria pesante. Lo Stato sostenne inoltre le imprese nazionali con commesse pubbliche destinate alla costruzione di infrastrutture e al potenziamento della marina e dell’esercito.</w:t>
      </w:r>
    </w:p>
    <w:p w14:paraId="6564F413" w14:textId="77777777" w:rsidR="00D47093" w:rsidRPr="007F123B" w:rsidRDefault="00000000">
      <w:pPr>
        <w:rPr>
          <w:lang w:val="it-IT"/>
        </w:rPr>
      </w:pPr>
      <w:r w:rsidRPr="007F123B">
        <w:rPr>
          <w:lang w:val="it-IT"/>
        </w:rPr>
        <w:t>Queste scelte permisero la formazione di una moderna base industriale, ma produssero anche rapporti di dipendenza delle aziende dagli aiuti statali e forme di collusione tra amministrazione pubblica e gruppi privati. I socialisti denunciarono, ad esempio, gli enormi profitti ottenuti dalle acciaierie di Terni grazie ai contratti per la marina.</w:t>
      </w:r>
    </w:p>
    <w:p w14:paraId="6CF457DD" w14:textId="77777777" w:rsidR="00D47093" w:rsidRPr="007F123B" w:rsidRDefault="00000000">
      <w:pPr>
        <w:rPr>
          <w:lang w:val="it-IT"/>
        </w:rPr>
      </w:pPr>
      <w:r w:rsidRPr="007F123B">
        <w:rPr>
          <w:lang w:val="it-IT"/>
        </w:rPr>
        <w:t>Un altro fattore decisivo fu il risanamento delle finanze pubbliche. Fino al 1909 il bilancio dello Stato si chiuse in attivo, anche grazie alla riduzione del tasso d’interesse dei titoli di Stato dal 5% al 3,5%. Importante fu anche la riorganizzazione del sistema bancario: nel 1894 nacque a Milano la Banca commerciale italiana e nel 1895 a Genova il Credito italiano. La Banca commerciale introdusse in Italia il modello della “banca mista”, capace non solo di raccogliere depositi, ma anche di finanziare gli investimenti industriali.</w:t>
      </w:r>
    </w:p>
    <w:p w14:paraId="74DBA6C1" w14:textId="77777777" w:rsidR="00D47093" w:rsidRPr="007F123B" w:rsidRDefault="00000000">
      <w:pPr>
        <w:rPr>
          <w:lang w:val="it-IT"/>
        </w:rPr>
      </w:pPr>
      <w:r w:rsidRPr="007F123B">
        <w:rPr>
          <w:lang w:val="it-IT"/>
        </w:rPr>
        <w:t xml:space="preserve">Questo modello favorì lo sviluppo dei settori di base, ma creò anche un forte intreccio tra finanza, politica e industria. In diversi settori nacquero oligopoli o trust, come nel caso </w:t>
      </w:r>
      <w:r w:rsidRPr="007F123B">
        <w:rPr>
          <w:lang w:val="it-IT"/>
        </w:rPr>
        <w:lastRenderedPageBreak/>
        <w:t>dell’industria siderurgica, dominata da Terni, Elba, Piombino e Ilva di Bagnoli, collegate alla Banca commerciale.</w:t>
      </w:r>
    </w:p>
    <w:p w14:paraId="2999227D" w14:textId="77777777" w:rsidR="00D47093" w:rsidRPr="007F123B" w:rsidRDefault="00000000">
      <w:pPr>
        <w:pStyle w:val="Titolo1"/>
        <w:spacing w:before="160" w:after="80"/>
        <w:rPr>
          <w:lang w:val="it-IT"/>
        </w:rPr>
      </w:pPr>
      <w:r w:rsidRPr="007F123B">
        <w:rPr>
          <w:rFonts w:ascii="Calibri" w:eastAsia="Calibri" w:hAnsi="Calibri"/>
          <w:lang w:val="it-IT"/>
        </w:rPr>
        <w:t>I settori industriali in crescita e la nuova imprenditoria</w:t>
      </w:r>
    </w:p>
    <w:p w14:paraId="72CCF04C" w14:textId="77777777" w:rsidR="00D47093" w:rsidRPr="007F123B" w:rsidRDefault="00000000">
      <w:pPr>
        <w:rPr>
          <w:lang w:val="it-IT"/>
        </w:rPr>
      </w:pPr>
      <w:r w:rsidRPr="007F123B">
        <w:rPr>
          <w:lang w:val="it-IT"/>
        </w:rPr>
        <w:t>L’industria idroelettrica ebbe un ruolo fondamentale, perché l’Italia era povera di carbone ma ricca di risorse idriche. Nel 1913 il volume dell’energia motrice fornita alle imprese manifatturiere risultò raddoppiato. Crebbero anche siderurgia, cantieristica, trasporti marittimi, impiantistica, meccanica, industria della gomma, chimica, cemento e tessile.</w:t>
      </w:r>
    </w:p>
    <w:p w14:paraId="3B2B7A1D" w14:textId="77777777" w:rsidR="00D47093" w:rsidRPr="007F123B" w:rsidRDefault="00000000">
      <w:pPr>
        <w:rPr>
          <w:lang w:val="it-IT"/>
        </w:rPr>
      </w:pPr>
      <w:r w:rsidRPr="007F123B">
        <w:rPr>
          <w:lang w:val="it-IT"/>
        </w:rPr>
        <w:t>In dieci anni l’industria chimica crebbe del 13,7%, quella metallurgica del 12,4% e quella meccanica del 12,2%, mentre il reddito pro capite aumentò di oltre il 27%. La meccanica fu sostenuta soprattutto dai cantieri navali e dalla produzione di materiale ferroviario. La novità più importante fu però il settore automobilistico: nacquero aziende come Lancia, Alfa Romeo e soprattutto FIAT, fondata a Torino nel 1899, che alla vigilia della Prima guerra mondiale produceva il 70% dei veicoli nazionali.</w:t>
      </w:r>
    </w:p>
    <w:p w14:paraId="0DF87099" w14:textId="77777777" w:rsidR="00D47093" w:rsidRPr="007F123B" w:rsidRDefault="00000000">
      <w:pPr>
        <w:rPr>
          <w:lang w:val="it-IT"/>
        </w:rPr>
      </w:pPr>
      <w:r w:rsidRPr="007F123B">
        <w:rPr>
          <w:lang w:val="it-IT"/>
        </w:rPr>
        <w:t>Il mercato interno era però ristretto: il prezzo di un’automobile corrispondeva a circa dieci anni di salario di un operaio qualificato. Perciò solo le aziende capaci di trovare sbocchi all’estero riuscirono a consolidarsi.</w:t>
      </w:r>
    </w:p>
    <w:p w14:paraId="0F044AB1" w14:textId="77777777" w:rsidR="00D47093" w:rsidRPr="007F123B" w:rsidRDefault="00000000">
      <w:pPr>
        <w:rPr>
          <w:lang w:val="it-IT"/>
        </w:rPr>
      </w:pPr>
      <w:r w:rsidRPr="007F123B">
        <w:rPr>
          <w:lang w:val="it-IT"/>
        </w:rPr>
        <w:t>Tra il 1900 e il 1911 i capitali investiti nell’industria triplicarono e gli operai quasi raddoppiarono, passando da 1.275.000 a 2.300.000. L’industrializzazione creò occupazione anche nei servizi pubblici e privati. Nel 1910 nacque la Confindustria, associazione degli industriali incaricata di rappresentare gli interessi del settore nei rapporti con il governo e con la CGdL.</w:t>
      </w:r>
    </w:p>
    <w:p w14:paraId="32B2291D" w14:textId="77777777" w:rsidR="00D47093" w:rsidRPr="007F123B" w:rsidRDefault="00000000">
      <w:pPr>
        <w:rPr>
          <w:lang w:val="it-IT"/>
        </w:rPr>
      </w:pPr>
      <w:r w:rsidRPr="007F123B">
        <w:rPr>
          <w:lang w:val="it-IT"/>
        </w:rPr>
        <w:t>Il capitolo sottolinea anche la nascita di una nuova élite imprenditoriale, formata da piccoli e medi industriali convinti che la fabbrica fosse il centro della modernizzazione economica e sociale. Questa nuova classe dirigente economica difendeva il profitto come frutto dell’iniziativa individuale, valorizzava l’innovazione e cercava maggiore ascolto presso Parlamento, giornali e amministrazioni locali.</w:t>
      </w:r>
    </w:p>
    <w:p w14:paraId="77E01BF1" w14:textId="77777777" w:rsidR="00D47093" w:rsidRPr="007F123B" w:rsidRDefault="00000000">
      <w:pPr>
        <w:pStyle w:val="Titolo1"/>
        <w:spacing w:before="160" w:after="80"/>
        <w:rPr>
          <w:lang w:val="it-IT"/>
        </w:rPr>
      </w:pPr>
      <w:r w:rsidRPr="007F123B">
        <w:rPr>
          <w:rFonts w:ascii="Calibri" w:eastAsia="Calibri" w:hAnsi="Calibri"/>
          <w:lang w:val="it-IT"/>
        </w:rPr>
        <w:t>Il divario tra Nord e Sud e la questione meridionale</w:t>
      </w:r>
    </w:p>
    <w:p w14:paraId="6B9CE7A8" w14:textId="77777777" w:rsidR="00D47093" w:rsidRPr="007F123B" w:rsidRDefault="00000000">
      <w:pPr>
        <w:rPr>
          <w:lang w:val="it-IT"/>
        </w:rPr>
      </w:pPr>
      <w:r w:rsidRPr="007F123B">
        <w:rPr>
          <w:lang w:val="it-IT"/>
        </w:rPr>
        <w:t>Uno dei problemi principali dell’Italia giolittiana fu il divario tra Nord e Sud. Lo sviluppo industriale si concentrò soprattutto nel Nord-Ovest, nel cosiddetto “triangolo industriale” formato da Torino, Genova e Milano, con estensioni in Piemonte, Liguria e Lombardia. Alcune aree di Veneto, Emilia, Toscana e Umbria conobbero anch’esse forme di sviluppo industriale.</w:t>
      </w:r>
    </w:p>
    <w:p w14:paraId="7D7002A7" w14:textId="77777777" w:rsidR="00D47093" w:rsidRPr="007F123B" w:rsidRDefault="00000000">
      <w:pPr>
        <w:rPr>
          <w:lang w:val="it-IT"/>
        </w:rPr>
      </w:pPr>
      <w:r w:rsidRPr="007F123B">
        <w:rPr>
          <w:lang w:val="it-IT"/>
        </w:rPr>
        <w:t>Il Sud, invece, rimase segnato da arretratezza economica e sociale. L’industria era limitata a poche imprese minerarie, tessili e alimentari, mentre l’agricoltura registrava una crescita molto inferiore a quella del Nord. Alla situazione meridionale si aggiungeva quella della Sardegna, in condizioni ancora più gravi.</w:t>
      </w:r>
    </w:p>
    <w:p w14:paraId="4D22ACCA" w14:textId="77777777" w:rsidR="00D47093" w:rsidRPr="007F123B" w:rsidRDefault="00000000">
      <w:pPr>
        <w:rPr>
          <w:lang w:val="it-IT"/>
        </w:rPr>
      </w:pPr>
      <w:r w:rsidRPr="007F123B">
        <w:rPr>
          <w:lang w:val="it-IT"/>
        </w:rPr>
        <w:lastRenderedPageBreak/>
        <w:t>La “questione meridionale” era già emersa nella seconda metà dell’Ottocento, anche grazie all’inchiesta pubblicata nel 1876 da Sidney Sonnino e Leopoldo Franchetti sulla Sicilia. Il quadro era drammatico: dure condizioni di vita, corruzione amministrativa, criminalità, violenza diffusa, assenza di fognature e acqua potabile, altissimo analfabetismo e debolezza fisica di molti giovani inadatti al servizio militare.</w:t>
      </w:r>
    </w:p>
    <w:p w14:paraId="464B9F6B" w14:textId="77777777" w:rsidR="00D47093" w:rsidRPr="007F123B" w:rsidRDefault="00000000">
      <w:pPr>
        <w:rPr>
          <w:lang w:val="it-IT"/>
        </w:rPr>
      </w:pPr>
      <w:r w:rsidRPr="007F123B">
        <w:rPr>
          <w:lang w:val="it-IT"/>
        </w:rPr>
        <w:t>I meridionalisti accusavano le classi dirigenti postunitarie di aver aggravato il divario con scelte economiche inadatte alle condizioni del Mezzogiorno. Questa critica colpì anche Giolitti, accusato di privilegiare lo sviluppo industriale settentrionale.</w:t>
      </w:r>
    </w:p>
    <w:p w14:paraId="5E2FA423" w14:textId="77777777" w:rsidR="00D47093" w:rsidRPr="007F123B" w:rsidRDefault="00000000">
      <w:pPr>
        <w:rPr>
          <w:lang w:val="it-IT"/>
        </w:rPr>
      </w:pPr>
      <w:r w:rsidRPr="007F123B">
        <w:rPr>
          <w:lang w:val="it-IT"/>
        </w:rPr>
        <w:t>Il capitolo precisa però che il Sud non fu del tutto abbandonato. Fin dal governo Zanardelli furono varate leggi speciali per sostenere la piccola proprietà rurale, realizzare bonifiche e costruire strade, ferrovie e acquedotti in regioni come Puglia, Basilicata e Calabria. Nel 1904 il governo Giolitti approvò una legge per lo sviluppo industriale di Napoli, che portò alla nascita dell’impianto siderurgico di Bagnoli. Altri interventi riguardarono Abruzzo, Molise, Sannio, Irpinia e la creazione di zone industriali a Messina, Reggio Calabria e Villa San Giovanni.</w:t>
      </w:r>
    </w:p>
    <w:p w14:paraId="64B8AB81" w14:textId="77777777" w:rsidR="00D47093" w:rsidRPr="007F123B" w:rsidRDefault="00000000">
      <w:pPr>
        <w:rPr>
          <w:lang w:val="it-IT"/>
        </w:rPr>
      </w:pPr>
      <w:r w:rsidRPr="007F123B">
        <w:rPr>
          <w:lang w:val="it-IT"/>
        </w:rPr>
        <w:t>Questi provvedimenti furono la prima forma di intervento pubblico per lo sviluppo del Sud, ma si rivelarono insufficienti. Il polo industriale di Napoli rimase isolato, le risorse idriche dell’Appennino non bastarono per un vasto piano di elettrificazione e le opere pubbliche non coprirono tutti i bisogni. Inoltre, metodi agricoli arretrati, difficoltà di comunicazione, debole imprenditorialità locale e scarsa autonomia della società civile impedirono la formazione di moderne aziende agricole e di una solida base industriale.</w:t>
      </w:r>
    </w:p>
    <w:p w14:paraId="1B985712" w14:textId="77777777" w:rsidR="00D47093" w:rsidRPr="007F123B" w:rsidRDefault="00000000">
      <w:pPr>
        <w:rPr>
          <w:lang w:val="it-IT"/>
        </w:rPr>
      </w:pPr>
      <w:r w:rsidRPr="007F123B">
        <w:rPr>
          <w:lang w:val="it-IT"/>
        </w:rPr>
        <w:t>La carta economica del capitolo conferma questa differenza: nel Nord si concentrano il tessile, la chimica e la metalmeccanica, mentre nelle regioni meridionali l’industria non decolla e l’agricoltura rimane povera e improduttiva.</w:t>
      </w:r>
    </w:p>
    <w:p w14:paraId="3E5113E6" w14:textId="77777777" w:rsidR="00D47093" w:rsidRPr="007F123B" w:rsidRDefault="00000000">
      <w:pPr>
        <w:pStyle w:val="Titolo1"/>
        <w:spacing w:before="160" w:after="80"/>
        <w:rPr>
          <w:lang w:val="it-IT"/>
        </w:rPr>
      </w:pPr>
      <w:r w:rsidRPr="007F123B">
        <w:rPr>
          <w:rFonts w:ascii="Calibri" w:eastAsia="Calibri" w:hAnsi="Calibri"/>
          <w:lang w:val="it-IT"/>
        </w:rPr>
        <w:t>L’emigrazione e le rimesse degli emigranti</w:t>
      </w:r>
    </w:p>
    <w:p w14:paraId="47752789" w14:textId="77777777" w:rsidR="00D47093" w:rsidRPr="007F123B" w:rsidRDefault="00000000">
      <w:pPr>
        <w:rPr>
          <w:lang w:val="it-IT"/>
        </w:rPr>
      </w:pPr>
      <w:r w:rsidRPr="007F123B">
        <w:rPr>
          <w:lang w:val="it-IT"/>
        </w:rPr>
        <w:t>Le condizioni di vita miserevoli e la forte crescita demografica spinsero milioni di italiani a emigrare. Le mete principali furono gli Stati Uniti, il Brasile e l’Argentina. Nel solo 1913 il flusso migratorio raggiunse 873.000 persone. Nel complesso, tra il 1876 e il 1918, partirono 14 milioni di italiani.</w:t>
      </w:r>
    </w:p>
    <w:p w14:paraId="747A8975" w14:textId="77777777" w:rsidR="00D47093" w:rsidRPr="007F123B" w:rsidRDefault="00000000">
      <w:pPr>
        <w:rPr>
          <w:lang w:val="it-IT"/>
        </w:rPr>
      </w:pPr>
      <w:r w:rsidRPr="007F123B">
        <w:rPr>
          <w:lang w:val="it-IT"/>
        </w:rPr>
        <w:t>L’emigrazione riguardò soprattutto il Meridione, ma anche altre aree depresse come il Veneto. Nel 1911 la popolazione italiana era di circa 36 milioni di abitanti, contro i 22 milioni del 1861: il numero degli emigranti risulta quindi enorme rispetto alla popolazione complessiva.</w:t>
      </w:r>
    </w:p>
    <w:p w14:paraId="1BF853C7" w14:textId="77777777" w:rsidR="00D47093" w:rsidRPr="007F123B" w:rsidRDefault="00000000">
      <w:pPr>
        <w:rPr>
          <w:lang w:val="it-IT"/>
        </w:rPr>
      </w:pPr>
      <w:r w:rsidRPr="007F123B">
        <w:rPr>
          <w:lang w:val="it-IT"/>
        </w:rPr>
        <w:t xml:space="preserve">Molte migrazioni erano temporanee, ma una parte consistente degli italiani si stabilì definitivamente all’estero. Il capitolo sottolinea la dimensione umana di questo fenomeno: fame, disperazione, solitudine e sradicamento. Allo stesso tempo, però, le rimesse degli emigranti ebbero un ruolo economico importante, perché i risparmi inviati in patria </w:t>
      </w:r>
      <w:r w:rsidRPr="007F123B">
        <w:rPr>
          <w:lang w:val="it-IT"/>
        </w:rPr>
        <w:lastRenderedPageBreak/>
        <w:t>contribuirono a mantenere attiva la bilancia dei conti con l’estero, compensando almeno in parte l’importazione di materie prime e combustibili. Anche per questo i governi non frenarono l’emigrazione, ma spesso la incoraggiarono.</w:t>
      </w:r>
    </w:p>
    <w:p w14:paraId="20B2BFF4" w14:textId="77777777" w:rsidR="00D47093" w:rsidRPr="007F123B" w:rsidRDefault="00000000">
      <w:pPr>
        <w:pStyle w:val="Titolo1"/>
        <w:spacing w:before="160" w:after="80"/>
        <w:rPr>
          <w:lang w:val="it-IT"/>
        </w:rPr>
      </w:pPr>
      <w:r w:rsidRPr="007F123B">
        <w:rPr>
          <w:rFonts w:ascii="Calibri" w:eastAsia="Calibri" w:hAnsi="Calibri"/>
          <w:lang w:val="it-IT"/>
        </w:rPr>
        <w:t>La nascita del nazionalismo italiano</w:t>
      </w:r>
    </w:p>
    <w:p w14:paraId="047AB223" w14:textId="77777777" w:rsidR="00D47093" w:rsidRPr="007F123B" w:rsidRDefault="00000000">
      <w:pPr>
        <w:rPr>
          <w:lang w:val="it-IT"/>
        </w:rPr>
      </w:pPr>
      <w:r w:rsidRPr="007F123B">
        <w:rPr>
          <w:lang w:val="it-IT"/>
        </w:rPr>
        <w:t>L’emigrazione divenne uno dei principali argomenti polemici del nascente movimento nazionalista. I nazionalisti criticavano il fatto che milioni di italiani fossero costretti a cercare lavoro all’estero, invece di essere indirizzati verso colonie italiane. Secondo loro, l’Italia doveva tornare a farsi valere nello scenario internazionale.</w:t>
      </w:r>
    </w:p>
    <w:p w14:paraId="7210888F" w14:textId="77777777" w:rsidR="00D47093" w:rsidRPr="007F123B" w:rsidRDefault="00000000">
      <w:pPr>
        <w:rPr>
          <w:lang w:val="it-IT"/>
        </w:rPr>
      </w:pPr>
      <w:r w:rsidRPr="007F123B">
        <w:rPr>
          <w:lang w:val="it-IT"/>
        </w:rPr>
        <w:t>Nel 1910 nacque l’Associazione nazionalista italiana, guidata da Enrico Corradini e da figure come Luigi Federzoni, Francesco Coppola e Alfredo Rocco. Inizialmente il movimento apparve come l’espressione di intellettuali insofferenti verso l’“Italietta” giolittiana, accusata di essere debole e priva di ideali. Presto però assunse un chiaro profilo politico.</w:t>
      </w:r>
    </w:p>
    <w:p w14:paraId="7F53B75A" w14:textId="77777777" w:rsidR="00D47093" w:rsidRPr="007F123B" w:rsidRDefault="00000000">
      <w:pPr>
        <w:rPr>
          <w:lang w:val="it-IT"/>
        </w:rPr>
      </w:pPr>
      <w:r w:rsidRPr="007F123B">
        <w:rPr>
          <w:lang w:val="it-IT"/>
        </w:rPr>
        <w:t>Corradini descriveva l’Italia come una “nazione proletaria” oppressa dalle “nazioni plutocratiche”, cioè dalle grandi potenze ricche e industrializzate. Secondo i nazionalisti, era necessario riprendere la politica coloniale avviata da Crispi, per dare prestigio internazionale all’Italia e offrire un futuro migliore al popolo. In questa visione, imperialismo e populismo si fondevano. Il programma nazionalista non riguardava solo la politica estera, ma puntava anche a un ordinamento autoritario e antidemocratico.</w:t>
      </w:r>
    </w:p>
    <w:p w14:paraId="49ADFCFE" w14:textId="77777777" w:rsidR="00D47093" w:rsidRPr="007F123B" w:rsidRDefault="00000000">
      <w:pPr>
        <w:pStyle w:val="Titolo1"/>
        <w:spacing w:before="160" w:after="80"/>
        <w:rPr>
          <w:lang w:val="it-IT"/>
        </w:rPr>
      </w:pPr>
      <w:r w:rsidRPr="007F123B">
        <w:rPr>
          <w:rFonts w:ascii="Calibri" w:eastAsia="Calibri" w:hAnsi="Calibri"/>
          <w:lang w:val="it-IT"/>
        </w:rPr>
        <w:t>Il quarto governo Giolitti, il suffragio universale maschile e la guerra di Libia</w:t>
      </w:r>
    </w:p>
    <w:p w14:paraId="32CF7B82" w14:textId="77777777" w:rsidR="00D47093" w:rsidRPr="007F123B" w:rsidRDefault="00000000">
      <w:pPr>
        <w:rPr>
          <w:lang w:val="it-IT"/>
        </w:rPr>
      </w:pPr>
      <w:r w:rsidRPr="007F123B">
        <w:rPr>
          <w:lang w:val="it-IT"/>
        </w:rPr>
        <w:t>Nel marzo 1911 Giolitti formò il suo quarto governo e annunciò un programma di riforme più avanzate, tra cui il suffragio universale maschile. La proposta prevedeva il diritto di voto per tutti i cittadini maschi di almeno 30 anni, senza limiti di censo o istruzione. La soglia si abbassava a 21 anni per chi avesse la licenza elementare o avesse svolto il servizio militare.</w:t>
      </w:r>
    </w:p>
    <w:p w14:paraId="5CC1FEE5" w14:textId="77777777" w:rsidR="00D47093" w:rsidRPr="007F123B" w:rsidRDefault="00000000">
      <w:pPr>
        <w:rPr>
          <w:lang w:val="it-IT"/>
        </w:rPr>
      </w:pPr>
      <w:r w:rsidRPr="007F123B">
        <w:rPr>
          <w:lang w:val="it-IT"/>
        </w:rPr>
        <w:t>Molti liberali e conservatori sostennero la riforma, convinti che avrebbe portato voti dalle masse contadine. Le sinistre erano più caute, perché temevano che gli elettori poveri e poco istruiti potessero essere facilmente manovrati in senso antisocialista. Tuttavia, i socialisti votarono la fiducia al governo perché il programma complessivo era riformista.</w:t>
      </w:r>
    </w:p>
    <w:p w14:paraId="195C7AC6" w14:textId="77777777" w:rsidR="00D47093" w:rsidRPr="007F123B" w:rsidRDefault="00000000">
      <w:pPr>
        <w:rPr>
          <w:lang w:val="it-IT"/>
        </w:rPr>
      </w:pPr>
      <w:r w:rsidRPr="007F123B">
        <w:rPr>
          <w:lang w:val="it-IT"/>
        </w:rPr>
        <w:t>Giolitti dovette però affrontare l’opposizione della destra conservatrice e del movimento nazionalista. Per riassorbire questa pressione, promosse una nuova espansione coloniale. Egli non era particolarmente attratto dalla politica di potenza, ma riteneva che la conquista della Libia fosse ormai una “fatalità storica” e che potesse riequilibrare i rapporti di forza nel Mediterraneo, dominato da Francia e Gran Bretagna.</w:t>
      </w:r>
    </w:p>
    <w:p w14:paraId="0BDEC0C5" w14:textId="77777777" w:rsidR="00D47093" w:rsidRPr="007F123B" w:rsidRDefault="00000000">
      <w:pPr>
        <w:rPr>
          <w:lang w:val="it-IT"/>
        </w:rPr>
      </w:pPr>
      <w:r w:rsidRPr="007F123B">
        <w:rPr>
          <w:lang w:val="it-IT"/>
        </w:rPr>
        <w:t xml:space="preserve">La Libia, divisa in Tripolitania e Cirenaica, apparteneva all’impero ottomano, ormai in crisi. Un accordo del 1902 con la Francia aveva già riconosciuto all’Italia libertà d’azione in Libia. Inoltre, </w:t>
      </w:r>
      <w:r w:rsidRPr="007F123B">
        <w:rPr>
          <w:lang w:val="it-IT"/>
        </w:rPr>
        <w:lastRenderedPageBreak/>
        <w:t>gruppi finanziari come il Banco di Roma, legato al Vaticano, avevano forti interessi nell’area, contribuendo anche ad avvicinare i cattolici al progetto coloniale.</w:t>
      </w:r>
    </w:p>
    <w:p w14:paraId="7B95F9F0" w14:textId="77777777" w:rsidR="00D47093" w:rsidRPr="007F123B" w:rsidRDefault="00000000">
      <w:pPr>
        <w:rPr>
          <w:lang w:val="it-IT"/>
        </w:rPr>
      </w:pPr>
      <w:r w:rsidRPr="007F123B">
        <w:rPr>
          <w:lang w:val="it-IT"/>
        </w:rPr>
        <w:t>Il 29 settembre 1911, senza l’approvazione del Parlamento, non ancora convocato dopo la pausa estiva, il governo italiano dichiarò guerra all’impero ottomano. Pochi giorni dopo un corpo di spedizione sbarcò a Tripoli. La guerra si concluse nell’ottobre 1912 con la pace di Losanna, che riconobbe all’Italia la sovranità politica sulla Tripolitania e sulla Cirenaica. In cambio, l’Italia pagò una parte del debito pubblico turco e lasciò all’impero ottomano la giurisdizione religiosa sulla Libia. Durante il conflitto l’Italia occupò anche il Dodecaneso, posto sotto amministrazione italiana.</w:t>
      </w:r>
    </w:p>
    <w:p w14:paraId="43A26B1E" w14:textId="77777777" w:rsidR="00D47093" w:rsidRPr="007F123B" w:rsidRDefault="00000000">
      <w:pPr>
        <w:rPr>
          <w:lang w:val="it-IT"/>
        </w:rPr>
      </w:pPr>
      <w:r w:rsidRPr="007F123B">
        <w:rPr>
          <w:lang w:val="it-IT"/>
        </w:rPr>
        <w:t>La conquista fu però più difficile del previsto. Le popolazioni arabe opposero una resistenza armata sotto forma di guerriglia, che sarebbe continuata per molti anni nelle regioni interne. La carta sulla guerra di Libia mostra che tra ottobre e dicembre 1911 la marina italiana occupò i principali porti libici, mentre nell’entroterra la conquista fu molto più complessa; nel 1912 le operazioni si estesero anche all’Egeo, con l’occupazione di Rodi e del Dodecaneso.</w:t>
      </w:r>
    </w:p>
    <w:p w14:paraId="48F42C59" w14:textId="77777777" w:rsidR="00D47093" w:rsidRPr="007F123B" w:rsidRDefault="00000000">
      <w:pPr>
        <w:rPr>
          <w:lang w:val="it-IT"/>
        </w:rPr>
      </w:pPr>
      <w:r w:rsidRPr="007F123B">
        <w:rPr>
          <w:lang w:val="it-IT"/>
        </w:rPr>
        <w:t>La guerra provocò un forte dibattito. Filippo Turati la condannò duramente, accusandola di essere un’aggressione imperialistica sostenuta dagli interessi di capitalisti e banchieri. Tuttavia, l’entusiasmo per la vittoria fu quasi generale e coinvolse anche socialisti riformisti come Leonida Bissolati e Ivanoe Bonomi, che per questo furono espulsi dal PSI nel luglio 1912. Anche poeti come Giovanni Pascoli e Gabriele D’Annunzio celebrarono l’impresa. La Libia, però, non si rivelò la terra fertile e ricca che molti avevano immaginato: Salvemini la definì uno “scatolone di sabbia”, e pochi emigranti italiani la scelsero come destinazione.</w:t>
      </w:r>
    </w:p>
    <w:p w14:paraId="5A5632FD" w14:textId="77777777" w:rsidR="00D47093" w:rsidRPr="007F123B" w:rsidRDefault="00000000">
      <w:pPr>
        <w:pStyle w:val="Titolo1"/>
        <w:spacing w:before="160" w:after="80"/>
        <w:rPr>
          <w:lang w:val="it-IT"/>
        </w:rPr>
      </w:pPr>
      <w:r w:rsidRPr="007F123B">
        <w:rPr>
          <w:rFonts w:ascii="Calibri" w:eastAsia="Calibri" w:hAnsi="Calibri"/>
          <w:lang w:val="it-IT"/>
        </w:rPr>
        <w:t>Le riforme sociali del 1911-1913</w:t>
      </w:r>
    </w:p>
    <w:p w14:paraId="37EEF9E3" w14:textId="77777777" w:rsidR="00D47093" w:rsidRPr="007F123B" w:rsidRDefault="00000000">
      <w:pPr>
        <w:rPr>
          <w:lang w:val="it-IT"/>
        </w:rPr>
      </w:pPr>
      <w:r w:rsidRPr="007F123B">
        <w:rPr>
          <w:lang w:val="it-IT"/>
        </w:rPr>
        <w:t>Mentre la guerra di Libia volgeva al termine, Giolitti realizzò un importante programma di riforme sociali. In campo scolastico, la legge Daneo-Credaro del 1911 trasferì allo Stato le spese per l’istruzione elementare, che fino ad allora gravavano sui Comuni. Questo permise di aumentare gli stipendi dei maestri, migliorare l’edilizia scolastica e creare nuove scuole nelle zone più povere.</w:t>
      </w:r>
    </w:p>
    <w:p w14:paraId="65F55B78" w14:textId="77777777" w:rsidR="00D47093" w:rsidRPr="007F123B" w:rsidRDefault="00000000">
      <w:pPr>
        <w:rPr>
          <w:lang w:val="it-IT"/>
        </w:rPr>
      </w:pPr>
      <w:r w:rsidRPr="007F123B">
        <w:rPr>
          <w:lang w:val="it-IT"/>
        </w:rPr>
        <w:t>Nel 1912 fu istituito il monopolio statale delle assicurazioni sulla vita, attraverso la nascita dell’Istituto nazionale delle assicurazioni, l’INA. L’obiettivo era finanziare le pensioni di invalidità e vecchiaia per i lavoratori. L’INA fu il primo esempio di ente pubblico con funzioni economiche gestito secondo criteri simili a quelli delle imprese private.</w:t>
      </w:r>
    </w:p>
    <w:p w14:paraId="10C2FAEA" w14:textId="77777777" w:rsidR="00D47093" w:rsidRPr="007F123B" w:rsidRDefault="00000000">
      <w:pPr>
        <w:rPr>
          <w:lang w:val="it-IT"/>
        </w:rPr>
      </w:pPr>
      <w:r w:rsidRPr="007F123B">
        <w:rPr>
          <w:lang w:val="it-IT"/>
        </w:rPr>
        <w:t>Nel dicembre 1912 fu creato l’Ispettorato del lavoro, incaricato di controllare il rispetto delle norme sull’assicurazione obbligatoria contro gli infortuni e della legge del 1907 sul riposo settimanale di 24 ore. Nel novembre 1913 nacque anche l’Istituto nazionale di credito per la cooperazione, futura Banca Nazionale del Lavoro, pensato per sostenere il movimento cooperativo, la piccola imprenditorialità e gli Istituti per le case popolari.</w:t>
      </w:r>
    </w:p>
    <w:p w14:paraId="2320A133" w14:textId="77777777" w:rsidR="00D47093" w:rsidRPr="007F123B" w:rsidRDefault="00000000">
      <w:pPr>
        <w:rPr>
          <w:lang w:val="it-IT"/>
        </w:rPr>
      </w:pPr>
      <w:r w:rsidRPr="007F123B">
        <w:rPr>
          <w:lang w:val="it-IT"/>
        </w:rPr>
        <w:lastRenderedPageBreak/>
        <w:t>Queste riforme mostrano il tentativo giolittiano di mantenere un equilibrio tra pressioni diverse: da una parte la destra nazionalista chiedeva espansione coloniale, dall’altra socialisti e sinistra premevano per riforme politiche e sociali. La politica estera fu quindi segnata dalla guerra di Libia, mentre quella interna dal suffragio universale maschile e dalla legislazione sociale.</w:t>
      </w:r>
    </w:p>
    <w:p w14:paraId="35D4F23A" w14:textId="77777777" w:rsidR="00D47093" w:rsidRPr="007F123B" w:rsidRDefault="00000000">
      <w:pPr>
        <w:pStyle w:val="Titolo1"/>
        <w:spacing w:before="160" w:after="80"/>
        <w:rPr>
          <w:lang w:val="it-IT"/>
        </w:rPr>
      </w:pPr>
      <w:r w:rsidRPr="007F123B">
        <w:rPr>
          <w:rFonts w:ascii="Calibri" w:eastAsia="Calibri" w:hAnsi="Calibri"/>
          <w:lang w:val="it-IT"/>
        </w:rPr>
        <w:t>Il suffragio universale maschile e il patto Gentiloni</w:t>
      </w:r>
    </w:p>
    <w:p w14:paraId="455D6699" w14:textId="77777777" w:rsidR="00D47093" w:rsidRPr="007F123B" w:rsidRDefault="00000000">
      <w:pPr>
        <w:rPr>
          <w:lang w:val="it-IT"/>
        </w:rPr>
      </w:pPr>
      <w:r w:rsidRPr="007F123B">
        <w:rPr>
          <w:lang w:val="it-IT"/>
        </w:rPr>
        <w:t>La nuova legge elettorale fu approvata il 25 maggio 1912. Gli iscritti alle liste elettorali passarono da 3 milioni a quasi 9 milioni. Le prime elezioni con il nuovo sistema si tennero tra ottobre e novembre 1913.</w:t>
      </w:r>
    </w:p>
    <w:p w14:paraId="2B35D905" w14:textId="77777777" w:rsidR="00D47093" w:rsidRPr="007F123B" w:rsidRDefault="00000000">
      <w:pPr>
        <w:rPr>
          <w:lang w:val="it-IT"/>
        </w:rPr>
      </w:pPr>
      <w:r w:rsidRPr="007F123B">
        <w:rPr>
          <w:lang w:val="it-IT"/>
        </w:rPr>
        <w:t>Il risultato principale fu la vittoria dei liberali, favorita dall’appoggio dei cattolici. Il presidente dell’Unione elettorale cattolica, Vincenzo Ottorino Gentiloni, offrì il sostegno dei cattolici ai candidati liberali disposti a sottoscrivere un patto in sette punti. Essi si impegnavano a opporsi al divorzio, a difendere le scuole cattoliche, a mantenere l’insegnamento religioso nelle scuole pubbliche e a evitare iniziative anticlericali.</w:t>
      </w:r>
    </w:p>
    <w:p w14:paraId="4BD35BB3" w14:textId="77777777" w:rsidR="00D47093" w:rsidRPr="007F123B" w:rsidRDefault="00000000">
      <w:pPr>
        <w:rPr>
          <w:lang w:val="it-IT"/>
        </w:rPr>
      </w:pPr>
      <w:r w:rsidRPr="007F123B">
        <w:rPr>
          <w:lang w:val="it-IT"/>
        </w:rPr>
        <w:t>Il non expedit, cioè il divieto per i cattolici di partecipare alla vita politica italiana, fu sospeso in 330 collegi. Secondo Gentiloni, 228 deputati su 308 furono eletti con l’appoggio cattolico. Questo segnò il rafforzamento della tendenza clerico-moderata, orientata all’accordo con i liberali.</w:t>
      </w:r>
    </w:p>
    <w:p w14:paraId="0671B56D" w14:textId="77777777" w:rsidR="00D47093" w:rsidRPr="007F123B" w:rsidRDefault="00000000">
      <w:pPr>
        <w:rPr>
          <w:lang w:val="it-IT"/>
        </w:rPr>
      </w:pPr>
      <w:r w:rsidRPr="007F123B">
        <w:rPr>
          <w:lang w:val="it-IT"/>
        </w:rPr>
        <w:t>A essere penalizzata fu invece la corrente democratico-cristiana, legata a don Romolo Murri e sensibile alla dottrina sociale della Chiesa espressa nell’enciclica Rerum novarum di Leone XIII. Murri sosteneva che i cattolici dovessero rappresentare direttamente le classi popolari e non allearsi con i liberali. La Santa Sede avversò queste posizioni: Murri fu sospeso dal sacerdozio e scomunicato nel 1909. Tuttavia, il cattolicesimo sociale continuò a svilupparsi nel campo sindacale attraverso le “leghe bianche”, associazioni contadine e operaie di ispirazione cattolica, soprattutto in Lombardia e Veneto, che nel 1910 contavano oltre 100.000 iscritti.</w:t>
      </w:r>
    </w:p>
    <w:p w14:paraId="5349D071" w14:textId="77777777" w:rsidR="00D47093" w:rsidRPr="007F123B" w:rsidRDefault="00000000">
      <w:pPr>
        <w:pStyle w:val="Titolo1"/>
        <w:spacing w:before="160" w:after="80"/>
        <w:rPr>
          <w:lang w:val="it-IT"/>
        </w:rPr>
      </w:pPr>
      <w:r w:rsidRPr="007F123B">
        <w:rPr>
          <w:rFonts w:ascii="Calibri" w:eastAsia="Calibri" w:hAnsi="Calibri"/>
          <w:lang w:val="it-IT"/>
        </w:rPr>
        <w:t>L’avanzata delle sinistre e la crisi del socialismo riformista</w:t>
      </w:r>
    </w:p>
    <w:p w14:paraId="51CE6195" w14:textId="77777777" w:rsidR="00D47093" w:rsidRPr="007F123B" w:rsidRDefault="00000000">
      <w:pPr>
        <w:rPr>
          <w:lang w:val="it-IT"/>
        </w:rPr>
      </w:pPr>
      <w:r w:rsidRPr="007F123B">
        <w:rPr>
          <w:lang w:val="it-IT"/>
        </w:rPr>
        <w:t>Alle elezioni del 1913 avanzarono anche i partiti di sinistra, che passarono complessivamente da 115 a 169 deputati. Il successo socialista fu particolarmente importante, ma premiò soprattutto la svolta massimalista e rivoluzionaria avvenuta nel PSI.</w:t>
      </w:r>
    </w:p>
    <w:p w14:paraId="7582657F" w14:textId="77777777" w:rsidR="00D47093" w:rsidRPr="007F123B" w:rsidRDefault="00000000">
      <w:pPr>
        <w:rPr>
          <w:lang w:val="it-IT"/>
        </w:rPr>
      </w:pPr>
      <w:r w:rsidRPr="007F123B">
        <w:rPr>
          <w:lang w:val="it-IT"/>
        </w:rPr>
        <w:t>Al congresso di Reggio Emilia del luglio 1912, la corrente massimalista aveva conquistato la maggioranza, emarginando i riformisti di Turati, considerati troppo legati al sistema giolittiano. I riformisti di destra più compromessi con il governo, come Bissolati e Bonomi, furono espulsi per il loro favore alla guerra di Libia. La mozione di espulsione fu presentata da Benito Mussolini, allora direttore dell’“Avanti!” e astro nascente del socialismo italiano.</w:t>
      </w:r>
    </w:p>
    <w:p w14:paraId="267CA735" w14:textId="77777777" w:rsidR="00D47093" w:rsidRPr="007F123B" w:rsidRDefault="00000000">
      <w:pPr>
        <w:rPr>
          <w:lang w:val="it-IT"/>
        </w:rPr>
      </w:pPr>
      <w:r w:rsidRPr="007F123B">
        <w:rPr>
          <w:lang w:val="it-IT"/>
        </w:rPr>
        <w:t xml:space="preserve">La crisi del socialismo riformista indebolì anche il liberalismo democratico giolittiano. Giolitti si trovò stretto tra nazionalisti antidemocratici, conservatori cattolici e socialisti massimalisti. Pur </w:t>
      </w:r>
      <w:r w:rsidRPr="007F123B">
        <w:rPr>
          <w:lang w:val="it-IT"/>
        </w:rPr>
        <w:lastRenderedPageBreak/>
        <w:t>avendo ancora una maggioranza parlamentare, non disponeva più degli equilibri politici su cui aveva costruito il suo sistema.</w:t>
      </w:r>
    </w:p>
    <w:p w14:paraId="17276FA7" w14:textId="77777777" w:rsidR="00D47093" w:rsidRPr="007F123B" w:rsidRDefault="00000000">
      <w:pPr>
        <w:rPr>
          <w:lang w:val="it-IT"/>
        </w:rPr>
      </w:pPr>
      <w:r w:rsidRPr="007F123B">
        <w:rPr>
          <w:lang w:val="it-IT"/>
        </w:rPr>
        <w:t>I radicali, fondamentali per dare al governo un carattere progressista, mal sopportavano il peso dei deputati “gentilonianizzati”, cioè troppo dipendenti dall’appoggio cattolico. Dopo aver già rinunciato in parte all’antiprotezionismo e all’antimilitarismo, i radicali non volevano rinunciare anche alla tradizione anticlericale. Il loro passaggio all’opposizione contro il patto Gentiloni provocò la caduta del governo Giolitti nel marzo 1914.</w:t>
      </w:r>
    </w:p>
    <w:p w14:paraId="5EF31383" w14:textId="77777777" w:rsidR="00D47093" w:rsidRPr="007F123B" w:rsidRDefault="00000000">
      <w:pPr>
        <w:pStyle w:val="Titolo1"/>
        <w:spacing w:before="160" w:after="80"/>
        <w:rPr>
          <w:lang w:val="it-IT"/>
        </w:rPr>
      </w:pPr>
      <w:r w:rsidRPr="007F123B">
        <w:rPr>
          <w:rFonts w:ascii="Calibri" w:eastAsia="Calibri" w:hAnsi="Calibri"/>
          <w:lang w:val="it-IT"/>
        </w:rPr>
        <w:t>Il governo Salandra e la “settimana rossa”</w:t>
      </w:r>
    </w:p>
    <w:p w14:paraId="2E406B1F" w14:textId="77777777" w:rsidR="00D47093" w:rsidRPr="007F123B" w:rsidRDefault="00000000">
      <w:pPr>
        <w:rPr>
          <w:lang w:val="it-IT"/>
        </w:rPr>
      </w:pPr>
      <w:r w:rsidRPr="007F123B">
        <w:rPr>
          <w:lang w:val="it-IT"/>
        </w:rPr>
        <w:t>Dopo le dimissioni di Giolitti, il governo passò ad Antonio Salandra, esponente liberal-conservatore. All’inizio sembrò un governo di transizione, destinato forse a preparare un ritorno di Giolitti, ma i fatti dimostrarono che l’età giolittiana era ormai conclusa.</w:t>
      </w:r>
    </w:p>
    <w:p w14:paraId="785A58A1" w14:textId="77777777" w:rsidR="00D47093" w:rsidRPr="007F123B" w:rsidRDefault="00000000">
      <w:pPr>
        <w:rPr>
          <w:lang w:val="it-IT"/>
        </w:rPr>
      </w:pPr>
      <w:r w:rsidRPr="007F123B">
        <w:rPr>
          <w:lang w:val="it-IT"/>
        </w:rPr>
        <w:t>Salandra era sostenitore di un governo forte e poteva essere appoggiato da nazionalisti, cattolici e da alcuni industriali avvicinatisi al nazionalismo in un contesto di crisi economica e ripresa delle lotte operaie. Nel giugno 1914 il governo dovette affrontare gravi proteste di massa. La scintilla fu la morte di tre dimostranti ad Ancona, durante una manifestazione antimilitarista organizzata da repubblicani, anarchici e socialisti.</w:t>
      </w:r>
    </w:p>
    <w:p w14:paraId="3D07068F" w14:textId="77777777" w:rsidR="00D47093" w:rsidRPr="007F123B" w:rsidRDefault="00000000">
      <w:pPr>
        <w:rPr>
          <w:lang w:val="it-IT"/>
        </w:rPr>
      </w:pPr>
      <w:r w:rsidRPr="007F123B">
        <w:rPr>
          <w:lang w:val="it-IT"/>
        </w:rPr>
        <w:t>L’8 giugno 1914 la CGdL proclamò uno sciopero generale di protesta. L’adesione fu molto ampia, soprattutto nelle città del Centro-Nord. Nonostante la revoca dello sciopero dopo due giorni, l’ondata insurrezionale continuò fino al 14 giugno, soprattutto nelle Marche e in Emilia-Romagna, dove sorsero in alcuni casi brevi “repubbliche rosse”.</w:t>
      </w:r>
    </w:p>
    <w:p w14:paraId="51936F58" w14:textId="77777777" w:rsidR="00D47093" w:rsidRPr="007F123B" w:rsidRDefault="00000000">
      <w:pPr>
        <w:rPr>
          <w:lang w:val="it-IT"/>
        </w:rPr>
      </w:pPr>
      <w:r w:rsidRPr="007F123B">
        <w:rPr>
          <w:lang w:val="it-IT"/>
        </w:rPr>
        <w:t>La protesta, priva di una direzione salda e di obiettivi precisi, fu repressa duramente dal governo. Nelle Marche e in Emilia-Romagna furono inviati 100.000 soldati. Nel frattempo comparvero anche controdimostrazioni antisocialiste, spesso guidate da nazionalisti, che si scontrarono fisicamente con gli scioperanti.</w:t>
      </w:r>
    </w:p>
    <w:p w14:paraId="3451DF0F" w14:textId="568AC352" w:rsidR="00D47093" w:rsidRPr="007F123B" w:rsidRDefault="00000000">
      <w:pPr>
        <w:rPr>
          <w:lang w:val="it-IT"/>
        </w:rPr>
      </w:pPr>
      <w:r w:rsidRPr="007F123B">
        <w:rPr>
          <w:lang w:val="it-IT"/>
        </w:rPr>
        <w:t>La “settimana rossa” mostrò quanto il paese fosse ormai diviso. Poche settimane dopo, lo scoppio della Prima guerra mondiale avrebbe aperto un nuovo e durissimo contrasto tra neutralisti e interventisti.</w:t>
      </w:r>
    </w:p>
    <w:sectPr w:rsidR="00D47093" w:rsidRPr="007F123B"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43452620">
    <w:abstractNumId w:val="8"/>
  </w:num>
  <w:num w:numId="2" w16cid:durableId="1035740610">
    <w:abstractNumId w:val="6"/>
  </w:num>
  <w:num w:numId="3" w16cid:durableId="1845054016">
    <w:abstractNumId w:val="5"/>
  </w:num>
  <w:num w:numId="4" w16cid:durableId="262342186">
    <w:abstractNumId w:val="4"/>
  </w:num>
  <w:num w:numId="5" w16cid:durableId="1748528234">
    <w:abstractNumId w:val="7"/>
  </w:num>
  <w:num w:numId="6" w16cid:durableId="785657908">
    <w:abstractNumId w:val="3"/>
  </w:num>
  <w:num w:numId="7" w16cid:durableId="1912230577">
    <w:abstractNumId w:val="2"/>
  </w:num>
  <w:num w:numId="8" w16cid:durableId="1697077129">
    <w:abstractNumId w:val="1"/>
  </w:num>
  <w:num w:numId="9" w16cid:durableId="97456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0C19"/>
    <w:rsid w:val="0029639D"/>
    <w:rsid w:val="00326F90"/>
    <w:rsid w:val="007F123B"/>
    <w:rsid w:val="00AA1D8D"/>
    <w:rsid w:val="00B47730"/>
    <w:rsid w:val="00CB0664"/>
    <w:rsid w:val="00D47093"/>
    <w:rsid w:val="00F161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66176C"/>
  <w14:defaultImageDpi w14:val="300"/>
  <w15:docId w15:val="{77B96D5B-645F-4716-82AA-199F1D3F3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jc w:val="both"/>
    </w:pPr>
    <w:rPr>
      <w:rFonts w:ascii="Calibri" w:eastAsia="Calibri" w:hAnsi="Calibri"/>
      <w:sz w:val="24"/>
    </w:rPr>
  </w:style>
  <w:style w:type="paragraph" w:styleId="Titolo1">
    <w:name w:val="heading 1"/>
    <w:basedOn w:val="Normale"/>
    <w:next w:val="Normale"/>
    <w:link w:val="Titolo1Carattere"/>
    <w:uiPriority w:val="9"/>
    <w:qFormat/>
    <w:rsid w:val="00FC693F"/>
    <w:pPr>
      <w:keepNext/>
      <w:keepLines/>
      <w:spacing w:before="480"/>
      <w:jc w:val="left"/>
      <w:outlineLvl w:val="0"/>
    </w:pPr>
    <w:rPr>
      <w:rFonts w:asciiTheme="majorHAnsi" w:eastAsiaTheme="majorEastAsia" w:hAnsiTheme="majorHAnsi" w:cstheme="majorBidi"/>
      <w:b/>
      <w:bCs/>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240"/>
      <w:contextualSpacing/>
      <w:jc w:val="center"/>
    </w:pPr>
    <w:rPr>
      <w:rFonts w:asciiTheme="majorHAnsi" w:eastAsiaTheme="majorEastAsia" w:hAnsiTheme="majorHAnsi" w:cstheme="majorBidi"/>
      <w:b/>
      <w:spacing w:val="5"/>
      <w:kern w:val="28"/>
      <w:sz w:val="30"/>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4696</Words>
  <Characters>26772</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L’età giolittiana: modernizzazione dell’Italia, questione sociale e crisi del liberalismo</dc:title>
  <dc:subject>Riassunto Capitolo 3</dc:subject>
  <dc:creator/>
  <cp:keywords/>
  <dc:description/>
  <cp:lastModifiedBy>Roberto Guerini</cp:lastModifiedBy>
  <cp:revision>3</cp:revision>
  <dcterms:created xsi:type="dcterms:W3CDTF">2013-12-23T23:15:00Z</dcterms:created>
  <dcterms:modified xsi:type="dcterms:W3CDTF">2026-05-29T19:52:00Z</dcterms:modified>
  <cp:category/>
</cp:coreProperties>
</file>