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067F" w14:textId="77777777" w:rsidR="00883E3A" w:rsidRPr="00132B24" w:rsidRDefault="00000000">
      <w:pPr>
        <w:pStyle w:val="Titoloprincipalepersonalizzato"/>
        <w:rPr>
          <w:lang w:val="it-IT"/>
        </w:rPr>
      </w:pPr>
      <w:r w:rsidRPr="00132B24">
        <w:rPr>
          <w:lang w:val="it-IT"/>
        </w:rPr>
        <w:t>I fragili equilibri del dopoguerra: la pace di Versailles, la crisi europea e il nuovo ordine mondiale</w:t>
      </w:r>
    </w:p>
    <w:p w14:paraId="49DD4C9F" w14:textId="77777777" w:rsidR="00883E3A" w:rsidRPr="00132B24" w:rsidRDefault="00000000">
      <w:pPr>
        <w:pStyle w:val="Sottotitolopersonalizzato"/>
        <w:rPr>
          <w:lang w:val="it-IT"/>
        </w:rPr>
      </w:pPr>
      <w:r w:rsidRPr="00132B24">
        <w:rPr>
          <w:lang w:val="it-IT"/>
        </w:rPr>
        <w:t>La conferenza di pace di Parigi e il nuovo scenario europeo</w:t>
      </w:r>
    </w:p>
    <w:p w14:paraId="49D13B97" w14:textId="77777777" w:rsidR="00883E3A" w:rsidRPr="00132B24" w:rsidRDefault="00000000">
      <w:pPr>
        <w:rPr>
          <w:lang w:val="it-IT"/>
        </w:rPr>
      </w:pPr>
      <w:r w:rsidRPr="00132B24">
        <w:rPr>
          <w:lang w:val="it-IT"/>
        </w:rPr>
        <w:t xml:space="preserve">La conferenza di pace si aprì il </w:t>
      </w:r>
      <w:r w:rsidRPr="00132B24">
        <w:rPr>
          <w:b/>
          <w:lang w:val="it-IT"/>
        </w:rPr>
        <w:t>18 gennaio 1919</w:t>
      </w:r>
      <w:r w:rsidRPr="00132B24">
        <w:rPr>
          <w:lang w:val="it-IT"/>
        </w:rPr>
        <w:t xml:space="preserve"> a Parigi, presso la reggia di Versailles. La data e il luogo avevano un forte valore simbolico, perché proprio a Versailles, il </w:t>
      </w:r>
      <w:r w:rsidRPr="00132B24">
        <w:rPr>
          <w:b/>
          <w:lang w:val="it-IT"/>
        </w:rPr>
        <w:t>18 gennaio 1871</w:t>
      </w:r>
      <w:r w:rsidRPr="00132B24">
        <w:rPr>
          <w:lang w:val="it-IT"/>
        </w:rPr>
        <w:t xml:space="preserve">, era stato proclamato l’Impero tedesco dopo la sconfitta francese nella guerra franco-prussiana. Alla conferenza parteciparono </w:t>
      </w:r>
      <w:r w:rsidRPr="00132B24">
        <w:rPr>
          <w:b/>
          <w:lang w:val="it-IT"/>
        </w:rPr>
        <w:t>32 nazioni vincitrici</w:t>
      </w:r>
      <w:r w:rsidRPr="00132B24">
        <w:rPr>
          <w:lang w:val="it-IT"/>
        </w:rPr>
        <w:t>, mentre furono esclusi i paesi sconfitti e la Russia bolscevica, il cui governo non era riconosciuto a livello internazionale.</w:t>
      </w:r>
    </w:p>
    <w:p w14:paraId="7AE7E2CC" w14:textId="77777777" w:rsidR="00883E3A" w:rsidRPr="00132B24" w:rsidRDefault="00000000">
      <w:pPr>
        <w:rPr>
          <w:lang w:val="it-IT"/>
        </w:rPr>
      </w:pPr>
      <w:r w:rsidRPr="00132B24">
        <w:rPr>
          <w:lang w:val="it-IT"/>
        </w:rPr>
        <w:t xml:space="preserve">Il quadro europeo era molto diverso da quello precedente alla guerra. Dall’ex impero zarista erano nate </w:t>
      </w:r>
      <w:r w:rsidRPr="00132B24">
        <w:rPr>
          <w:b/>
          <w:lang w:val="it-IT"/>
        </w:rPr>
        <w:t>Finlandia, Estonia, Lettonia e Lituania</w:t>
      </w:r>
      <w:r w:rsidRPr="00132B24">
        <w:rPr>
          <w:lang w:val="it-IT"/>
        </w:rPr>
        <w:t xml:space="preserve">; dalla dissoluzione dell’impero austro-ungarico erano sorte la </w:t>
      </w:r>
      <w:r w:rsidRPr="00132B24">
        <w:rPr>
          <w:b/>
          <w:lang w:val="it-IT"/>
        </w:rPr>
        <w:t>repubblica austriaca</w:t>
      </w:r>
      <w:r w:rsidRPr="00132B24">
        <w:rPr>
          <w:lang w:val="it-IT"/>
        </w:rPr>
        <w:t xml:space="preserve">, la </w:t>
      </w:r>
      <w:r w:rsidRPr="00132B24">
        <w:rPr>
          <w:b/>
          <w:lang w:val="it-IT"/>
        </w:rPr>
        <w:t>repubblica cecoslovacca</w:t>
      </w:r>
      <w:r w:rsidRPr="00132B24">
        <w:rPr>
          <w:lang w:val="it-IT"/>
        </w:rPr>
        <w:t xml:space="preserve">, la </w:t>
      </w:r>
      <w:r w:rsidRPr="00132B24">
        <w:rPr>
          <w:b/>
          <w:lang w:val="it-IT"/>
        </w:rPr>
        <w:t>repubblica ungherese</w:t>
      </w:r>
      <w:r w:rsidRPr="00132B24">
        <w:rPr>
          <w:lang w:val="it-IT"/>
        </w:rPr>
        <w:t xml:space="preserve"> e la </w:t>
      </w:r>
      <w:r w:rsidRPr="00132B24">
        <w:rPr>
          <w:b/>
          <w:lang w:val="it-IT"/>
        </w:rPr>
        <w:t>repubblica polacca</w:t>
      </w:r>
      <w:r w:rsidRPr="00132B24">
        <w:rPr>
          <w:lang w:val="it-IT"/>
        </w:rPr>
        <w:t xml:space="preserve">; nei Balcani, Serbia, Croazia, Slovenia e Montenegro avevano dato vita al </w:t>
      </w:r>
      <w:r w:rsidRPr="00132B24">
        <w:rPr>
          <w:b/>
          <w:lang w:val="it-IT"/>
        </w:rPr>
        <w:t>regno dei serbi, dei croati e degli sloveni</w:t>
      </w:r>
      <w:r w:rsidRPr="00132B24">
        <w:rPr>
          <w:lang w:val="it-IT"/>
        </w:rPr>
        <w:t xml:space="preserve">, che dal 1929 avrebbe preso il nome di </w:t>
      </w:r>
      <w:r w:rsidRPr="00132B24">
        <w:rPr>
          <w:b/>
          <w:lang w:val="it-IT"/>
        </w:rPr>
        <w:t>Iugoslavia</w:t>
      </w:r>
      <w:r w:rsidRPr="00132B24">
        <w:rPr>
          <w:lang w:val="it-IT"/>
        </w:rPr>
        <w:t>. Questa situazione non era stata prevista né pienamente desiderata dai vincitori, perché distruggeva antichi equilibri e apriva scenari incerti, aggravati da conflitti etnici, povertà, agitazioni sociali e spopolamento.</w:t>
      </w:r>
    </w:p>
    <w:p w14:paraId="2CF4AF3C" w14:textId="77777777" w:rsidR="00883E3A" w:rsidRPr="00132B24" w:rsidRDefault="00000000">
      <w:pPr>
        <w:rPr>
          <w:lang w:val="it-IT"/>
        </w:rPr>
      </w:pPr>
      <w:r w:rsidRPr="00132B24">
        <w:rPr>
          <w:lang w:val="it-IT"/>
        </w:rPr>
        <w:t xml:space="preserve">In contrasto con l’Europa impoverita, gli </w:t>
      </w:r>
      <w:r w:rsidRPr="00132B24">
        <w:rPr>
          <w:b/>
          <w:lang w:val="it-IT"/>
        </w:rPr>
        <w:t>Stati Uniti</w:t>
      </w:r>
      <w:r w:rsidRPr="00132B24">
        <w:rPr>
          <w:lang w:val="it-IT"/>
        </w:rPr>
        <w:t xml:space="preserve"> uscivano dalla guerra come nuova grande potenza internazionale, non avendo subito devastazioni materiali paragonabili a quelle europee.</w:t>
      </w:r>
    </w:p>
    <w:p w14:paraId="41F365D7" w14:textId="77777777" w:rsidR="00883E3A" w:rsidRPr="00132B24" w:rsidRDefault="00000000">
      <w:pPr>
        <w:pStyle w:val="Sottotitolopersonalizzato"/>
        <w:rPr>
          <w:lang w:val="it-IT"/>
        </w:rPr>
      </w:pPr>
      <w:r w:rsidRPr="00132B24">
        <w:rPr>
          <w:lang w:val="it-IT"/>
        </w:rPr>
        <w:t>I “14 punti” di Wilson e l’idea di una pace democratica</w:t>
      </w:r>
    </w:p>
    <w:p w14:paraId="3196C92A" w14:textId="77777777" w:rsidR="00883E3A" w:rsidRPr="00132B24" w:rsidRDefault="00000000">
      <w:pPr>
        <w:rPr>
          <w:lang w:val="it-IT"/>
        </w:rPr>
      </w:pPr>
      <w:r w:rsidRPr="00132B24">
        <w:rPr>
          <w:lang w:val="it-IT"/>
        </w:rPr>
        <w:t xml:space="preserve">Nel gennaio </w:t>
      </w:r>
      <w:r w:rsidRPr="00132B24">
        <w:rPr>
          <w:b/>
          <w:lang w:val="it-IT"/>
        </w:rPr>
        <w:t>1918</w:t>
      </w:r>
      <w:r w:rsidRPr="00132B24">
        <w:rPr>
          <w:lang w:val="it-IT"/>
        </w:rPr>
        <w:t xml:space="preserve">, il presidente statunitense </w:t>
      </w:r>
      <w:r w:rsidRPr="00132B24">
        <w:rPr>
          <w:b/>
          <w:lang w:val="it-IT"/>
        </w:rPr>
        <w:t>Thomas Woodrow Wilson</w:t>
      </w:r>
      <w:r w:rsidRPr="00132B24">
        <w:rPr>
          <w:lang w:val="it-IT"/>
        </w:rPr>
        <w:t xml:space="preserve"> aveva presentato al Congresso americano un programma in </w:t>
      </w:r>
      <w:r w:rsidRPr="00132B24">
        <w:rPr>
          <w:b/>
          <w:lang w:val="it-IT"/>
        </w:rPr>
        <w:t>14 punti</w:t>
      </w:r>
      <w:r w:rsidRPr="00132B24">
        <w:rPr>
          <w:lang w:val="it-IT"/>
        </w:rPr>
        <w:t xml:space="preserve">, con cui indicava i principi su cui costruire una pace giusta e duratura. Wilson proponeva una politica internazionale fondata sulla cooperazione tra gli Stati, sull’autodeterminazione dei popoli, sulla libertà dei mari, sulla riduzione degli armamenti e sulla fine della diplomazia segreta. Quest’ultimo aspetto era particolarmente importante perché molti accordi di guerra, come il </w:t>
      </w:r>
      <w:r w:rsidRPr="00132B24">
        <w:rPr>
          <w:b/>
          <w:lang w:val="it-IT"/>
        </w:rPr>
        <w:t>patto di Londra del 1915</w:t>
      </w:r>
      <w:r w:rsidRPr="00132B24">
        <w:rPr>
          <w:lang w:val="it-IT"/>
        </w:rPr>
        <w:t xml:space="preserve"> tra Italia e potenze dell’Intesa, erano stati conclusi senza controllo dell’opinione pubblica.</w:t>
      </w:r>
    </w:p>
    <w:p w14:paraId="00B024DB" w14:textId="77777777" w:rsidR="00883E3A" w:rsidRPr="00132B24" w:rsidRDefault="00000000">
      <w:pPr>
        <w:rPr>
          <w:lang w:val="it-IT"/>
        </w:rPr>
      </w:pPr>
      <w:r w:rsidRPr="00132B24">
        <w:rPr>
          <w:lang w:val="it-IT"/>
        </w:rPr>
        <w:t xml:space="preserve">Wilson voleva inoltre la rimozione delle barriere doganali e la creazione di un organismo internazionale capace di risolvere pacificamente le controversie tra Stati: la </w:t>
      </w:r>
      <w:r w:rsidRPr="00132B24">
        <w:rPr>
          <w:b/>
          <w:lang w:val="it-IT"/>
        </w:rPr>
        <w:t>Società delle Nazioni</w:t>
      </w:r>
      <w:r w:rsidRPr="00132B24">
        <w:rPr>
          <w:lang w:val="it-IT"/>
        </w:rPr>
        <w:t>. Il suo progetto collegava il principio di nazionalità alla democrazia, contrapponendosi sia all’imperialismo europeo sia all’internazionalismo rivoluzionario proclamato da Lenin in Russia. Per Wilson, infatti, la pace non doveva nascere dall’abolizione delle frontiere e del capitalismo, ma da Stati nazionali democratici e non aggressivi.</w:t>
      </w:r>
    </w:p>
    <w:p w14:paraId="00829BD0" w14:textId="77777777" w:rsidR="00883E3A" w:rsidRPr="00132B24" w:rsidRDefault="00000000">
      <w:pPr>
        <w:rPr>
          <w:lang w:val="it-IT"/>
        </w:rPr>
      </w:pPr>
      <w:r w:rsidRPr="00132B24">
        <w:rPr>
          <w:lang w:val="it-IT"/>
        </w:rPr>
        <w:lastRenderedPageBreak/>
        <w:t>Tuttavia, i principi wilsoniani furono applicati solo in parte. Francia e Gran Bretagna non vollero estendere l’autodeterminazione alle colonie, e nella definizione dei trattati prevalsero spesso interessi imperialistici, punitivi e strategici.</w:t>
      </w:r>
    </w:p>
    <w:p w14:paraId="2DA01B29" w14:textId="77777777" w:rsidR="00883E3A" w:rsidRPr="00132B24" w:rsidRDefault="00000000">
      <w:pPr>
        <w:pStyle w:val="Sottotitolopersonalizzato"/>
        <w:rPr>
          <w:lang w:val="it-IT"/>
        </w:rPr>
      </w:pPr>
      <w:r w:rsidRPr="00132B24">
        <w:rPr>
          <w:lang w:val="it-IT"/>
        </w:rPr>
        <w:t>I protagonisti delle trattative di Versailles</w:t>
      </w:r>
    </w:p>
    <w:p w14:paraId="723EB364" w14:textId="77777777" w:rsidR="00883E3A" w:rsidRPr="00132B24" w:rsidRDefault="00000000">
      <w:pPr>
        <w:rPr>
          <w:lang w:val="it-IT"/>
        </w:rPr>
      </w:pPr>
      <w:r w:rsidRPr="00132B24">
        <w:rPr>
          <w:lang w:val="it-IT"/>
        </w:rPr>
        <w:t xml:space="preserve">Durante la conferenza emersero soprattutto i cosiddetti </w:t>
      </w:r>
      <w:r w:rsidRPr="00132B24">
        <w:rPr>
          <w:b/>
          <w:lang w:val="it-IT"/>
        </w:rPr>
        <w:t>“tre grandi”</w:t>
      </w:r>
      <w:r w:rsidRPr="00132B24">
        <w:rPr>
          <w:lang w:val="it-IT"/>
        </w:rPr>
        <w:t xml:space="preserve">: Wilson per gli Stati Uniti, </w:t>
      </w:r>
      <w:r w:rsidRPr="00132B24">
        <w:rPr>
          <w:b/>
          <w:lang w:val="it-IT"/>
        </w:rPr>
        <w:t>Georges Clemenceau</w:t>
      </w:r>
      <w:r w:rsidRPr="00132B24">
        <w:rPr>
          <w:lang w:val="it-IT"/>
        </w:rPr>
        <w:t xml:space="preserve"> per la Francia e </w:t>
      </w:r>
      <w:r w:rsidRPr="00132B24">
        <w:rPr>
          <w:b/>
          <w:lang w:val="it-IT"/>
        </w:rPr>
        <w:t>David Lloyd George</w:t>
      </w:r>
      <w:r w:rsidRPr="00132B24">
        <w:rPr>
          <w:lang w:val="it-IT"/>
        </w:rPr>
        <w:t xml:space="preserve"> per la Gran Bretagna. L’Italia era rappresentata dal presidente del Consiglio </w:t>
      </w:r>
      <w:r w:rsidRPr="00132B24">
        <w:rPr>
          <w:b/>
          <w:lang w:val="it-IT"/>
        </w:rPr>
        <w:t>Vittorio Emanuele Orlando</w:t>
      </w:r>
      <w:r w:rsidRPr="00132B24">
        <w:rPr>
          <w:lang w:val="it-IT"/>
        </w:rPr>
        <w:t xml:space="preserve"> e dal ministro degli Esteri </w:t>
      </w:r>
      <w:r w:rsidRPr="00132B24">
        <w:rPr>
          <w:b/>
          <w:lang w:val="it-IT"/>
        </w:rPr>
        <w:t>Sidney Sonnino</w:t>
      </w:r>
      <w:r w:rsidRPr="00132B24">
        <w:rPr>
          <w:lang w:val="it-IT"/>
        </w:rPr>
        <w:t xml:space="preserve">, ma ebbe un ruolo secondario. La delegazione italiana non riuscì a far valere efficacemente le proprie richieste; nell’aprile 1919 Orlando arrivò persino a ritirare temporaneamente la delegazione da Parigi dopo uno scontro con Wilson, ma fu poi costretto a tornare in una posizione ancora più debole. Il </w:t>
      </w:r>
      <w:r w:rsidRPr="00132B24">
        <w:rPr>
          <w:b/>
          <w:lang w:val="it-IT"/>
        </w:rPr>
        <w:t>23 giugno 1919</w:t>
      </w:r>
      <w:r w:rsidRPr="00132B24">
        <w:rPr>
          <w:lang w:val="it-IT"/>
        </w:rPr>
        <w:t>, alla vigilia della firma del trattato di Versailles, Orlando si dimise.</w:t>
      </w:r>
    </w:p>
    <w:p w14:paraId="6A74FD6C" w14:textId="77777777" w:rsidR="00883E3A" w:rsidRPr="00132B24" w:rsidRDefault="00000000">
      <w:pPr>
        <w:rPr>
          <w:lang w:val="it-IT"/>
        </w:rPr>
      </w:pPr>
      <w:r w:rsidRPr="00132B24">
        <w:rPr>
          <w:lang w:val="it-IT"/>
        </w:rPr>
        <w:t xml:space="preserve">Il contrasto principale riguardò la Germania. Wilson voleva una pace equilibrata, ma Clemenceau chiedeva l’indebolimento radicale della Germania, anche per il ricordo della guerra franco-prussiana del </w:t>
      </w:r>
      <w:r w:rsidRPr="00132B24">
        <w:rPr>
          <w:b/>
          <w:lang w:val="it-IT"/>
        </w:rPr>
        <w:t>1870-1871</w:t>
      </w:r>
      <w:r w:rsidRPr="00132B24">
        <w:rPr>
          <w:lang w:val="it-IT"/>
        </w:rPr>
        <w:t xml:space="preserve"> e della perdita dell’Alsazia e della Lorena. Lloyd George, pur temendo che un’umiliazione eccessiva potesse spingere la Germania verso il bolscevismo o verso una nuova guerra, finì per appoggiare la Francia, anche in vista di vantaggi britannici nella spartizione del Medio Oriente, regione ormai strategica per il petrolio.</w:t>
      </w:r>
    </w:p>
    <w:p w14:paraId="252B04A8" w14:textId="77777777" w:rsidR="00883E3A" w:rsidRPr="00132B24" w:rsidRDefault="00000000">
      <w:pPr>
        <w:pStyle w:val="Sottotitolopersonalizzato"/>
        <w:rPr>
          <w:lang w:val="it-IT"/>
        </w:rPr>
      </w:pPr>
      <w:r w:rsidRPr="00132B24">
        <w:rPr>
          <w:lang w:val="it-IT"/>
        </w:rPr>
        <w:t>Il trattato di Versailles e la “pace punitiva” contro la Germania</w:t>
      </w:r>
    </w:p>
    <w:p w14:paraId="7E5E747F" w14:textId="77777777" w:rsidR="00883E3A" w:rsidRPr="00132B24" w:rsidRDefault="00000000">
      <w:pPr>
        <w:rPr>
          <w:lang w:val="it-IT"/>
        </w:rPr>
      </w:pPr>
      <w:r w:rsidRPr="00132B24">
        <w:rPr>
          <w:lang w:val="it-IT"/>
        </w:rPr>
        <w:t xml:space="preserve">Il </w:t>
      </w:r>
      <w:r w:rsidRPr="00132B24">
        <w:rPr>
          <w:b/>
          <w:lang w:val="it-IT"/>
        </w:rPr>
        <w:t>28 giugno 1919</w:t>
      </w:r>
      <w:r w:rsidRPr="00132B24">
        <w:rPr>
          <w:lang w:val="it-IT"/>
        </w:rPr>
        <w:t xml:space="preserve">, esattamente cinque anni dopo l’attentato di Sarajevo che aveva innescato la guerra, la Germania fu costretta a firmare il </w:t>
      </w:r>
      <w:r w:rsidRPr="00132B24">
        <w:rPr>
          <w:b/>
          <w:lang w:val="it-IT"/>
        </w:rPr>
        <w:t>trattato di Versailles</w:t>
      </w:r>
      <w:r w:rsidRPr="00132B24">
        <w:rPr>
          <w:lang w:val="it-IT"/>
        </w:rPr>
        <w:t xml:space="preserve">. Il trattato attribuì alla Germania l’intera responsabilità della guerra e le impose condizioni durissime, considerate dai tedeschi un vero </w:t>
      </w:r>
      <w:r w:rsidRPr="00132B24">
        <w:rPr>
          <w:b/>
          <w:lang w:val="it-IT"/>
        </w:rPr>
        <w:t>Diktat</w:t>
      </w:r>
      <w:r w:rsidRPr="00132B24">
        <w:rPr>
          <w:lang w:val="it-IT"/>
        </w:rPr>
        <w:t>, perché non poterono discuterle ma solo accettarle.</w:t>
      </w:r>
    </w:p>
    <w:p w14:paraId="08A839AE" w14:textId="77777777" w:rsidR="00883E3A" w:rsidRPr="00132B24" w:rsidRDefault="00000000">
      <w:pPr>
        <w:rPr>
          <w:lang w:val="it-IT"/>
        </w:rPr>
      </w:pPr>
      <w:r w:rsidRPr="00132B24">
        <w:rPr>
          <w:lang w:val="it-IT"/>
        </w:rPr>
        <w:t>Sul piano territoriale, la Germania perse tutte le colonie, spartite soprattutto tra Francia e Gran Bretagna. L’</w:t>
      </w:r>
      <w:r w:rsidRPr="00132B24">
        <w:rPr>
          <w:b/>
          <w:lang w:val="it-IT"/>
        </w:rPr>
        <w:t>Alsazia</w:t>
      </w:r>
      <w:r w:rsidRPr="00132B24">
        <w:rPr>
          <w:lang w:val="it-IT"/>
        </w:rPr>
        <w:t xml:space="preserve"> e la </w:t>
      </w:r>
      <w:r w:rsidRPr="00132B24">
        <w:rPr>
          <w:b/>
          <w:lang w:val="it-IT"/>
        </w:rPr>
        <w:t>Lorena</w:t>
      </w:r>
      <w:r w:rsidRPr="00132B24">
        <w:rPr>
          <w:lang w:val="it-IT"/>
        </w:rPr>
        <w:t xml:space="preserve"> tornarono alla Francia; il bacino carbonifero della </w:t>
      </w:r>
      <w:r w:rsidRPr="00132B24">
        <w:rPr>
          <w:b/>
          <w:lang w:val="it-IT"/>
        </w:rPr>
        <w:t>Saar</w:t>
      </w:r>
      <w:r w:rsidRPr="00132B24">
        <w:rPr>
          <w:lang w:val="it-IT"/>
        </w:rPr>
        <w:t xml:space="preserve"> passò sotto amministrazione francese per quindici anni, al termine dei quali sarebbe stato sottoposto a plebiscito; lo </w:t>
      </w:r>
      <w:r w:rsidRPr="00132B24">
        <w:rPr>
          <w:b/>
          <w:lang w:val="it-IT"/>
        </w:rPr>
        <w:t>Schleswig settentrionale</w:t>
      </w:r>
      <w:r w:rsidRPr="00132B24">
        <w:rPr>
          <w:lang w:val="it-IT"/>
        </w:rPr>
        <w:t xml:space="preserve"> fu assegnato alla Danimarca; </w:t>
      </w:r>
      <w:r w:rsidRPr="00132B24">
        <w:rPr>
          <w:b/>
          <w:lang w:val="it-IT"/>
        </w:rPr>
        <w:t>Eupen</w:t>
      </w:r>
      <w:r w:rsidRPr="00132B24">
        <w:rPr>
          <w:lang w:val="it-IT"/>
        </w:rPr>
        <w:t xml:space="preserve"> e </w:t>
      </w:r>
      <w:r w:rsidRPr="00132B24">
        <w:rPr>
          <w:b/>
          <w:lang w:val="it-IT"/>
        </w:rPr>
        <w:t>Malmedy</w:t>
      </w:r>
      <w:r w:rsidRPr="00132B24">
        <w:rPr>
          <w:lang w:val="it-IT"/>
        </w:rPr>
        <w:t xml:space="preserve"> passarono al Belgio. A est, la Polonia, ricostituita dopo più di un secolo, ottenne l’</w:t>
      </w:r>
      <w:r w:rsidRPr="00132B24">
        <w:rPr>
          <w:b/>
          <w:lang w:val="it-IT"/>
        </w:rPr>
        <w:t>Alta Slesia</w:t>
      </w:r>
      <w:r w:rsidRPr="00132B24">
        <w:rPr>
          <w:lang w:val="it-IT"/>
        </w:rPr>
        <w:t xml:space="preserve">, la </w:t>
      </w:r>
      <w:r w:rsidRPr="00132B24">
        <w:rPr>
          <w:b/>
          <w:lang w:val="it-IT"/>
        </w:rPr>
        <w:t>Posnania</w:t>
      </w:r>
      <w:r w:rsidRPr="00132B24">
        <w:rPr>
          <w:lang w:val="it-IT"/>
        </w:rPr>
        <w:t xml:space="preserve"> e il </w:t>
      </w:r>
      <w:r w:rsidRPr="00132B24">
        <w:rPr>
          <w:b/>
          <w:lang w:val="it-IT"/>
        </w:rPr>
        <w:t>corridoio di Danzica</w:t>
      </w:r>
      <w:r w:rsidRPr="00132B24">
        <w:rPr>
          <w:lang w:val="it-IT"/>
        </w:rPr>
        <w:t>, che le garantiva uno sbocco sul Mar Baltico ma separava la Prussia orientale dal resto della Germania. Danzica fu dichiarata “città libera”. La carta del capitolo sulla Germania dopo Versailles mostra chiaramente la perdita di territori tedeschi e la separazione della Prussia orientale dal resto del paese.</w:t>
      </w:r>
    </w:p>
    <w:p w14:paraId="38B98055" w14:textId="77777777" w:rsidR="00883E3A" w:rsidRPr="00132B24" w:rsidRDefault="00000000">
      <w:pPr>
        <w:rPr>
          <w:lang w:val="it-IT"/>
        </w:rPr>
      </w:pPr>
      <w:r w:rsidRPr="00132B24">
        <w:rPr>
          <w:lang w:val="it-IT"/>
        </w:rPr>
        <w:t xml:space="preserve">In totale, la Germania perse oltre il </w:t>
      </w:r>
      <w:r w:rsidRPr="00132B24">
        <w:rPr>
          <w:b/>
          <w:lang w:val="it-IT"/>
        </w:rPr>
        <w:t>13% del territorio</w:t>
      </w:r>
      <w:r w:rsidRPr="00132B24">
        <w:rPr>
          <w:lang w:val="it-IT"/>
        </w:rPr>
        <w:t xml:space="preserve"> e circa </w:t>
      </w:r>
      <w:r w:rsidRPr="00132B24">
        <w:rPr>
          <w:b/>
          <w:lang w:val="it-IT"/>
        </w:rPr>
        <w:t>due milioni di tedeschi</w:t>
      </w:r>
      <w:r w:rsidRPr="00132B24">
        <w:rPr>
          <w:lang w:val="it-IT"/>
        </w:rPr>
        <w:t xml:space="preserve">, pari al </w:t>
      </w:r>
      <w:r w:rsidRPr="00132B24">
        <w:rPr>
          <w:b/>
          <w:lang w:val="it-IT"/>
        </w:rPr>
        <w:t>10% della popolazione</w:t>
      </w:r>
      <w:r w:rsidRPr="00132B24">
        <w:rPr>
          <w:lang w:val="it-IT"/>
        </w:rPr>
        <w:t xml:space="preserve">, si trovarono fuori dai confini nazionali. Le clausole militari furono altrettanto severe: la flotta fu ridotta a sei navi da guerra, l’aeronautica venne smantellata, la leva </w:t>
      </w:r>
      <w:r w:rsidRPr="00132B24">
        <w:rPr>
          <w:lang w:val="it-IT"/>
        </w:rPr>
        <w:lastRenderedPageBreak/>
        <w:t xml:space="preserve">obbligatoria abolita e l’esercito ridotto a </w:t>
      </w:r>
      <w:r w:rsidRPr="00132B24">
        <w:rPr>
          <w:b/>
          <w:lang w:val="it-IT"/>
        </w:rPr>
        <w:t>100.000 uomini</w:t>
      </w:r>
      <w:r w:rsidRPr="00132B24">
        <w:rPr>
          <w:lang w:val="it-IT"/>
        </w:rPr>
        <w:t xml:space="preserve">, dotati solo di armamenti leggeri. Fu inoltre smilitarizzata una fascia di </w:t>
      </w:r>
      <w:r w:rsidRPr="00132B24">
        <w:rPr>
          <w:b/>
          <w:lang w:val="it-IT"/>
        </w:rPr>
        <w:t>50 km</w:t>
      </w:r>
      <w:r w:rsidRPr="00132B24">
        <w:rPr>
          <w:lang w:val="it-IT"/>
        </w:rPr>
        <w:t xml:space="preserve"> sulla riva destra del Reno, mentre la riva sinistra, la </w:t>
      </w:r>
      <w:r w:rsidRPr="00132B24">
        <w:rPr>
          <w:b/>
          <w:lang w:val="it-IT"/>
        </w:rPr>
        <w:t>Renania</w:t>
      </w:r>
      <w:r w:rsidRPr="00132B24">
        <w:rPr>
          <w:lang w:val="it-IT"/>
        </w:rPr>
        <w:t>, fu occupata per quindici anni da truppe francesi, belghe e inglesi. I fiumi navigabili, tra cui Reno, Elba e Oder, furono internazionalizzati.</w:t>
      </w:r>
    </w:p>
    <w:p w14:paraId="3F7D1897" w14:textId="77777777" w:rsidR="00883E3A" w:rsidRPr="00132B24" w:rsidRDefault="00000000">
      <w:pPr>
        <w:rPr>
          <w:lang w:val="it-IT"/>
        </w:rPr>
      </w:pPr>
      <w:r w:rsidRPr="00132B24">
        <w:rPr>
          <w:lang w:val="it-IT"/>
        </w:rPr>
        <w:t xml:space="preserve">Infine, alla Germania furono imposte riparazioni di guerra enormi: nel </w:t>
      </w:r>
      <w:r w:rsidRPr="00132B24">
        <w:rPr>
          <w:b/>
          <w:lang w:val="it-IT"/>
        </w:rPr>
        <w:t>1921</w:t>
      </w:r>
      <w:r w:rsidRPr="00132B24">
        <w:rPr>
          <w:lang w:val="it-IT"/>
        </w:rPr>
        <w:t xml:space="preserve"> furono fissate in </w:t>
      </w:r>
      <w:r w:rsidRPr="00132B24">
        <w:rPr>
          <w:b/>
          <w:lang w:val="it-IT"/>
        </w:rPr>
        <w:t>132 miliardi di marchi-oro</w:t>
      </w:r>
      <w:r w:rsidRPr="00132B24">
        <w:rPr>
          <w:lang w:val="it-IT"/>
        </w:rPr>
        <w:t xml:space="preserve">, da pagare in trent’anni. L’obiettivo dei vincitori era tenere a lungo in ginocchio l’economia tedesca. In questo modo, la “pace democratica” auspicata da Wilson si trasformò in una </w:t>
      </w:r>
      <w:r w:rsidRPr="00132B24">
        <w:rPr>
          <w:b/>
          <w:lang w:val="it-IT"/>
        </w:rPr>
        <w:t>pace punitiva</w:t>
      </w:r>
      <w:r w:rsidRPr="00132B24">
        <w:rPr>
          <w:lang w:val="it-IT"/>
        </w:rPr>
        <w:t>, destinata ad alimentare risentimenti e instabilità.</w:t>
      </w:r>
    </w:p>
    <w:p w14:paraId="3D253F48" w14:textId="77777777" w:rsidR="00883E3A" w:rsidRPr="00132B24" w:rsidRDefault="00000000">
      <w:pPr>
        <w:pStyle w:val="Sottotitolopersonalizzato"/>
        <w:rPr>
          <w:lang w:val="it-IT"/>
        </w:rPr>
      </w:pPr>
      <w:r w:rsidRPr="00132B24">
        <w:rPr>
          <w:lang w:val="it-IT"/>
        </w:rPr>
        <w:t>La fine degli imperi e i nuovi Stati europei</w:t>
      </w:r>
    </w:p>
    <w:p w14:paraId="7C9630A6" w14:textId="77777777" w:rsidR="00132B24" w:rsidRPr="00132B24" w:rsidRDefault="00000000" w:rsidP="00132B24">
      <w:pPr>
        <w:spacing w:after="0"/>
        <w:rPr>
          <w:lang w:val="it-IT"/>
        </w:rPr>
      </w:pPr>
      <w:r w:rsidRPr="00132B24">
        <w:rPr>
          <w:lang w:val="it-IT"/>
        </w:rPr>
        <w:t>Dopo il trattato con la Germania, restava da ridefinire l’assetto dei territori appartenuti agli imperi austro-ungarico e ottomano. Il principio di autodeterminazione fu applicato in parte, ma spesso i nuovi Stati non erano realmente omogenei dal punto di vista etnico e culturale. I trattati principali furono:</w:t>
      </w:r>
    </w:p>
    <w:p w14:paraId="1015B49E" w14:textId="77777777" w:rsidR="00132B24" w:rsidRDefault="00000000" w:rsidP="00132B24">
      <w:pPr>
        <w:pStyle w:val="Paragrafoelenco"/>
        <w:numPr>
          <w:ilvl w:val="0"/>
          <w:numId w:val="10"/>
        </w:numPr>
        <w:rPr>
          <w:lang w:val="it-IT"/>
        </w:rPr>
      </w:pPr>
      <w:r w:rsidRPr="00132B24">
        <w:rPr>
          <w:b/>
          <w:lang w:val="it-IT"/>
        </w:rPr>
        <w:t>trattato di Saint-Germain</w:t>
      </w:r>
      <w:r w:rsidRPr="00132B24">
        <w:rPr>
          <w:lang w:val="it-IT"/>
        </w:rPr>
        <w:t xml:space="preserve"> con l’Austria, </w:t>
      </w:r>
      <w:r w:rsidRPr="00132B24">
        <w:rPr>
          <w:b/>
          <w:lang w:val="it-IT"/>
        </w:rPr>
        <w:t>10 settembre 1919</w:t>
      </w:r>
      <w:r w:rsidRPr="00132B24">
        <w:rPr>
          <w:lang w:val="it-IT"/>
        </w:rPr>
        <w:t>;</w:t>
      </w:r>
    </w:p>
    <w:p w14:paraId="41B3108F" w14:textId="77777777" w:rsidR="00132B24" w:rsidRDefault="00000000" w:rsidP="00132B24">
      <w:pPr>
        <w:pStyle w:val="Paragrafoelenco"/>
        <w:numPr>
          <w:ilvl w:val="0"/>
          <w:numId w:val="10"/>
        </w:numPr>
        <w:rPr>
          <w:lang w:val="it-IT"/>
        </w:rPr>
      </w:pPr>
      <w:r w:rsidRPr="00132B24">
        <w:rPr>
          <w:b/>
          <w:lang w:val="it-IT"/>
        </w:rPr>
        <w:t>trattato di Neuilly</w:t>
      </w:r>
      <w:r w:rsidRPr="00132B24">
        <w:rPr>
          <w:lang w:val="it-IT"/>
        </w:rPr>
        <w:t xml:space="preserve"> con la Bulgaria, </w:t>
      </w:r>
      <w:r w:rsidRPr="00132B24">
        <w:rPr>
          <w:b/>
          <w:lang w:val="it-IT"/>
        </w:rPr>
        <w:t>27 novembre 1919</w:t>
      </w:r>
      <w:r w:rsidRPr="00132B24">
        <w:rPr>
          <w:lang w:val="it-IT"/>
        </w:rPr>
        <w:t>;</w:t>
      </w:r>
    </w:p>
    <w:p w14:paraId="03E18141" w14:textId="77777777" w:rsidR="00132B24" w:rsidRDefault="00000000" w:rsidP="00132B24">
      <w:pPr>
        <w:pStyle w:val="Paragrafoelenco"/>
        <w:numPr>
          <w:ilvl w:val="0"/>
          <w:numId w:val="10"/>
        </w:numPr>
        <w:rPr>
          <w:lang w:val="it-IT"/>
        </w:rPr>
      </w:pPr>
      <w:r w:rsidRPr="00132B24">
        <w:rPr>
          <w:b/>
          <w:lang w:val="it-IT"/>
        </w:rPr>
        <w:t>trattato del Trianon</w:t>
      </w:r>
      <w:r w:rsidRPr="00132B24">
        <w:rPr>
          <w:lang w:val="it-IT"/>
        </w:rPr>
        <w:t xml:space="preserve"> con l’Ungheria, </w:t>
      </w:r>
      <w:r w:rsidRPr="00132B24">
        <w:rPr>
          <w:b/>
          <w:lang w:val="it-IT"/>
        </w:rPr>
        <w:t>4 giugno 1920</w:t>
      </w:r>
      <w:r w:rsidRPr="00132B24">
        <w:rPr>
          <w:lang w:val="it-IT"/>
        </w:rPr>
        <w:t>;</w:t>
      </w:r>
    </w:p>
    <w:p w14:paraId="741E8413" w14:textId="432880C9" w:rsidR="00883E3A" w:rsidRPr="00132B24" w:rsidRDefault="00000000" w:rsidP="00132B24">
      <w:pPr>
        <w:pStyle w:val="Paragrafoelenco"/>
        <w:numPr>
          <w:ilvl w:val="0"/>
          <w:numId w:val="10"/>
        </w:numPr>
        <w:rPr>
          <w:lang w:val="it-IT"/>
        </w:rPr>
      </w:pPr>
      <w:r w:rsidRPr="00132B24">
        <w:rPr>
          <w:b/>
          <w:lang w:val="it-IT"/>
        </w:rPr>
        <w:t>trattato di Sèvres</w:t>
      </w:r>
      <w:r w:rsidRPr="00132B24">
        <w:rPr>
          <w:lang w:val="it-IT"/>
        </w:rPr>
        <w:t xml:space="preserve"> con l’impero ottomano, </w:t>
      </w:r>
      <w:r w:rsidRPr="00132B24">
        <w:rPr>
          <w:b/>
          <w:lang w:val="it-IT"/>
        </w:rPr>
        <w:t>10 agosto 1920</w:t>
      </w:r>
      <w:r w:rsidRPr="00132B24">
        <w:rPr>
          <w:lang w:val="it-IT"/>
        </w:rPr>
        <w:t>.</w:t>
      </w:r>
    </w:p>
    <w:p w14:paraId="51BDB594" w14:textId="77777777" w:rsidR="00883E3A" w:rsidRPr="00132B24" w:rsidRDefault="00000000">
      <w:pPr>
        <w:rPr>
          <w:lang w:val="it-IT"/>
        </w:rPr>
      </w:pPr>
      <w:r w:rsidRPr="00132B24">
        <w:rPr>
          <w:lang w:val="it-IT"/>
        </w:rPr>
        <w:t xml:space="preserve">Con il trattato di Saint-Germain, l’Austria fu ridotta a circa </w:t>
      </w:r>
      <w:r w:rsidRPr="00132B24">
        <w:rPr>
          <w:b/>
          <w:lang w:val="it-IT"/>
        </w:rPr>
        <w:t>un ottavo</w:t>
      </w:r>
      <w:r w:rsidRPr="00132B24">
        <w:rPr>
          <w:lang w:val="it-IT"/>
        </w:rPr>
        <w:t xml:space="preserve"> del precedente impero asburgico e privata dello sbocco sul mare. Per evitare un’unificazione con la Germania, fu posta sotto il controllo del Consiglio della Società delle Nazioni. L’Italia ottenne il </w:t>
      </w:r>
      <w:r w:rsidRPr="00132B24">
        <w:rPr>
          <w:b/>
          <w:lang w:val="it-IT"/>
        </w:rPr>
        <w:t>Trentino</w:t>
      </w:r>
      <w:r w:rsidRPr="00132B24">
        <w:rPr>
          <w:lang w:val="it-IT"/>
        </w:rPr>
        <w:t>, l’</w:t>
      </w:r>
      <w:r w:rsidRPr="00132B24">
        <w:rPr>
          <w:b/>
          <w:lang w:val="it-IT"/>
        </w:rPr>
        <w:t>Alto Adige</w:t>
      </w:r>
      <w:r w:rsidRPr="00132B24">
        <w:rPr>
          <w:lang w:val="it-IT"/>
        </w:rPr>
        <w:t xml:space="preserve"> fino al Brennero, </w:t>
      </w:r>
      <w:r w:rsidRPr="00132B24">
        <w:rPr>
          <w:b/>
          <w:lang w:val="it-IT"/>
        </w:rPr>
        <w:t>Trieste</w:t>
      </w:r>
      <w:r w:rsidRPr="00132B24">
        <w:rPr>
          <w:lang w:val="it-IT"/>
        </w:rPr>
        <w:t xml:space="preserve"> e l’</w:t>
      </w:r>
      <w:r w:rsidRPr="00132B24">
        <w:rPr>
          <w:b/>
          <w:lang w:val="it-IT"/>
        </w:rPr>
        <w:t>Istria</w:t>
      </w:r>
      <w:r w:rsidRPr="00132B24">
        <w:rPr>
          <w:lang w:val="it-IT"/>
        </w:rPr>
        <w:t>.</w:t>
      </w:r>
    </w:p>
    <w:p w14:paraId="75EBBF29" w14:textId="77777777" w:rsidR="00883E3A" w:rsidRPr="00132B24" w:rsidRDefault="00000000">
      <w:pPr>
        <w:rPr>
          <w:lang w:val="it-IT"/>
        </w:rPr>
      </w:pPr>
      <w:r w:rsidRPr="00132B24">
        <w:rPr>
          <w:lang w:val="it-IT"/>
        </w:rPr>
        <w:t xml:space="preserve">L’Ungheria, diventata Stato indipendente nel novembre </w:t>
      </w:r>
      <w:r w:rsidRPr="00132B24">
        <w:rPr>
          <w:b/>
          <w:lang w:val="it-IT"/>
        </w:rPr>
        <w:t>1918</w:t>
      </w:r>
      <w:r w:rsidRPr="00132B24">
        <w:rPr>
          <w:lang w:val="it-IT"/>
        </w:rPr>
        <w:t xml:space="preserve">, perse oltre il </w:t>
      </w:r>
      <w:r w:rsidRPr="00132B24">
        <w:rPr>
          <w:b/>
          <w:lang w:val="it-IT"/>
        </w:rPr>
        <w:t>70% del territorio</w:t>
      </w:r>
      <w:r w:rsidRPr="00132B24">
        <w:rPr>
          <w:lang w:val="it-IT"/>
        </w:rPr>
        <w:t xml:space="preserve"> e il </w:t>
      </w:r>
      <w:r w:rsidRPr="00132B24">
        <w:rPr>
          <w:b/>
          <w:lang w:val="it-IT"/>
        </w:rPr>
        <w:t>60% della popolazione</w:t>
      </w:r>
      <w:r w:rsidRPr="00132B24">
        <w:rPr>
          <w:lang w:val="it-IT"/>
        </w:rPr>
        <w:t xml:space="preserve">. La Boemia e la Slovacchia confluirono nella nuova </w:t>
      </w:r>
      <w:r w:rsidRPr="00132B24">
        <w:rPr>
          <w:b/>
          <w:lang w:val="it-IT"/>
        </w:rPr>
        <w:t>Cecoslovacchia</w:t>
      </w:r>
      <w:r w:rsidRPr="00132B24">
        <w:rPr>
          <w:lang w:val="it-IT"/>
        </w:rPr>
        <w:t>; la Transilvania e parte del Banato furono annesse alla Romania; Croazia, Slovenia e Bosnia-Erzegovina si unirono a Serbia e Montenegro nel regno dei serbi, dei croati e degli sloveni. La Galizia passò alla Polonia. La Bulgaria perse la Tracia a favore della Grecia, perdendo così lo sbocco sul Mar Egeo, cedette parte della Macedonia al regno jugoslavo e la Dobrugia alla Romania. La carta del capitolo sulla fine dell’impero austro-ungarico mostra la nascita di Austria, Ungheria, Cecoslovacchia e Iugoslavia, oltre alle acquisizioni italiane.</w:t>
      </w:r>
    </w:p>
    <w:p w14:paraId="70118446" w14:textId="77777777" w:rsidR="00883E3A" w:rsidRPr="00132B24" w:rsidRDefault="00000000">
      <w:pPr>
        <w:pStyle w:val="Sottotitolopersonalizzato"/>
        <w:rPr>
          <w:lang w:val="it-IT"/>
        </w:rPr>
      </w:pPr>
      <w:r w:rsidRPr="00132B24">
        <w:rPr>
          <w:lang w:val="it-IT"/>
        </w:rPr>
        <w:t>La spartizione dell’impero ottomano e il sistema dei mandati</w:t>
      </w:r>
    </w:p>
    <w:p w14:paraId="6B0C5F59" w14:textId="77777777" w:rsidR="00883E3A" w:rsidRPr="00132B24" w:rsidRDefault="00000000">
      <w:pPr>
        <w:rPr>
          <w:lang w:val="it-IT"/>
        </w:rPr>
      </w:pPr>
      <w:r w:rsidRPr="00132B24">
        <w:rPr>
          <w:lang w:val="it-IT"/>
        </w:rPr>
        <w:t xml:space="preserve">Il trattato di Sèvres sancì la fine dell’impero ottomano. Esso fu quasi completamente estromesso dall’Europa, salvo Costantinopoli, e ridotto a uno Stato nazionale limitato all’Anatolia, con circa </w:t>
      </w:r>
      <w:proofErr w:type="gramStart"/>
      <w:r w:rsidRPr="00132B24">
        <w:rPr>
          <w:b/>
          <w:lang w:val="it-IT"/>
        </w:rPr>
        <w:t>8</w:t>
      </w:r>
      <w:proofErr w:type="gramEnd"/>
      <w:r w:rsidRPr="00132B24">
        <w:rPr>
          <w:b/>
          <w:lang w:val="it-IT"/>
        </w:rPr>
        <w:t xml:space="preserve"> milioni di abitanti</w:t>
      </w:r>
      <w:r w:rsidRPr="00132B24">
        <w:rPr>
          <w:lang w:val="it-IT"/>
        </w:rPr>
        <w:t xml:space="preserve">. La regione di </w:t>
      </w:r>
      <w:r w:rsidRPr="00132B24">
        <w:rPr>
          <w:b/>
          <w:lang w:val="it-IT"/>
        </w:rPr>
        <w:t>Smirne</w:t>
      </w:r>
      <w:r w:rsidRPr="00132B24">
        <w:rPr>
          <w:lang w:val="it-IT"/>
        </w:rPr>
        <w:t xml:space="preserve"> fu assegnata all’amministrazione greca; gli </w:t>
      </w:r>
      <w:r w:rsidRPr="00132B24">
        <w:rPr>
          <w:b/>
          <w:lang w:val="it-IT"/>
        </w:rPr>
        <w:t>Stretti</w:t>
      </w:r>
      <w:r w:rsidRPr="00132B24">
        <w:rPr>
          <w:lang w:val="it-IT"/>
        </w:rPr>
        <w:t xml:space="preserve"> furono posti sotto controllo internazionale; l’Armenia fu dichiarata repubblica indipendente; al Kurdistan fu promessa l’autonomia; la </w:t>
      </w:r>
      <w:r w:rsidRPr="00132B24">
        <w:rPr>
          <w:b/>
          <w:lang w:val="it-IT"/>
        </w:rPr>
        <w:t>Cilicia</w:t>
      </w:r>
      <w:r w:rsidRPr="00132B24">
        <w:rPr>
          <w:lang w:val="it-IT"/>
        </w:rPr>
        <w:t xml:space="preserve"> divenne </w:t>
      </w:r>
      <w:r w:rsidRPr="00132B24">
        <w:rPr>
          <w:lang w:val="it-IT"/>
        </w:rPr>
        <w:lastRenderedPageBreak/>
        <w:t xml:space="preserve">zona d’influenza francese; l’Italia ottenne il definitivo possesso del </w:t>
      </w:r>
      <w:r w:rsidRPr="00132B24">
        <w:rPr>
          <w:b/>
          <w:lang w:val="it-IT"/>
        </w:rPr>
        <w:t>Dodecaneso</w:t>
      </w:r>
      <w:r w:rsidRPr="00132B24">
        <w:rPr>
          <w:lang w:val="it-IT"/>
        </w:rPr>
        <w:t xml:space="preserve"> e di </w:t>
      </w:r>
      <w:r w:rsidRPr="00132B24">
        <w:rPr>
          <w:b/>
          <w:lang w:val="it-IT"/>
        </w:rPr>
        <w:t>Rodi</w:t>
      </w:r>
      <w:r w:rsidRPr="00132B24">
        <w:rPr>
          <w:lang w:val="it-IT"/>
        </w:rPr>
        <w:t xml:space="preserve">, già occupati dopo la guerra di Libia, e il controllo della costa di </w:t>
      </w:r>
      <w:r w:rsidRPr="00132B24">
        <w:rPr>
          <w:b/>
          <w:lang w:val="it-IT"/>
        </w:rPr>
        <w:t>Adalia</w:t>
      </w:r>
      <w:r w:rsidRPr="00132B24">
        <w:rPr>
          <w:lang w:val="it-IT"/>
        </w:rPr>
        <w:t>.</w:t>
      </w:r>
    </w:p>
    <w:p w14:paraId="54B2C527" w14:textId="77777777" w:rsidR="00883E3A" w:rsidRPr="00132B24" w:rsidRDefault="00000000">
      <w:pPr>
        <w:rPr>
          <w:lang w:val="it-IT"/>
        </w:rPr>
      </w:pPr>
      <w:r w:rsidRPr="00132B24">
        <w:rPr>
          <w:lang w:val="it-IT"/>
        </w:rPr>
        <w:t xml:space="preserve">Le regioni arabe furono spartite tra Francia e Gran Bretagna attraverso il sistema dei </w:t>
      </w:r>
      <w:r w:rsidRPr="00132B24">
        <w:rPr>
          <w:b/>
          <w:lang w:val="it-IT"/>
        </w:rPr>
        <w:t>mandati</w:t>
      </w:r>
      <w:r w:rsidRPr="00132B24">
        <w:rPr>
          <w:lang w:val="it-IT"/>
        </w:rPr>
        <w:t xml:space="preserve"> della Società delle Nazioni. Formalmente, i mandati erano una forma di tutela temporanea destinata ad accompagnare i territori ex ottomani verso l’indipendenza; in realtà, rinviando l’autogoverno a un futuro indefinito, riproducevano molti aspetti del dominio coloniale.</w:t>
      </w:r>
    </w:p>
    <w:p w14:paraId="694251B1" w14:textId="77777777" w:rsidR="00883E3A" w:rsidRPr="00132B24" w:rsidRDefault="00000000">
      <w:pPr>
        <w:pStyle w:val="Sottotitolopersonalizzato"/>
        <w:rPr>
          <w:lang w:val="it-IT"/>
        </w:rPr>
      </w:pPr>
      <w:r w:rsidRPr="00132B24">
        <w:rPr>
          <w:lang w:val="it-IT"/>
        </w:rPr>
        <w:t>Il “cordone sanitario” intorno alla Russia bolscevica</w:t>
      </w:r>
    </w:p>
    <w:p w14:paraId="3044DC0D" w14:textId="03D57BBA" w:rsidR="00883E3A" w:rsidRPr="00132B24" w:rsidRDefault="00000000">
      <w:pPr>
        <w:rPr>
          <w:lang w:val="it-IT"/>
        </w:rPr>
      </w:pPr>
      <w:r w:rsidRPr="00132B24">
        <w:rPr>
          <w:lang w:val="it-IT"/>
        </w:rPr>
        <w:t xml:space="preserve">L’impero zarista era crollato nel </w:t>
      </w:r>
      <w:r w:rsidRPr="00132B24">
        <w:rPr>
          <w:b/>
          <w:lang w:val="it-IT"/>
        </w:rPr>
        <w:t>1917</w:t>
      </w:r>
      <w:r w:rsidRPr="00132B24">
        <w:rPr>
          <w:lang w:val="it-IT"/>
        </w:rPr>
        <w:t xml:space="preserve"> con la </w:t>
      </w:r>
      <w:r w:rsidR="00132B24" w:rsidRPr="00132B24">
        <w:rPr>
          <w:lang w:val="it-IT"/>
        </w:rPr>
        <w:t>Rivoluzione d’ottobre</w:t>
      </w:r>
      <w:r w:rsidRPr="00132B24">
        <w:rPr>
          <w:lang w:val="it-IT"/>
        </w:rPr>
        <w:t xml:space="preserve"> e con la pace di </w:t>
      </w:r>
      <w:r w:rsidRPr="00132B24">
        <w:rPr>
          <w:b/>
          <w:lang w:val="it-IT"/>
        </w:rPr>
        <w:t>Brest-</w:t>
      </w:r>
      <w:proofErr w:type="spellStart"/>
      <w:r w:rsidRPr="00132B24">
        <w:rPr>
          <w:b/>
          <w:lang w:val="it-IT"/>
        </w:rPr>
        <w:t>Litovsk</w:t>
      </w:r>
      <w:proofErr w:type="spellEnd"/>
      <w:r w:rsidRPr="00132B24">
        <w:rPr>
          <w:lang w:val="it-IT"/>
        </w:rPr>
        <w:t>, firmata con la Germania. Il nuovo governo bolscevico aveva accettato la perdita dell’Ucraina, della Polonia, della Finlandia e delle province baltiche. La conferenza di Parigi annullò le clausole di Brest-</w:t>
      </w:r>
      <w:proofErr w:type="spellStart"/>
      <w:r w:rsidRPr="00132B24">
        <w:rPr>
          <w:lang w:val="it-IT"/>
        </w:rPr>
        <w:t>Litovsk</w:t>
      </w:r>
      <w:proofErr w:type="spellEnd"/>
      <w:r w:rsidRPr="00132B24">
        <w:rPr>
          <w:lang w:val="it-IT"/>
        </w:rPr>
        <w:t xml:space="preserve">, ma solo l’Ucraina tornò nel </w:t>
      </w:r>
      <w:r w:rsidRPr="00132B24">
        <w:rPr>
          <w:b/>
          <w:lang w:val="it-IT"/>
        </w:rPr>
        <w:t>1920</w:t>
      </w:r>
      <w:r w:rsidRPr="00132B24">
        <w:rPr>
          <w:lang w:val="it-IT"/>
        </w:rPr>
        <w:t xml:space="preserve"> sotto controllo russo; Polonia, Finlandia, Estonia, Lettonia e Lituania divennero indipendenti.</w:t>
      </w:r>
    </w:p>
    <w:p w14:paraId="5CBAB603" w14:textId="77777777" w:rsidR="00883E3A" w:rsidRPr="00132B24" w:rsidRDefault="00000000">
      <w:pPr>
        <w:rPr>
          <w:lang w:val="it-IT"/>
        </w:rPr>
      </w:pPr>
      <w:r w:rsidRPr="00132B24">
        <w:rPr>
          <w:lang w:val="it-IT"/>
        </w:rPr>
        <w:t xml:space="preserve">Questi nuovi Stati formarono una sorta di </w:t>
      </w:r>
      <w:r w:rsidRPr="00132B24">
        <w:rPr>
          <w:b/>
          <w:lang w:val="it-IT"/>
        </w:rPr>
        <w:t>“cordone sanitario”</w:t>
      </w:r>
      <w:r w:rsidRPr="00132B24">
        <w:rPr>
          <w:lang w:val="it-IT"/>
        </w:rPr>
        <w:t xml:space="preserve"> intorno alla Russia bolscevica. L’obiettivo delle potenze occidentali era impedire che il comunismo si diffondesse nel resto d’Europa.</w:t>
      </w:r>
    </w:p>
    <w:p w14:paraId="01E58263" w14:textId="77777777" w:rsidR="00883E3A" w:rsidRPr="00132B24" w:rsidRDefault="00000000">
      <w:pPr>
        <w:pStyle w:val="Sottotitolopersonalizzato"/>
        <w:rPr>
          <w:lang w:val="it-IT"/>
        </w:rPr>
      </w:pPr>
      <w:r w:rsidRPr="00132B24">
        <w:rPr>
          <w:lang w:val="it-IT"/>
        </w:rPr>
        <w:t>L’Italia a Versailles e il mito della “vittoria mutilata”</w:t>
      </w:r>
    </w:p>
    <w:p w14:paraId="5CC7B5A7" w14:textId="77777777" w:rsidR="00883E3A" w:rsidRPr="00132B24" w:rsidRDefault="00000000">
      <w:pPr>
        <w:rPr>
          <w:lang w:val="it-IT"/>
        </w:rPr>
      </w:pPr>
      <w:r w:rsidRPr="00132B24">
        <w:rPr>
          <w:lang w:val="it-IT"/>
        </w:rPr>
        <w:t>L’Italia uscì dalla conferenza di Parigi con risultati inferiori alle aspettative del governo e dell’opinione pubblica. L’insuccesso fu dovuto sia alla nuova situazione nei Balcani, non prevista dal patto di Londra, sia alla contraddittorietà delle richieste italiane. Orlando e Sonnino rivendicarono il Trentino, l’Alto Adige, Trieste, la Dalmazia e Fiume.</w:t>
      </w:r>
    </w:p>
    <w:p w14:paraId="7490AF85" w14:textId="77777777" w:rsidR="00883E3A" w:rsidRPr="00132B24" w:rsidRDefault="00000000">
      <w:pPr>
        <w:rPr>
          <w:lang w:val="it-IT"/>
        </w:rPr>
      </w:pPr>
      <w:r w:rsidRPr="00132B24">
        <w:rPr>
          <w:lang w:val="it-IT"/>
        </w:rPr>
        <w:t xml:space="preserve">La Dalmazia era prevista dal patto di Londra, ma era abitata in prevalenza da popolazione slava ed era rivendicata dal nuovo regno dei serbi, croati e sloveni in nome del principio di nazionalità sostenuto da Wilson. L’Italia ottenne solo </w:t>
      </w:r>
      <w:r w:rsidRPr="00132B24">
        <w:rPr>
          <w:b/>
          <w:lang w:val="it-IT"/>
        </w:rPr>
        <w:t>Zara</w:t>
      </w:r>
      <w:r w:rsidRPr="00132B24">
        <w:rPr>
          <w:lang w:val="it-IT"/>
        </w:rPr>
        <w:t xml:space="preserve">, dove era forte la presenza italiana. Fiume, invece, non era prevista dal patto di Londra, ma fu rivendicata perché la maggioranza dei suoi abitanti era italiana. L’Italia si trovò quindi in contraddizione: invocava il principio di nazionalità per Fiume, ma lo negava per la Dalmazia. La questione rimase irrisolta e alimentò il mito della </w:t>
      </w:r>
      <w:r w:rsidRPr="00132B24">
        <w:rPr>
          <w:b/>
          <w:lang w:val="it-IT"/>
        </w:rPr>
        <w:t>“vittoria mutilata”</w:t>
      </w:r>
      <w:r w:rsidRPr="00132B24">
        <w:rPr>
          <w:lang w:val="it-IT"/>
        </w:rPr>
        <w:t>.</w:t>
      </w:r>
    </w:p>
    <w:p w14:paraId="6DAA68B7" w14:textId="77777777" w:rsidR="00883E3A" w:rsidRPr="00132B24" w:rsidRDefault="00000000">
      <w:pPr>
        <w:pStyle w:val="Sottotitolopersonalizzato"/>
        <w:rPr>
          <w:lang w:val="it-IT"/>
        </w:rPr>
      </w:pPr>
      <w:r w:rsidRPr="00132B24">
        <w:rPr>
          <w:lang w:val="it-IT"/>
        </w:rPr>
        <w:t>La Società delle Nazioni: ambizioni e limiti</w:t>
      </w:r>
    </w:p>
    <w:p w14:paraId="3D8027CC" w14:textId="77777777" w:rsidR="00883E3A" w:rsidRPr="00132B24" w:rsidRDefault="00000000">
      <w:pPr>
        <w:rPr>
          <w:lang w:val="it-IT"/>
        </w:rPr>
      </w:pPr>
      <w:r w:rsidRPr="00132B24">
        <w:rPr>
          <w:lang w:val="it-IT"/>
        </w:rPr>
        <w:t xml:space="preserve">Il </w:t>
      </w:r>
      <w:r w:rsidRPr="00132B24">
        <w:rPr>
          <w:b/>
          <w:lang w:val="it-IT"/>
        </w:rPr>
        <w:t>28 aprile 1919</w:t>
      </w:r>
      <w:r w:rsidRPr="00132B24">
        <w:rPr>
          <w:lang w:val="it-IT"/>
        </w:rPr>
        <w:t xml:space="preserve"> entrò in vigore lo statuto della </w:t>
      </w:r>
      <w:r w:rsidRPr="00132B24">
        <w:rPr>
          <w:b/>
          <w:lang w:val="it-IT"/>
        </w:rPr>
        <w:t>Società delle Nazioni</w:t>
      </w:r>
      <w:r w:rsidRPr="00132B24">
        <w:rPr>
          <w:lang w:val="it-IT"/>
        </w:rPr>
        <w:t xml:space="preserve">, fortemente voluta da Wilson. Aveva sede a </w:t>
      </w:r>
      <w:r w:rsidRPr="00132B24">
        <w:rPr>
          <w:b/>
          <w:lang w:val="it-IT"/>
        </w:rPr>
        <w:t>Ginevra</w:t>
      </w:r>
      <w:r w:rsidRPr="00132B24">
        <w:rPr>
          <w:lang w:val="it-IT"/>
        </w:rPr>
        <w:t xml:space="preserve"> ed era composta da un’</w:t>
      </w:r>
      <w:r w:rsidRPr="00132B24">
        <w:rPr>
          <w:b/>
          <w:lang w:val="it-IT"/>
        </w:rPr>
        <w:t>Assemblea</w:t>
      </w:r>
      <w:r w:rsidRPr="00132B24">
        <w:rPr>
          <w:lang w:val="it-IT"/>
        </w:rPr>
        <w:t xml:space="preserve">, in cui tutti gli Stati aderenti partecipavano su un piano di parità, e da un </w:t>
      </w:r>
      <w:r w:rsidRPr="00132B24">
        <w:rPr>
          <w:b/>
          <w:lang w:val="it-IT"/>
        </w:rPr>
        <w:t>Consiglio</w:t>
      </w:r>
      <w:r w:rsidRPr="00132B24">
        <w:rPr>
          <w:lang w:val="it-IT"/>
        </w:rPr>
        <w:t xml:space="preserve"> di nove membri: cinque permanenti — Gran Bretagna, Francia, Stati Uniti, Italia e Giappone — e quattro eletti dall’Assemblea. Ogni decisione del Consiglio doveva essere presa all’unanimità.</w:t>
      </w:r>
    </w:p>
    <w:p w14:paraId="78838590" w14:textId="77777777" w:rsidR="00883E3A" w:rsidRPr="00132B24" w:rsidRDefault="00000000">
      <w:pPr>
        <w:rPr>
          <w:lang w:val="it-IT"/>
        </w:rPr>
      </w:pPr>
      <w:r w:rsidRPr="00132B24">
        <w:rPr>
          <w:lang w:val="it-IT"/>
        </w:rPr>
        <w:lastRenderedPageBreak/>
        <w:t>Il compito principale dell’organizzazione era garantire l’indipendenza e la sovranità degli Stati membri. In caso di conflitto, si doveva ricorrere a mediazione e arbitrato; se uno Stato avesse dichiarato guerra prima dello scadere di tre mesi dal tentativo di arbitrato, sarebbe stato colpito da sanzioni economiche.</w:t>
      </w:r>
    </w:p>
    <w:p w14:paraId="68A7D7F3" w14:textId="77777777" w:rsidR="00883E3A" w:rsidRPr="00132B24" w:rsidRDefault="00000000">
      <w:pPr>
        <w:rPr>
          <w:lang w:val="it-IT"/>
        </w:rPr>
      </w:pPr>
      <w:r w:rsidRPr="00132B24">
        <w:rPr>
          <w:lang w:val="it-IT"/>
        </w:rPr>
        <w:t xml:space="preserve">Tuttavia, la Società delle Nazioni nacque con gravi debolezze. L’unanimità rendeva difficile prendere decisioni; mancavano strumenti concreti per far rispettare sanzioni e deliberazioni; Germania e Russia furono inizialmente escluse; soprattutto, gli </w:t>
      </w:r>
      <w:r w:rsidRPr="00132B24">
        <w:rPr>
          <w:b/>
          <w:lang w:val="it-IT"/>
        </w:rPr>
        <w:t>Stati Uniti</w:t>
      </w:r>
      <w:r w:rsidRPr="00132B24">
        <w:rPr>
          <w:lang w:val="it-IT"/>
        </w:rPr>
        <w:t xml:space="preserve"> non vi aderirono. Nel marzo </w:t>
      </w:r>
      <w:r w:rsidRPr="00132B24">
        <w:rPr>
          <w:b/>
          <w:lang w:val="it-IT"/>
        </w:rPr>
        <w:t>1920</w:t>
      </w:r>
      <w:r w:rsidRPr="00132B24">
        <w:rPr>
          <w:lang w:val="it-IT"/>
        </w:rPr>
        <w:t>, il Senato americano, a maggioranza repubblicana, respinse l’adesione, segnando il ritorno dell’isolazionismo statunitense.</w:t>
      </w:r>
    </w:p>
    <w:p w14:paraId="0A148230" w14:textId="77777777" w:rsidR="00883E3A" w:rsidRPr="00132B24" w:rsidRDefault="00000000">
      <w:pPr>
        <w:pStyle w:val="Sottotitolopersonalizzato"/>
        <w:rPr>
          <w:lang w:val="it-IT"/>
        </w:rPr>
      </w:pPr>
      <w:r w:rsidRPr="00132B24">
        <w:rPr>
          <w:lang w:val="it-IT"/>
        </w:rPr>
        <w:t>La crisi economica del dopoguerra</w:t>
      </w:r>
    </w:p>
    <w:p w14:paraId="4FD3170C" w14:textId="77777777" w:rsidR="00883E3A" w:rsidRPr="00132B24" w:rsidRDefault="00000000">
      <w:pPr>
        <w:rPr>
          <w:lang w:val="it-IT"/>
        </w:rPr>
      </w:pPr>
      <w:r w:rsidRPr="00132B24">
        <w:rPr>
          <w:lang w:val="it-IT"/>
        </w:rPr>
        <w:t xml:space="preserve">La guerra aveva trasformato profondamente l’economia europea. Durante il conflitto, le industrie erano state convertite alla produzione bellica e avevano lavorato a pieno ritmo, garantendo alta produzione e alta occupazione. Finita la guerra, la brusca riduzione della domanda militare provocò una crisi di riconversione industriale. La recessione raggiunse il culmine nel </w:t>
      </w:r>
      <w:r w:rsidRPr="00132B24">
        <w:rPr>
          <w:b/>
          <w:lang w:val="it-IT"/>
        </w:rPr>
        <w:t>1921</w:t>
      </w:r>
      <w:r w:rsidRPr="00132B24">
        <w:rPr>
          <w:lang w:val="it-IT"/>
        </w:rPr>
        <w:t>.</w:t>
      </w:r>
    </w:p>
    <w:p w14:paraId="7027F642" w14:textId="77777777" w:rsidR="00883E3A" w:rsidRPr="00132B24" w:rsidRDefault="00000000">
      <w:pPr>
        <w:rPr>
          <w:lang w:val="it-IT"/>
        </w:rPr>
      </w:pPr>
      <w:r w:rsidRPr="00132B24">
        <w:rPr>
          <w:lang w:val="it-IT"/>
        </w:rPr>
        <w:t xml:space="preserve">Il ritorno alla vita civile di milioni di soldati aggravò la disoccupazione. Per la prima volta in Europa, essa divenne un fenomeno strutturale: anche dopo il superamento della crisi, il tasso di disoccupazione rimase intorno al </w:t>
      </w:r>
      <w:r w:rsidRPr="00132B24">
        <w:rPr>
          <w:b/>
          <w:lang w:val="it-IT"/>
        </w:rPr>
        <w:t>10% della popolazione attiva</w:t>
      </w:r>
      <w:r w:rsidRPr="00132B24">
        <w:rPr>
          <w:lang w:val="it-IT"/>
        </w:rPr>
        <w:t xml:space="preserve">. A questo contribuì anche l’introduzione di innovazioni tecniche, come la </w:t>
      </w:r>
      <w:r w:rsidRPr="00132B24">
        <w:rPr>
          <w:b/>
          <w:lang w:val="it-IT"/>
        </w:rPr>
        <w:t>catena di montaggio</w:t>
      </w:r>
      <w:r w:rsidRPr="00132B24">
        <w:rPr>
          <w:lang w:val="it-IT"/>
        </w:rPr>
        <w:t>, che permetteva di produrre di più con meno manodopera. L’inflazione aumentò a causa delle svalutazioni monetarie e dell’abbandono dei calmieri sui beni di prima necessità.</w:t>
      </w:r>
    </w:p>
    <w:p w14:paraId="481F2615" w14:textId="77777777" w:rsidR="00883E3A" w:rsidRPr="00132B24" w:rsidRDefault="00000000">
      <w:pPr>
        <w:rPr>
          <w:lang w:val="it-IT"/>
        </w:rPr>
      </w:pPr>
      <w:r w:rsidRPr="00132B24">
        <w:rPr>
          <w:lang w:val="it-IT"/>
        </w:rPr>
        <w:t>Il diagramma del capitolo sulle cause del declino economico europeo collega chiaramente la fine delle commesse belliche, il calo della produzione, la disoccupazione, l’aumento della spesa sociale, i debiti verso gli Stati Uniti, l’inflazione e le politiche protezionistiche.</w:t>
      </w:r>
    </w:p>
    <w:p w14:paraId="6E04C0E1" w14:textId="77777777" w:rsidR="00883E3A" w:rsidRPr="00132B24" w:rsidRDefault="00000000">
      <w:pPr>
        <w:pStyle w:val="Sottotitolopersonalizzato"/>
        <w:rPr>
          <w:lang w:val="it-IT"/>
        </w:rPr>
      </w:pPr>
      <w:r w:rsidRPr="00132B24">
        <w:rPr>
          <w:lang w:val="it-IT"/>
        </w:rPr>
        <w:t>Le proteste operaie e la crescita dei sindacati</w:t>
      </w:r>
    </w:p>
    <w:p w14:paraId="47685BFE" w14:textId="77777777" w:rsidR="00883E3A" w:rsidRPr="00132B24" w:rsidRDefault="00000000">
      <w:pPr>
        <w:rPr>
          <w:lang w:val="it-IT"/>
        </w:rPr>
      </w:pPr>
      <w:r w:rsidRPr="00132B24">
        <w:rPr>
          <w:lang w:val="it-IT"/>
        </w:rPr>
        <w:t xml:space="preserve">Licenziamenti, disoccupazione e aumento del costo della vita provocarono proteste operaie in tutta Europa. I sindacati aumentarono fortemente i propri iscritti e ottennero importanti risultati, come aumenti salariali e la riduzione della giornata lavorativa a </w:t>
      </w:r>
      <w:proofErr w:type="gramStart"/>
      <w:r w:rsidRPr="00132B24">
        <w:rPr>
          <w:b/>
          <w:lang w:val="it-IT"/>
        </w:rPr>
        <w:t>8</w:t>
      </w:r>
      <w:proofErr w:type="gramEnd"/>
      <w:r w:rsidRPr="00132B24">
        <w:rPr>
          <w:b/>
          <w:lang w:val="it-IT"/>
        </w:rPr>
        <w:t xml:space="preserve"> ore</w:t>
      </w:r>
      <w:r w:rsidRPr="00132B24">
        <w:rPr>
          <w:lang w:val="it-IT"/>
        </w:rPr>
        <w:t xml:space="preserve">. Accanto alle rivendicazioni economiche comparvero richieste politiche più radicali, ispirate dalla </w:t>
      </w:r>
      <w:proofErr w:type="gramStart"/>
      <w:r w:rsidRPr="00132B24">
        <w:rPr>
          <w:lang w:val="it-IT"/>
        </w:rPr>
        <w:t>rivoluzione russa</w:t>
      </w:r>
      <w:proofErr w:type="gramEnd"/>
      <w:r w:rsidRPr="00132B24">
        <w:rPr>
          <w:lang w:val="it-IT"/>
        </w:rPr>
        <w:t xml:space="preserve"> e dall’esperienza dei soviet.</w:t>
      </w:r>
    </w:p>
    <w:p w14:paraId="099DFA9D" w14:textId="77777777" w:rsidR="00883E3A" w:rsidRPr="00132B24" w:rsidRDefault="00000000">
      <w:pPr>
        <w:rPr>
          <w:lang w:val="it-IT"/>
        </w:rPr>
      </w:pPr>
      <w:r w:rsidRPr="00132B24">
        <w:rPr>
          <w:lang w:val="it-IT"/>
        </w:rPr>
        <w:t xml:space="preserve">In diversi paesi nacquero organismi di rappresentanza eletti direttamente dai lavoratori, pensati come strumenti di una nuova </w:t>
      </w:r>
      <w:r w:rsidRPr="00132B24">
        <w:rPr>
          <w:b/>
          <w:lang w:val="it-IT"/>
        </w:rPr>
        <w:t>“democrazia operaia”</w:t>
      </w:r>
      <w:r w:rsidRPr="00132B24">
        <w:rPr>
          <w:lang w:val="it-IT"/>
        </w:rPr>
        <w:t>. In Germania e in Italia queste esperienze sembrarono preludere a un movimento rivoluzionario. Tuttavia, il movimento operaio non riuscì a raggiungere obiettivi decisivi, perché rimase concentrato in alcune aree industriali e non seppe costruire solide alleanze con il mondo contadino.</w:t>
      </w:r>
    </w:p>
    <w:p w14:paraId="0CA41CA0" w14:textId="77777777" w:rsidR="00883E3A" w:rsidRPr="00132B24" w:rsidRDefault="00000000">
      <w:pPr>
        <w:rPr>
          <w:lang w:val="it-IT"/>
        </w:rPr>
      </w:pPr>
      <w:r w:rsidRPr="00132B24">
        <w:rPr>
          <w:lang w:val="it-IT"/>
        </w:rPr>
        <w:lastRenderedPageBreak/>
        <w:t xml:space="preserve">Il capitolo fornisce dati significativi sulla crescita sindacale: in Francia la </w:t>
      </w:r>
      <w:r w:rsidRPr="00132B24">
        <w:rPr>
          <w:b/>
          <w:lang w:val="it-IT"/>
        </w:rPr>
        <w:t>CGT</w:t>
      </w:r>
      <w:r w:rsidRPr="00132B24">
        <w:rPr>
          <w:lang w:val="it-IT"/>
        </w:rPr>
        <w:t xml:space="preserve"> passò da </w:t>
      </w:r>
      <w:r w:rsidRPr="00132B24">
        <w:rPr>
          <w:b/>
          <w:lang w:val="it-IT"/>
        </w:rPr>
        <w:t>600.000 iscritti nel 1914</w:t>
      </w:r>
      <w:r w:rsidRPr="00132B24">
        <w:rPr>
          <w:lang w:val="it-IT"/>
        </w:rPr>
        <w:t xml:space="preserve"> a </w:t>
      </w:r>
      <w:r w:rsidRPr="00132B24">
        <w:rPr>
          <w:b/>
          <w:lang w:val="it-IT"/>
        </w:rPr>
        <w:t>2 milioni nel 1920</w:t>
      </w:r>
      <w:r w:rsidRPr="00132B24">
        <w:rPr>
          <w:lang w:val="it-IT"/>
        </w:rPr>
        <w:t xml:space="preserve">; in Gran Bretagna le </w:t>
      </w:r>
      <w:r w:rsidRPr="00132B24">
        <w:rPr>
          <w:b/>
          <w:lang w:val="it-IT"/>
        </w:rPr>
        <w:t xml:space="preserve">Trade </w:t>
      </w:r>
      <w:proofErr w:type="spellStart"/>
      <w:r w:rsidRPr="00132B24">
        <w:rPr>
          <w:b/>
          <w:lang w:val="it-IT"/>
        </w:rPr>
        <w:t>Unions</w:t>
      </w:r>
      <w:proofErr w:type="spellEnd"/>
      <w:r w:rsidRPr="00132B24">
        <w:rPr>
          <w:lang w:val="it-IT"/>
        </w:rPr>
        <w:t xml:space="preserve"> raggiunsero </w:t>
      </w:r>
      <w:r w:rsidRPr="00132B24">
        <w:rPr>
          <w:b/>
          <w:lang w:val="it-IT"/>
        </w:rPr>
        <w:t>8.300.000 iscritti nel 1920</w:t>
      </w:r>
      <w:r w:rsidRPr="00132B24">
        <w:rPr>
          <w:lang w:val="it-IT"/>
        </w:rPr>
        <w:t xml:space="preserve">, contro i 4 milioni del 1915; in Italia la </w:t>
      </w:r>
      <w:proofErr w:type="spellStart"/>
      <w:r w:rsidRPr="00132B24">
        <w:rPr>
          <w:b/>
          <w:lang w:val="it-IT"/>
        </w:rPr>
        <w:t>CGdL</w:t>
      </w:r>
      <w:proofErr w:type="spellEnd"/>
      <w:r w:rsidRPr="00132B24">
        <w:rPr>
          <w:lang w:val="it-IT"/>
        </w:rPr>
        <w:t xml:space="preserve"> passò da </w:t>
      </w:r>
      <w:r w:rsidRPr="00132B24">
        <w:rPr>
          <w:b/>
          <w:lang w:val="it-IT"/>
        </w:rPr>
        <w:t>600.000 iscritti nel 1919</w:t>
      </w:r>
      <w:r w:rsidRPr="00132B24">
        <w:rPr>
          <w:lang w:val="it-IT"/>
        </w:rPr>
        <w:t xml:space="preserve"> a </w:t>
      </w:r>
      <w:r w:rsidRPr="00132B24">
        <w:rPr>
          <w:b/>
          <w:lang w:val="it-IT"/>
        </w:rPr>
        <w:t>2.150.000 nel 1920</w:t>
      </w:r>
      <w:r w:rsidRPr="00132B24">
        <w:rPr>
          <w:lang w:val="it-IT"/>
        </w:rPr>
        <w:t>.</w:t>
      </w:r>
    </w:p>
    <w:p w14:paraId="0EEAD376" w14:textId="77777777" w:rsidR="00883E3A" w:rsidRPr="00132B24" w:rsidRDefault="00000000">
      <w:pPr>
        <w:pStyle w:val="Sottotitolopersonalizzato"/>
        <w:rPr>
          <w:lang w:val="it-IT"/>
        </w:rPr>
      </w:pPr>
      <w:r w:rsidRPr="00132B24">
        <w:rPr>
          <w:lang w:val="it-IT"/>
        </w:rPr>
        <w:t>Il disagio dei ceti medi</w:t>
      </w:r>
    </w:p>
    <w:p w14:paraId="61BF0538" w14:textId="77777777" w:rsidR="00883E3A" w:rsidRPr="00132B24" w:rsidRDefault="00000000">
      <w:pPr>
        <w:rPr>
          <w:lang w:val="it-IT"/>
        </w:rPr>
      </w:pPr>
      <w:r w:rsidRPr="00132B24">
        <w:rPr>
          <w:lang w:val="it-IT"/>
        </w:rPr>
        <w:t>I ceti medi furono tra i gruppi sociali più colpiti dalla guerra e dal dopoguerra. Avevano sostenuto i prestiti di guerra e avevano avuto un ruolo importante negli eserciti, fornendo molti ufficiali e sottufficiali. Tuttavia, già prima della fine del conflitto, stipendi e risparmi erano stati erosi dall’inflazione. Il fenomeno colpì soprattutto i paesi sconfitti, ma non risparmiò quelli vincitori.</w:t>
      </w:r>
    </w:p>
    <w:p w14:paraId="78382DC0" w14:textId="77777777" w:rsidR="00883E3A" w:rsidRPr="00132B24" w:rsidRDefault="00000000">
      <w:pPr>
        <w:rPr>
          <w:lang w:val="it-IT"/>
        </w:rPr>
      </w:pPr>
      <w:r w:rsidRPr="00132B24">
        <w:rPr>
          <w:lang w:val="it-IT"/>
        </w:rPr>
        <w:t>La frustrazione dei ceti medi divenne una variabile politica decisiva. In Francia e Gran Bretagna, dove le istituzioni democratiche erano più solide, i governi riuscirono a riassorbire le tensioni. In Italia e in Germania, invece, il malcontento della piccola borghesia favorì l’ascesa di movimenti politici che promettevano ordine, disciplina sociale, difesa dalla rivoluzione operaia e protezione dal declino economico.</w:t>
      </w:r>
    </w:p>
    <w:p w14:paraId="1E401AFC" w14:textId="77777777" w:rsidR="00883E3A" w:rsidRPr="00132B24" w:rsidRDefault="00000000">
      <w:pPr>
        <w:pStyle w:val="Sottotitolopersonalizzato"/>
        <w:rPr>
          <w:lang w:val="it-IT"/>
        </w:rPr>
      </w:pPr>
      <w:r w:rsidRPr="00132B24">
        <w:rPr>
          <w:lang w:val="it-IT"/>
        </w:rPr>
        <w:t>La crisi dell’agricoltura europea</w:t>
      </w:r>
    </w:p>
    <w:p w14:paraId="1C57EF52" w14:textId="77777777" w:rsidR="00883E3A" w:rsidRPr="00132B24" w:rsidRDefault="00000000">
      <w:pPr>
        <w:rPr>
          <w:lang w:val="it-IT"/>
        </w:rPr>
      </w:pPr>
      <w:r w:rsidRPr="00132B24">
        <w:rPr>
          <w:lang w:val="it-IT"/>
        </w:rPr>
        <w:t>Anche le campagne furono sconvolte. Durante la guerra, milioni di contadini erano stati arruolati e molti lavoratori si erano spostati verso le città per lavorare nell’industria bellica, attratti da salari più alti. Le campagne soffrirono quindi per mancanza di manodopera, devastazioni belliche, prezzi agricoli troppo bassi imposti dai calmieri e interruzione degli scambi commerciali. Dopo la guerra, la ripresa della produzione agricola fu lenta.</w:t>
      </w:r>
    </w:p>
    <w:p w14:paraId="7484D1FC" w14:textId="77777777" w:rsidR="00883E3A" w:rsidRPr="00132B24" w:rsidRDefault="00000000">
      <w:pPr>
        <w:rPr>
          <w:lang w:val="it-IT"/>
        </w:rPr>
      </w:pPr>
      <w:r w:rsidRPr="00132B24">
        <w:rPr>
          <w:lang w:val="it-IT"/>
        </w:rPr>
        <w:t xml:space="preserve">Questa difficoltà favorì le importazioni di cereali e carne dagli </w:t>
      </w:r>
      <w:r w:rsidRPr="00132B24">
        <w:rPr>
          <w:b/>
          <w:lang w:val="it-IT"/>
        </w:rPr>
        <w:t>Stati Uniti</w:t>
      </w:r>
      <w:r w:rsidRPr="00132B24">
        <w:rPr>
          <w:lang w:val="it-IT"/>
        </w:rPr>
        <w:t xml:space="preserve">, dal </w:t>
      </w:r>
      <w:r w:rsidRPr="00132B24">
        <w:rPr>
          <w:b/>
          <w:lang w:val="it-IT"/>
        </w:rPr>
        <w:t>Canada</w:t>
      </w:r>
      <w:r w:rsidRPr="00132B24">
        <w:rPr>
          <w:lang w:val="it-IT"/>
        </w:rPr>
        <w:t xml:space="preserve"> e dall’</w:t>
      </w:r>
      <w:r w:rsidRPr="00132B24">
        <w:rPr>
          <w:b/>
          <w:lang w:val="it-IT"/>
        </w:rPr>
        <w:t>Argentina</w:t>
      </w:r>
      <w:r w:rsidRPr="00132B24">
        <w:rPr>
          <w:lang w:val="it-IT"/>
        </w:rPr>
        <w:t>, che conquistarono una posizione dominante nel mercato mondiale dei prodotti agricoli.</w:t>
      </w:r>
    </w:p>
    <w:p w14:paraId="2678AF67" w14:textId="77777777" w:rsidR="00883E3A" w:rsidRPr="00132B24" w:rsidRDefault="00000000">
      <w:pPr>
        <w:pStyle w:val="Sottotitolopersonalizzato"/>
        <w:rPr>
          <w:lang w:val="it-IT"/>
        </w:rPr>
      </w:pPr>
      <w:r w:rsidRPr="00132B24">
        <w:rPr>
          <w:lang w:val="it-IT"/>
        </w:rPr>
        <w:t>Il nuovo primato economico degli Stati Uniti</w:t>
      </w:r>
    </w:p>
    <w:p w14:paraId="7EEDC9D2" w14:textId="77777777" w:rsidR="00883E3A" w:rsidRPr="00132B24" w:rsidRDefault="00000000">
      <w:pPr>
        <w:rPr>
          <w:lang w:val="it-IT"/>
        </w:rPr>
      </w:pPr>
      <w:r w:rsidRPr="00132B24">
        <w:rPr>
          <w:lang w:val="it-IT"/>
        </w:rPr>
        <w:t>La guerra segnò la fine del primato economico dell’Europa centro-occidentale. Gli Stati Uniti, che fino al 1914 erano debitori dell’Europa, divennero creditori di enormi somme grazie ai prestiti concessi agli alleati dell’Intesa. La loro forza era garantita anche dalla grande capacità produttiva agricola e industriale e da un’organizzazione più efficiente.</w:t>
      </w:r>
    </w:p>
    <w:p w14:paraId="03648177" w14:textId="77777777" w:rsidR="00883E3A" w:rsidRPr="00132B24" w:rsidRDefault="00000000">
      <w:pPr>
        <w:rPr>
          <w:lang w:val="it-IT"/>
        </w:rPr>
      </w:pPr>
      <w:r w:rsidRPr="00132B24">
        <w:rPr>
          <w:lang w:val="it-IT"/>
        </w:rPr>
        <w:t xml:space="preserve">La produzione industriale statunitense aumentò del </w:t>
      </w:r>
      <w:r w:rsidRPr="00132B24">
        <w:rPr>
          <w:b/>
          <w:lang w:val="it-IT"/>
        </w:rPr>
        <w:t>22% tra il 1913 e il 1918</w:t>
      </w:r>
      <w:r w:rsidRPr="00132B24">
        <w:rPr>
          <w:lang w:val="it-IT"/>
        </w:rPr>
        <w:t xml:space="preserve"> e, nonostante la recessione del </w:t>
      </w:r>
      <w:r w:rsidRPr="00132B24">
        <w:rPr>
          <w:b/>
          <w:lang w:val="it-IT"/>
        </w:rPr>
        <w:t>1920-1921</w:t>
      </w:r>
      <w:r w:rsidRPr="00132B24">
        <w:rPr>
          <w:lang w:val="it-IT"/>
        </w:rPr>
        <w:t xml:space="preserve">, crebbe di un ulteriore </w:t>
      </w:r>
      <w:r w:rsidRPr="00132B24">
        <w:rPr>
          <w:b/>
          <w:lang w:val="it-IT"/>
        </w:rPr>
        <w:t>78% tra il 1919 e il 1929</w:t>
      </w:r>
      <w:r w:rsidRPr="00132B24">
        <w:rPr>
          <w:lang w:val="it-IT"/>
        </w:rPr>
        <w:t>. Il grafico del capitolo sull’aumento della produzione negli Stati Uniti mostra proprio questa crescita, confermando lo spostamento del centro economico mondiale verso l’America.</w:t>
      </w:r>
    </w:p>
    <w:p w14:paraId="41C77597" w14:textId="77777777" w:rsidR="00883E3A" w:rsidRPr="00132B24" w:rsidRDefault="00000000">
      <w:pPr>
        <w:pStyle w:val="Sottotitolopersonalizzato"/>
        <w:rPr>
          <w:lang w:val="it-IT"/>
        </w:rPr>
      </w:pPr>
      <w:r w:rsidRPr="00132B24">
        <w:rPr>
          <w:lang w:val="it-IT"/>
        </w:rPr>
        <w:lastRenderedPageBreak/>
        <w:t>Debiti pubblici, spesa sociale e instabilità monetaria</w:t>
      </w:r>
    </w:p>
    <w:p w14:paraId="1BF70703" w14:textId="77777777" w:rsidR="00883E3A" w:rsidRPr="00132B24" w:rsidRDefault="00000000">
      <w:pPr>
        <w:rPr>
          <w:lang w:val="it-IT"/>
        </w:rPr>
      </w:pPr>
      <w:r w:rsidRPr="00132B24">
        <w:rPr>
          <w:lang w:val="it-IT"/>
        </w:rPr>
        <w:t>Gli Stati europei dovevano affrontare debiti enormi: debiti verso gli Stati Uniti, debiti interni contratti con i cittadini tramite prestiti nazionali e, per i paesi sconfitti, riparazioni di guerra. Inoltre, aumentò la spesa sociale: bisognava pagare pensioni agli invalidi, sostenere le famiglie dei caduti e ampliare le forme di assistenza statale.</w:t>
      </w:r>
    </w:p>
    <w:p w14:paraId="6ED4B9CE" w14:textId="77777777" w:rsidR="00883E3A" w:rsidRPr="00132B24" w:rsidRDefault="00000000">
      <w:pPr>
        <w:rPr>
          <w:lang w:val="it-IT"/>
        </w:rPr>
      </w:pPr>
      <w:r w:rsidRPr="00132B24">
        <w:rPr>
          <w:lang w:val="it-IT"/>
        </w:rPr>
        <w:t xml:space="preserve">In Germania e Gran Bretagna si rafforzarono sussidi e assicurazioni contro la disoccupazione. In Gran Bretagna fu migliorato il sistema pensionistico, con limiti di età fissati a </w:t>
      </w:r>
      <w:r w:rsidRPr="00132B24">
        <w:rPr>
          <w:b/>
          <w:lang w:val="it-IT"/>
        </w:rPr>
        <w:t>60 anni per le donne</w:t>
      </w:r>
      <w:r w:rsidRPr="00132B24">
        <w:rPr>
          <w:lang w:val="it-IT"/>
        </w:rPr>
        <w:t xml:space="preserve"> e </w:t>
      </w:r>
      <w:r w:rsidRPr="00132B24">
        <w:rPr>
          <w:b/>
          <w:lang w:val="it-IT"/>
        </w:rPr>
        <w:t>65 per gli uomini</w:t>
      </w:r>
      <w:r w:rsidRPr="00132B24">
        <w:rPr>
          <w:lang w:val="it-IT"/>
        </w:rPr>
        <w:t xml:space="preserve">. Gli Stati Uniti, invece, sotto le presidenze repubblicane di </w:t>
      </w:r>
      <w:r w:rsidRPr="00132B24">
        <w:rPr>
          <w:b/>
          <w:lang w:val="it-IT"/>
        </w:rPr>
        <w:t>Warren G. Harding</w:t>
      </w:r>
      <w:r w:rsidRPr="00132B24">
        <w:rPr>
          <w:lang w:val="it-IT"/>
        </w:rPr>
        <w:t xml:space="preserve"> e </w:t>
      </w:r>
      <w:r w:rsidRPr="00132B24">
        <w:rPr>
          <w:b/>
          <w:lang w:val="it-IT"/>
        </w:rPr>
        <w:t>Calvin Coolidge</w:t>
      </w:r>
      <w:r w:rsidRPr="00132B24">
        <w:rPr>
          <w:lang w:val="it-IT"/>
        </w:rPr>
        <w:t>, abbandonarono gran parte delle politiche sociali promosse da Wilson.</w:t>
      </w:r>
    </w:p>
    <w:p w14:paraId="71E90B1E" w14:textId="77777777" w:rsidR="00883E3A" w:rsidRPr="00132B24" w:rsidRDefault="00000000">
      <w:pPr>
        <w:rPr>
          <w:lang w:val="it-IT"/>
        </w:rPr>
      </w:pPr>
      <w:r w:rsidRPr="00132B24">
        <w:rPr>
          <w:lang w:val="it-IT"/>
        </w:rPr>
        <w:t>I governi europei dovevano scegliere tra aumentare le imposte dirette, incontrando l’opposizione dei ceti più ricchi, oppure aumentare le imposte indirette e ridurre la spesa sociale, colpendo i ceti popolari e alimentando proteste.</w:t>
      </w:r>
    </w:p>
    <w:p w14:paraId="145C84B3" w14:textId="2FF84D23" w:rsidR="00883E3A" w:rsidRPr="00132B24" w:rsidRDefault="00000000">
      <w:pPr>
        <w:pStyle w:val="Sottotitolopersonalizzato"/>
        <w:rPr>
          <w:lang w:val="it-IT"/>
        </w:rPr>
      </w:pPr>
      <w:r w:rsidRPr="00132B24">
        <w:rPr>
          <w:lang w:val="it-IT"/>
        </w:rPr>
        <w:t>Inflazione, Gold standard e fragilità finanziaria</w:t>
      </w:r>
    </w:p>
    <w:p w14:paraId="3C5B71D0" w14:textId="77777777" w:rsidR="00883E3A" w:rsidRPr="00132B24" w:rsidRDefault="00000000">
      <w:pPr>
        <w:rPr>
          <w:lang w:val="it-IT"/>
        </w:rPr>
      </w:pPr>
      <w:r w:rsidRPr="00132B24">
        <w:rPr>
          <w:lang w:val="it-IT"/>
        </w:rPr>
        <w:t xml:space="preserve">Durante la guerra le banche centrali avevano stampato carta moneta oltre la copertura delle riserve auree, sospendendo la convertibilità in oro delle monete, cioè il </w:t>
      </w:r>
      <w:r w:rsidRPr="00132B24">
        <w:rPr>
          <w:b/>
          <w:lang w:val="it-IT"/>
        </w:rPr>
        <w:t>Gold standard</w:t>
      </w:r>
      <w:r w:rsidRPr="00132B24">
        <w:rPr>
          <w:lang w:val="it-IT"/>
        </w:rPr>
        <w:t xml:space="preserve">. Questo provocò svalutazione e inflazione. Nei paesi sconfitti la svalutazione proseguì, anche per alleggerire il debito pubblico. In Germania degenerò in </w:t>
      </w:r>
      <w:r w:rsidRPr="00132B24">
        <w:rPr>
          <w:b/>
          <w:lang w:val="it-IT"/>
        </w:rPr>
        <w:t>iperinflazione</w:t>
      </w:r>
      <w:r w:rsidRPr="00132B24">
        <w:rPr>
          <w:lang w:val="it-IT"/>
        </w:rPr>
        <w:t>, fino a rendere quasi nullo il valore del marco.</w:t>
      </w:r>
    </w:p>
    <w:p w14:paraId="1B2A078A" w14:textId="0C2C7C1E" w:rsidR="00883E3A" w:rsidRPr="00132B24" w:rsidRDefault="00000000">
      <w:pPr>
        <w:rPr>
          <w:lang w:val="it-IT"/>
        </w:rPr>
      </w:pPr>
      <w:r w:rsidRPr="00132B24">
        <w:rPr>
          <w:lang w:val="it-IT"/>
        </w:rPr>
        <w:t xml:space="preserve">I paesi vincitori cercarono invece di stabilizzare i prezzi e riagganciare le proprie monete all’oro. Nella conferenza economica internazionale di </w:t>
      </w:r>
      <w:r w:rsidRPr="00132B24">
        <w:rPr>
          <w:b/>
          <w:lang w:val="it-IT"/>
        </w:rPr>
        <w:t>Genova del 1922</w:t>
      </w:r>
      <w:r w:rsidRPr="00132B24">
        <w:rPr>
          <w:lang w:val="it-IT"/>
        </w:rPr>
        <w:t xml:space="preserve">, il Gold standard fu trasformato nel </w:t>
      </w:r>
      <w:r w:rsidRPr="00132B24">
        <w:rPr>
          <w:b/>
          <w:lang w:val="it-IT"/>
        </w:rPr>
        <w:t xml:space="preserve">Gold </w:t>
      </w:r>
      <w:r w:rsidR="00132B24" w:rsidRPr="00132B24">
        <w:rPr>
          <w:b/>
          <w:lang w:val="it-IT"/>
        </w:rPr>
        <w:t>Exchange</w:t>
      </w:r>
      <w:r w:rsidRPr="00132B24">
        <w:rPr>
          <w:b/>
          <w:lang w:val="it-IT"/>
        </w:rPr>
        <w:t xml:space="preserve"> standard</w:t>
      </w:r>
      <w:r w:rsidRPr="00132B24">
        <w:rPr>
          <w:lang w:val="it-IT"/>
        </w:rPr>
        <w:t>, un sistema misto in cui le riserve delle banche centrali potevano essere costituite non solo da oro, ma anche da sterline. La sterlina acquisiva così il ruolo di valuta internazionale.</w:t>
      </w:r>
    </w:p>
    <w:p w14:paraId="366FFDD8" w14:textId="77777777" w:rsidR="00883E3A" w:rsidRPr="00132B24" w:rsidRDefault="00000000">
      <w:pPr>
        <w:rPr>
          <w:lang w:val="it-IT"/>
        </w:rPr>
      </w:pPr>
      <w:r w:rsidRPr="00132B24">
        <w:rPr>
          <w:lang w:val="it-IT"/>
        </w:rPr>
        <w:t xml:space="preserve">Nel </w:t>
      </w:r>
      <w:r w:rsidRPr="00132B24">
        <w:rPr>
          <w:b/>
          <w:lang w:val="it-IT"/>
        </w:rPr>
        <w:t>1924</w:t>
      </w:r>
      <w:r w:rsidRPr="00132B24">
        <w:rPr>
          <w:lang w:val="it-IT"/>
        </w:rPr>
        <w:t xml:space="preserve">, il </w:t>
      </w:r>
      <w:r w:rsidRPr="00132B24">
        <w:rPr>
          <w:b/>
          <w:lang w:val="it-IT"/>
        </w:rPr>
        <w:t>piano Dawes</w:t>
      </w:r>
      <w:r w:rsidRPr="00132B24">
        <w:rPr>
          <w:lang w:val="it-IT"/>
        </w:rPr>
        <w:t xml:space="preserve"> contribuì al riassetto monetario europeo: mise la Germania in condizione di riprendere il pagamento delle riparazioni a Francia e Gran Bretagna, che a loro volta potevano pagare i debiti di guerra agli Stati Uniti. Il sistema restava però fragile, perché la sterlina manteneva un ruolo centrale mentre il vero centro finanziario mondiale si era spostato dalla City di Londra alla </w:t>
      </w:r>
      <w:r w:rsidRPr="00132B24">
        <w:rPr>
          <w:b/>
          <w:lang w:val="it-IT"/>
        </w:rPr>
        <w:t>Borsa di New York</w:t>
      </w:r>
      <w:r w:rsidRPr="00132B24">
        <w:rPr>
          <w:lang w:val="it-IT"/>
        </w:rPr>
        <w:t>.</w:t>
      </w:r>
    </w:p>
    <w:p w14:paraId="016A109A" w14:textId="77777777" w:rsidR="00883E3A" w:rsidRPr="00132B24" w:rsidRDefault="00000000">
      <w:pPr>
        <w:pStyle w:val="Sottotitolopersonalizzato"/>
        <w:rPr>
          <w:lang w:val="it-IT"/>
        </w:rPr>
      </w:pPr>
      <w:r w:rsidRPr="00132B24">
        <w:rPr>
          <w:lang w:val="it-IT"/>
        </w:rPr>
        <w:t>Protezionismo e restrizioni all’immigrazione</w:t>
      </w:r>
    </w:p>
    <w:p w14:paraId="5D0BA236" w14:textId="77777777" w:rsidR="00883E3A" w:rsidRPr="00132B24" w:rsidRDefault="00000000">
      <w:pPr>
        <w:rPr>
          <w:lang w:val="it-IT"/>
        </w:rPr>
      </w:pPr>
      <w:r w:rsidRPr="00132B24">
        <w:rPr>
          <w:lang w:val="it-IT"/>
        </w:rPr>
        <w:t xml:space="preserve">Durante la guerra, merci e capitali avevano circolato molto meno. Wilson aveva proposto nei suoi 14 punti la rimozione delle barriere doganali, ma i trattati di pace non introdussero impegni concreti per liberalizzare gli scambi. Negli Stati Uniti, i repubblicani tornarono al potere nel </w:t>
      </w:r>
      <w:r w:rsidRPr="00132B24">
        <w:rPr>
          <w:b/>
          <w:lang w:val="it-IT"/>
        </w:rPr>
        <w:t>1919</w:t>
      </w:r>
      <w:r w:rsidRPr="00132B24">
        <w:rPr>
          <w:lang w:val="it-IT"/>
        </w:rPr>
        <w:t xml:space="preserve"> </w:t>
      </w:r>
      <w:r w:rsidRPr="00132B24">
        <w:rPr>
          <w:lang w:val="it-IT"/>
        </w:rPr>
        <w:lastRenderedPageBreak/>
        <w:t>e adottarono una politica isolazionista sul piano politico e protezionistica sul piano economico. Anche molti paesi europei difesero la produzione interna con misure protezionistiche.</w:t>
      </w:r>
    </w:p>
    <w:p w14:paraId="225AC949" w14:textId="77777777" w:rsidR="00883E3A" w:rsidRPr="00132B24" w:rsidRDefault="00000000">
      <w:pPr>
        <w:rPr>
          <w:lang w:val="it-IT"/>
        </w:rPr>
      </w:pPr>
      <w:r w:rsidRPr="00132B24">
        <w:rPr>
          <w:lang w:val="it-IT"/>
        </w:rPr>
        <w:t xml:space="preserve">La libertà di circolazione delle persone fu limitata. Gli Stati Uniti, che prima della guerra avevano accolto grandi masse di immigrati, introdussero nel </w:t>
      </w:r>
      <w:r w:rsidRPr="00132B24">
        <w:rPr>
          <w:b/>
          <w:lang w:val="it-IT"/>
        </w:rPr>
        <w:t>1921</w:t>
      </w:r>
      <w:r w:rsidRPr="00132B24">
        <w:rPr>
          <w:lang w:val="it-IT"/>
        </w:rPr>
        <w:t xml:space="preserve"> l’</w:t>
      </w:r>
      <w:r w:rsidRPr="00132B24">
        <w:rPr>
          <w:b/>
          <w:lang w:val="it-IT"/>
        </w:rPr>
        <w:t>Emergency Quota Act</w:t>
      </w:r>
      <w:r w:rsidRPr="00132B24">
        <w:rPr>
          <w:lang w:val="it-IT"/>
        </w:rPr>
        <w:t xml:space="preserve">, che fissava quote di immigrazione per gruppi nazionali: per ogni paese era ammesso un numero di immigrati pari al </w:t>
      </w:r>
      <w:r w:rsidRPr="00132B24">
        <w:rPr>
          <w:b/>
          <w:lang w:val="it-IT"/>
        </w:rPr>
        <w:t>3%</w:t>
      </w:r>
      <w:r w:rsidRPr="00132B24">
        <w:rPr>
          <w:lang w:val="it-IT"/>
        </w:rPr>
        <w:t xml:space="preserve"> di quelli già residenti negli USA e provenienti dallo stesso paese. Nel </w:t>
      </w:r>
      <w:r w:rsidRPr="00132B24">
        <w:rPr>
          <w:b/>
          <w:lang w:val="it-IT"/>
        </w:rPr>
        <w:t>1924</w:t>
      </w:r>
      <w:r w:rsidRPr="00132B24">
        <w:rPr>
          <w:lang w:val="it-IT"/>
        </w:rPr>
        <w:t>, con l’</w:t>
      </w:r>
      <w:proofErr w:type="spellStart"/>
      <w:r w:rsidRPr="00132B24">
        <w:rPr>
          <w:b/>
          <w:lang w:val="it-IT"/>
        </w:rPr>
        <w:t>Immigration</w:t>
      </w:r>
      <w:proofErr w:type="spellEnd"/>
      <w:r w:rsidRPr="00132B24">
        <w:rPr>
          <w:b/>
          <w:lang w:val="it-IT"/>
        </w:rPr>
        <w:t xml:space="preserve"> Act</w:t>
      </w:r>
      <w:r w:rsidRPr="00132B24">
        <w:rPr>
          <w:lang w:val="it-IT"/>
        </w:rPr>
        <w:t xml:space="preserve">, il limite fu irrigidito fino a un massimo di </w:t>
      </w:r>
      <w:r w:rsidRPr="00132B24">
        <w:rPr>
          <w:b/>
          <w:lang w:val="it-IT"/>
        </w:rPr>
        <w:t>150.000 immigrati l’anno</w:t>
      </w:r>
      <w:r w:rsidRPr="00132B24">
        <w:rPr>
          <w:lang w:val="it-IT"/>
        </w:rPr>
        <w:t>. Queste restrizioni rispondevano al desiderio di controllare l’emigrazione europea e di garantire occupazione ai soldati americani smobilitati.</w:t>
      </w:r>
    </w:p>
    <w:p w14:paraId="2554C21B" w14:textId="77777777" w:rsidR="00883E3A" w:rsidRPr="00132B24" w:rsidRDefault="00000000">
      <w:pPr>
        <w:pStyle w:val="Sottotitolopersonalizzato"/>
        <w:rPr>
          <w:lang w:val="it-IT"/>
        </w:rPr>
      </w:pPr>
      <w:r w:rsidRPr="00132B24">
        <w:rPr>
          <w:lang w:val="it-IT"/>
        </w:rPr>
        <w:t>La nascita del Commonwealth e la fragilità degli imperi coloniali</w:t>
      </w:r>
    </w:p>
    <w:p w14:paraId="3FA75216" w14:textId="77777777" w:rsidR="00883E3A" w:rsidRPr="00132B24" w:rsidRDefault="00000000">
      <w:pPr>
        <w:rPr>
          <w:lang w:val="it-IT"/>
        </w:rPr>
      </w:pPr>
      <w:r w:rsidRPr="00132B24">
        <w:rPr>
          <w:lang w:val="it-IT"/>
        </w:rPr>
        <w:t xml:space="preserve">Il primato britannico sui commerci era indebolito sia dalle richieste di autonomia dei dominions sia dalla crescita degli Stati Uniti. La conferenza di </w:t>
      </w:r>
      <w:r w:rsidRPr="00132B24">
        <w:rPr>
          <w:b/>
          <w:lang w:val="it-IT"/>
        </w:rPr>
        <w:t>Washington del 1922</w:t>
      </w:r>
      <w:r w:rsidRPr="00132B24">
        <w:rPr>
          <w:lang w:val="it-IT"/>
        </w:rPr>
        <w:t xml:space="preserve"> sancì la parità navale tra flotta britannica e flotta americana. Pochi anni dopo furono poste le basi del </w:t>
      </w:r>
      <w:r w:rsidRPr="00132B24">
        <w:rPr>
          <w:b/>
          <w:lang w:val="it-IT"/>
        </w:rPr>
        <w:t>British Commonwealth of Nations</w:t>
      </w:r>
      <w:r w:rsidRPr="00132B24">
        <w:rPr>
          <w:lang w:val="it-IT"/>
        </w:rPr>
        <w:t xml:space="preserve">, definito nel </w:t>
      </w:r>
      <w:r w:rsidRPr="00132B24">
        <w:rPr>
          <w:b/>
          <w:lang w:val="it-IT"/>
        </w:rPr>
        <w:t>1931</w:t>
      </w:r>
      <w:r w:rsidRPr="00132B24">
        <w:rPr>
          <w:lang w:val="it-IT"/>
        </w:rPr>
        <w:t xml:space="preserve"> dallo </w:t>
      </w:r>
      <w:r w:rsidRPr="00132B24">
        <w:rPr>
          <w:b/>
          <w:lang w:val="it-IT"/>
        </w:rPr>
        <w:t>Statuto di Westminster</w:t>
      </w:r>
      <w:r w:rsidRPr="00132B24">
        <w:rPr>
          <w:lang w:val="it-IT"/>
        </w:rPr>
        <w:t>. Al Commonwealth aderirono Gran Bretagna, Canada, Nuova Zelanda, Australia, Sudafrica, Irlanda e Terranova, come comunità autonome e di pari status, unite dalla fedeltà alla Corona.</w:t>
      </w:r>
    </w:p>
    <w:p w14:paraId="1104EC63" w14:textId="77777777" w:rsidR="00883E3A" w:rsidRPr="00132B24" w:rsidRDefault="00000000">
      <w:pPr>
        <w:rPr>
          <w:lang w:val="it-IT"/>
        </w:rPr>
      </w:pPr>
      <w:r w:rsidRPr="00132B24">
        <w:rPr>
          <w:lang w:val="it-IT"/>
        </w:rPr>
        <w:t>Francia e Gran Bretagna conservarono e ampliarono i propri imperi coloniali, inglobando colonie tedesche come Camerun, Togo, Tanganika e Africa del Sud-Ovest, oltre a territori asiatici dell’ex impero ottomano. Tuttavia, il dominio coloniale era fragile. Le potenze europee erano economicamente indebolite e facevano fatica a sostenere il controllo militare di imperi così vasti. Inoltre, nelle popolazioni colonizzate cresceva la coscienza nazionale, favorita anche dalla partecipazione delle colonie alla guerra. Il contatto diretto con l’Occidente e il contributo dato in uomini e risorse rafforzarono in Asia e Africa la rivendicazione dell’indipendenza.</w:t>
      </w:r>
    </w:p>
    <w:p w14:paraId="04ED5601" w14:textId="77777777" w:rsidR="00883E3A" w:rsidRPr="00132B24" w:rsidRDefault="00000000">
      <w:pPr>
        <w:rPr>
          <w:lang w:val="it-IT"/>
        </w:rPr>
      </w:pPr>
      <w:r w:rsidRPr="00132B24">
        <w:rPr>
          <w:lang w:val="it-IT"/>
        </w:rPr>
        <w:t xml:space="preserve">Il capitolo richiama anche il caso dell’India: il contributo dato alla Gran Bretagna durante la guerra non fu ricompensato con l’indipendenza sperata. L’azione non violenta di </w:t>
      </w:r>
      <w:r w:rsidRPr="00132B24">
        <w:rPr>
          <w:b/>
          <w:lang w:val="it-IT"/>
        </w:rPr>
        <w:t>Gandhi</w:t>
      </w:r>
      <w:r w:rsidRPr="00132B24">
        <w:rPr>
          <w:lang w:val="it-IT"/>
        </w:rPr>
        <w:t xml:space="preserve">, pur repressa duramente, ebbe grande seguito e contribuì al processo che portò nel </w:t>
      </w:r>
      <w:r w:rsidRPr="00132B24">
        <w:rPr>
          <w:b/>
          <w:lang w:val="it-IT"/>
        </w:rPr>
        <w:t>1935</w:t>
      </w:r>
      <w:r w:rsidRPr="00132B24">
        <w:rPr>
          <w:lang w:val="it-IT"/>
        </w:rPr>
        <w:t xml:space="preserve"> a una maggiore autonomia e all’avvio del percorso indipendentista guidato dal </w:t>
      </w:r>
      <w:r w:rsidRPr="00132B24">
        <w:rPr>
          <w:b/>
          <w:lang w:val="it-IT"/>
        </w:rPr>
        <w:t>Congresso nazionale indiano</w:t>
      </w:r>
      <w:r w:rsidRPr="00132B24">
        <w:rPr>
          <w:lang w:val="it-IT"/>
        </w:rPr>
        <w:t>.</w:t>
      </w:r>
    </w:p>
    <w:p w14:paraId="1019FCF2" w14:textId="77777777" w:rsidR="00883E3A" w:rsidRPr="00132B24" w:rsidRDefault="00000000">
      <w:pPr>
        <w:pStyle w:val="Sottotitolopersonalizzato"/>
        <w:rPr>
          <w:lang w:val="it-IT"/>
        </w:rPr>
      </w:pPr>
      <w:r w:rsidRPr="00132B24">
        <w:rPr>
          <w:lang w:val="it-IT"/>
        </w:rPr>
        <w:t>La Francia in Siria e Libano, l’Egitto e il nazionalismo arabo</w:t>
      </w:r>
    </w:p>
    <w:p w14:paraId="5009826A" w14:textId="77777777" w:rsidR="00883E3A" w:rsidRPr="00132B24" w:rsidRDefault="00000000">
      <w:pPr>
        <w:rPr>
          <w:lang w:val="it-IT"/>
        </w:rPr>
      </w:pPr>
      <w:r w:rsidRPr="00132B24">
        <w:rPr>
          <w:lang w:val="it-IT"/>
        </w:rPr>
        <w:t xml:space="preserve">La Francia governò Siria e Libano ignorando le aspirazioni nazionali delle popolazioni locali e la complessità etnica e religiosa della regione. Impose un regime coloniale basato sulla presenza militare e sulla repressione del dissenso, anche per timore che concessioni liberali potessero incoraggiare movimenti simili nelle colonie nordafricane, soprattutto in Marocco, dove dal </w:t>
      </w:r>
      <w:r w:rsidRPr="00132B24">
        <w:rPr>
          <w:b/>
          <w:lang w:val="it-IT"/>
        </w:rPr>
        <w:t>1920</w:t>
      </w:r>
      <w:r w:rsidRPr="00132B24">
        <w:rPr>
          <w:lang w:val="it-IT"/>
        </w:rPr>
        <w:t xml:space="preserve"> era scoppiata una rivolta nazionalista.</w:t>
      </w:r>
    </w:p>
    <w:p w14:paraId="17DD06AF" w14:textId="77777777" w:rsidR="00883E3A" w:rsidRPr="00132B24" w:rsidRDefault="00000000">
      <w:pPr>
        <w:rPr>
          <w:lang w:val="it-IT"/>
        </w:rPr>
      </w:pPr>
      <w:r w:rsidRPr="00132B24">
        <w:rPr>
          <w:lang w:val="it-IT"/>
        </w:rPr>
        <w:lastRenderedPageBreak/>
        <w:t xml:space="preserve">In Libano, la Francia poteva contare sull’appoggio dei cristiani maroniti, ma in Siria il sentimento antifrancese era molto forte. Il progetto del </w:t>
      </w:r>
      <w:r w:rsidRPr="00132B24">
        <w:rPr>
          <w:b/>
          <w:lang w:val="it-IT"/>
        </w:rPr>
        <w:t>Grand Liban</w:t>
      </w:r>
      <w:r w:rsidRPr="00132B24">
        <w:rPr>
          <w:lang w:val="it-IT"/>
        </w:rPr>
        <w:t xml:space="preserve">, cioè di uno Stato libanese ampliato a spese della Siria, alimentò ulteriormente il nazionalismo siriano. Nel </w:t>
      </w:r>
      <w:r w:rsidRPr="00132B24">
        <w:rPr>
          <w:b/>
          <w:lang w:val="it-IT"/>
        </w:rPr>
        <w:t>1925</w:t>
      </w:r>
      <w:r w:rsidRPr="00132B24">
        <w:rPr>
          <w:lang w:val="it-IT"/>
        </w:rPr>
        <w:t xml:space="preserve">, il druso </w:t>
      </w:r>
      <w:r w:rsidRPr="00132B24">
        <w:rPr>
          <w:b/>
          <w:lang w:val="it-IT"/>
        </w:rPr>
        <w:t>Sultan al-Atrash</w:t>
      </w:r>
      <w:r w:rsidRPr="00132B24">
        <w:rPr>
          <w:lang w:val="it-IT"/>
        </w:rPr>
        <w:t xml:space="preserve"> guidò una rivolta contro la Francia, che si estese fino a Damasco e in parte al Libano. Fu repressa solo dopo due anni di difficoltà.</w:t>
      </w:r>
    </w:p>
    <w:p w14:paraId="155629D0" w14:textId="77777777" w:rsidR="00883E3A" w:rsidRPr="00132B24" w:rsidRDefault="00000000">
      <w:pPr>
        <w:rPr>
          <w:lang w:val="it-IT"/>
        </w:rPr>
      </w:pPr>
      <w:r w:rsidRPr="00132B24">
        <w:rPr>
          <w:lang w:val="it-IT"/>
        </w:rPr>
        <w:t xml:space="preserve">Anche in Egitto il nazionalismo ebbe un ruolo importante. Gli inglesi occupavano militarmente il paese dal </w:t>
      </w:r>
      <w:r w:rsidRPr="00132B24">
        <w:rPr>
          <w:b/>
          <w:lang w:val="it-IT"/>
        </w:rPr>
        <w:t>1882</w:t>
      </w:r>
      <w:r w:rsidRPr="00132B24">
        <w:rPr>
          <w:lang w:val="it-IT"/>
        </w:rPr>
        <w:t xml:space="preserve">. Nel </w:t>
      </w:r>
      <w:r w:rsidRPr="00132B24">
        <w:rPr>
          <w:b/>
          <w:lang w:val="it-IT"/>
        </w:rPr>
        <w:t>1919</w:t>
      </w:r>
      <w:r w:rsidRPr="00132B24">
        <w:rPr>
          <w:lang w:val="it-IT"/>
        </w:rPr>
        <w:t xml:space="preserve">, una delegazione egiziana si recò alla conferenza di pace per chiedere l’indipendenza; da questa iniziativa nacque il partito </w:t>
      </w:r>
      <w:proofErr w:type="spellStart"/>
      <w:r w:rsidRPr="00132B24">
        <w:rPr>
          <w:b/>
          <w:lang w:val="it-IT"/>
        </w:rPr>
        <w:t>Wafd</w:t>
      </w:r>
      <w:proofErr w:type="spellEnd"/>
      <w:r w:rsidRPr="00132B24">
        <w:rPr>
          <w:lang w:val="it-IT"/>
        </w:rPr>
        <w:t xml:space="preserve">, il cui nome significa appunto “delegazione”. Il rifiuto britannico provocò una rivolta antibritannica, conclusa nel </w:t>
      </w:r>
      <w:r w:rsidRPr="00132B24">
        <w:rPr>
          <w:b/>
          <w:lang w:val="it-IT"/>
        </w:rPr>
        <w:t>1922</w:t>
      </w:r>
      <w:r w:rsidRPr="00132B24">
        <w:rPr>
          <w:lang w:val="it-IT"/>
        </w:rPr>
        <w:t xml:space="preserve"> con il riconoscimento dell’indipendenza del regno d’Egitto. Tuttavia, la Gran Bretagna mantenne una forte influenza politica ed economica e conservò una guarnigione lungo il </w:t>
      </w:r>
      <w:r w:rsidRPr="00132B24">
        <w:rPr>
          <w:b/>
          <w:lang w:val="it-IT"/>
        </w:rPr>
        <w:t>Canale di Suez</w:t>
      </w:r>
      <w:r w:rsidRPr="00132B24">
        <w:rPr>
          <w:lang w:val="it-IT"/>
        </w:rPr>
        <w:t xml:space="preserve"> fino al </w:t>
      </w:r>
      <w:r w:rsidRPr="00132B24">
        <w:rPr>
          <w:b/>
          <w:lang w:val="it-IT"/>
        </w:rPr>
        <w:t>1936</w:t>
      </w:r>
      <w:r w:rsidRPr="00132B24">
        <w:rPr>
          <w:lang w:val="it-IT"/>
        </w:rPr>
        <w:t xml:space="preserve">. Nel </w:t>
      </w:r>
      <w:r w:rsidRPr="00132B24">
        <w:rPr>
          <w:b/>
          <w:lang w:val="it-IT"/>
        </w:rPr>
        <w:t>1924</w:t>
      </w:r>
      <w:r w:rsidRPr="00132B24">
        <w:rPr>
          <w:lang w:val="it-IT"/>
        </w:rPr>
        <w:t>, inoltre, gli inglesi assunsero il pieno controllo del Sudan, espellendo truppe e funzionari egiziani.</w:t>
      </w:r>
    </w:p>
    <w:p w14:paraId="258ED9EB" w14:textId="77777777" w:rsidR="00883E3A" w:rsidRPr="00132B24" w:rsidRDefault="00000000">
      <w:pPr>
        <w:pStyle w:val="Sottotitolopersonalizzato"/>
        <w:rPr>
          <w:lang w:val="it-IT"/>
        </w:rPr>
      </w:pPr>
      <w:r w:rsidRPr="00132B24">
        <w:rPr>
          <w:lang w:val="it-IT"/>
        </w:rPr>
        <w:t>La Palestina, il sionismo e l’origine delle tensioni arabo-ebraiche</w:t>
      </w:r>
    </w:p>
    <w:p w14:paraId="744ADF8A" w14:textId="77777777" w:rsidR="00883E3A" w:rsidRPr="00132B24" w:rsidRDefault="00000000">
      <w:pPr>
        <w:rPr>
          <w:lang w:val="it-IT"/>
        </w:rPr>
      </w:pPr>
      <w:r w:rsidRPr="00132B24">
        <w:rPr>
          <w:lang w:val="it-IT"/>
        </w:rPr>
        <w:t xml:space="preserve">La Palestina divenne il principale punto di aggregazione del nazionalismo arabo. Fin dagli anni Ottanta dell’Ottocento vi erano arrivati gruppi di ebrei provenienti soprattutto dall’impero russo, in fuga da persecuzioni e leggi discriminatorie seguite all’assassinio dello zar </w:t>
      </w:r>
      <w:r w:rsidRPr="00132B24">
        <w:rPr>
          <w:b/>
          <w:lang w:val="it-IT"/>
        </w:rPr>
        <w:t>Alessandro II</w:t>
      </w:r>
      <w:r w:rsidRPr="00132B24">
        <w:rPr>
          <w:lang w:val="it-IT"/>
        </w:rPr>
        <w:t xml:space="preserve"> nel </w:t>
      </w:r>
      <w:r w:rsidRPr="00132B24">
        <w:rPr>
          <w:b/>
          <w:lang w:val="it-IT"/>
        </w:rPr>
        <w:t>1881</w:t>
      </w:r>
      <w:r w:rsidRPr="00132B24">
        <w:rPr>
          <w:lang w:val="it-IT"/>
        </w:rPr>
        <w:t>. Un secondo flusso migratorio avvenne tra Ottocento e Novecento, anche in seguito all’antisemitismo emerso in Francia con l’</w:t>
      </w:r>
      <w:r w:rsidRPr="00132B24">
        <w:rPr>
          <w:b/>
          <w:lang w:val="it-IT"/>
        </w:rPr>
        <w:t>affare Dreyfus</w:t>
      </w:r>
      <w:r w:rsidRPr="00132B24">
        <w:rPr>
          <w:lang w:val="it-IT"/>
        </w:rPr>
        <w:t>.</w:t>
      </w:r>
    </w:p>
    <w:p w14:paraId="776EA2CC" w14:textId="77777777" w:rsidR="00883E3A" w:rsidRPr="00132B24" w:rsidRDefault="00000000">
      <w:pPr>
        <w:rPr>
          <w:lang w:val="it-IT"/>
        </w:rPr>
      </w:pPr>
      <w:r w:rsidRPr="00132B24">
        <w:rPr>
          <w:lang w:val="it-IT"/>
        </w:rPr>
        <w:t xml:space="preserve">Nel </w:t>
      </w:r>
      <w:r w:rsidRPr="00132B24">
        <w:rPr>
          <w:b/>
          <w:lang w:val="it-IT"/>
        </w:rPr>
        <w:t>1896</w:t>
      </w:r>
      <w:r w:rsidRPr="00132B24">
        <w:rPr>
          <w:lang w:val="it-IT"/>
        </w:rPr>
        <w:t xml:space="preserve">, il giornalista ebreo ungherese di lingua tedesca </w:t>
      </w:r>
      <w:r w:rsidRPr="00132B24">
        <w:rPr>
          <w:b/>
          <w:lang w:val="it-IT"/>
        </w:rPr>
        <w:t>Theodor Herzl</w:t>
      </w:r>
      <w:r w:rsidRPr="00132B24">
        <w:rPr>
          <w:lang w:val="it-IT"/>
        </w:rPr>
        <w:t xml:space="preserve"> pubblicò a Parigi </w:t>
      </w:r>
      <w:r w:rsidRPr="00132B24">
        <w:rPr>
          <w:b/>
          <w:lang w:val="it-IT"/>
        </w:rPr>
        <w:t>Lo Stato ebraico</w:t>
      </w:r>
      <w:r w:rsidRPr="00132B24">
        <w:rPr>
          <w:lang w:val="it-IT"/>
        </w:rPr>
        <w:t xml:space="preserve">, proponendo il ritorno degli ebrei nell’antico regno di Gerusalemme. Nel </w:t>
      </w:r>
      <w:r w:rsidRPr="00132B24">
        <w:rPr>
          <w:b/>
          <w:lang w:val="it-IT"/>
        </w:rPr>
        <w:t>1897</w:t>
      </w:r>
      <w:r w:rsidRPr="00132B24">
        <w:rPr>
          <w:lang w:val="it-IT"/>
        </w:rPr>
        <w:t xml:space="preserve">, con il congresso di </w:t>
      </w:r>
      <w:r w:rsidRPr="00132B24">
        <w:rPr>
          <w:b/>
          <w:lang w:val="it-IT"/>
        </w:rPr>
        <w:t>Basilea</w:t>
      </w:r>
      <w:r w:rsidRPr="00132B24">
        <w:rPr>
          <w:lang w:val="it-IT"/>
        </w:rPr>
        <w:t>, nacque formalmente il movimento sionista. Il sionismo mirava alla riunificazione degli ebrei in uno Stato indipendente in Palestina.</w:t>
      </w:r>
    </w:p>
    <w:p w14:paraId="6A685B13" w14:textId="77777777" w:rsidR="00883E3A" w:rsidRPr="00132B24" w:rsidRDefault="00000000">
      <w:pPr>
        <w:rPr>
          <w:lang w:val="it-IT"/>
        </w:rPr>
      </w:pPr>
      <w:r w:rsidRPr="00132B24">
        <w:rPr>
          <w:lang w:val="it-IT"/>
        </w:rPr>
        <w:t xml:space="preserve">Nel </w:t>
      </w:r>
      <w:r w:rsidRPr="00132B24">
        <w:rPr>
          <w:b/>
          <w:lang w:val="it-IT"/>
        </w:rPr>
        <w:t>1917</w:t>
      </w:r>
      <w:r w:rsidRPr="00132B24">
        <w:rPr>
          <w:lang w:val="it-IT"/>
        </w:rPr>
        <w:t xml:space="preserve">, mentre prometteva agli arabi l’indipendenza, il governo britannico cercò anche l’appoggio del movimento sionista. Il ministro degli Esteri </w:t>
      </w:r>
      <w:r w:rsidRPr="00132B24">
        <w:rPr>
          <w:b/>
          <w:lang w:val="it-IT"/>
        </w:rPr>
        <w:t>Arthur Balfour</w:t>
      </w:r>
      <w:r w:rsidRPr="00132B24">
        <w:rPr>
          <w:lang w:val="it-IT"/>
        </w:rPr>
        <w:t xml:space="preserve"> si dichiarò favorevole alla creazione in Palestina di un </w:t>
      </w:r>
      <w:r w:rsidRPr="00132B24">
        <w:rPr>
          <w:b/>
          <w:lang w:val="it-IT"/>
        </w:rPr>
        <w:t>“focolare nazionale ebraico”</w:t>
      </w:r>
      <w:r w:rsidRPr="00132B24">
        <w:rPr>
          <w:lang w:val="it-IT"/>
        </w:rPr>
        <w:t>. La formula era volutamente ambigua e non parlava esplicitamente di uno Stato, ma i sionisti la interpretarono come un impegno britannico alla nascita di uno Stato ebraico.</w:t>
      </w:r>
    </w:p>
    <w:p w14:paraId="407AE88E" w14:textId="77777777" w:rsidR="00883E3A" w:rsidRPr="00132B24" w:rsidRDefault="00000000">
      <w:pPr>
        <w:rPr>
          <w:lang w:val="it-IT"/>
        </w:rPr>
      </w:pPr>
      <w:r w:rsidRPr="00132B24">
        <w:rPr>
          <w:lang w:val="it-IT"/>
        </w:rPr>
        <w:t xml:space="preserve">Nel </w:t>
      </w:r>
      <w:r w:rsidRPr="00132B24">
        <w:rPr>
          <w:b/>
          <w:lang w:val="it-IT"/>
        </w:rPr>
        <w:t>1917</w:t>
      </w:r>
      <w:r w:rsidRPr="00132B24">
        <w:rPr>
          <w:lang w:val="it-IT"/>
        </w:rPr>
        <w:t xml:space="preserve"> vivevano in Palestina circa </w:t>
      </w:r>
      <w:r w:rsidRPr="00132B24">
        <w:rPr>
          <w:b/>
          <w:lang w:val="it-IT"/>
        </w:rPr>
        <w:t>56.000 ebrei</w:t>
      </w:r>
      <w:r w:rsidRPr="00132B24">
        <w:rPr>
          <w:lang w:val="it-IT"/>
        </w:rPr>
        <w:t>, pari all’</w:t>
      </w:r>
      <w:r w:rsidRPr="00132B24">
        <w:rPr>
          <w:b/>
          <w:lang w:val="it-IT"/>
        </w:rPr>
        <w:t>8% della popolazione locale</w:t>
      </w:r>
      <w:r w:rsidRPr="00132B24">
        <w:rPr>
          <w:lang w:val="it-IT"/>
        </w:rPr>
        <w:t xml:space="preserve">. Il loro numero aumentò negli anni successivi. Vennero fondate scuole, sinagoghe, ospedali e i primi </w:t>
      </w:r>
      <w:r w:rsidRPr="00132B24">
        <w:rPr>
          <w:b/>
          <w:lang w:val="it-IT"/>
        </w:rPr>
        <w:t>kibbutz</w:t>
      </w:r>
      <w:r w:rsidRPr="00132B24">
        <w:rPr>
          <w:lang w:val="it-IT"/>
        </w:rPr>
        <w:t xml:space="preserve">, fattorie basate sulla proprietà collettiva della terra e sulla ripartizione egualitaria dei prodotti. Nel </w:t>
      </w:r>
      <w:r w:rsidRPr="00132B24">
        <w:rPr>
          <w:b/>
          <w:lang w:val="it-IT"/>
        </w:rPr>
        <w:t>1922</w:t>
      </w:r>
      <w:r w:rsidRPr="00132B24">
        <w:rPr>
          <w:lang w:val="it-IT"/>
        </w:rPr>
        <w:t>, sotto mandato britannico, fu creata l’</w:t>
      </w:r>
      <w:r w:rsidRPr="00132B24">
        <w:rPr>
          <w:b/>
          <w:lang w:val="it-IT"/>
        </w:rPr>
        <w:t>Agenzia ebraica per la Palestina</w:t>
      </w:r>
      <w:r w:rsidRPr="00132B24">
        <w:rPr>
          <w:lang w:val="it-IT"/>
        </w:rPr>
        <w:t>, incaricata di amministrare fondi e coordinare l’immigrazione.</w:t>
      </w:r>
    </w:p>
    <w:p w14:paraId="463864B4" w14:textId="77777777" w:rsidR="00883E3A" w:rsidRPr="00132B24" w:rsidRDefault="00000000">
      <w:pPr>
        <w:rPr>
          <w:lang w:val="it-IT"/>
        </w:rPr>
      </w:pPr>
      <w:r w:rsidRPr="00132B24">
        <w:rPr>
          <w:lang w:val="it-IT"/>
        </w:rPr>
        <w:t xml:space="preserve">Gli arabi palestinesi considerarono la crescente presenza ebraica come un’invasione della propria terra. La politica britannica, che favorì inizialmente la vendita di terre ai coloni ebrei, </w:t>
      </w:r>
      <w:r w:rsidRPr="00132B24">
        <w:rPr>
          <w:lang w:val="it-IT"/>
        </w:rPr>
        <w:lastRenderedPageBreak/>
        <w:t xml:space="preserve">ebbe ripercussioni sull’economia arabo-palestinese, basata soprattutto su agricoltura e pastorizia. Le tensioni sfociarono in violenze tra il </w:t>
      </w:r>
      <w:r w:rsidRPr="00132B24">
        <w:rPr>
          <w:b/>
          <w:lang w:val="it-IT"/>
        </w:rPr>
        <w:t>1920 e il 1921</w:t>
      </w:r>
      <w:r w:rsidRPr="00132B24">
        <w:rPr>
          <w:lang w:val="it-IT"/>
        </w:rPr>
        <w:t xml:space="preserve"> a Gerusalemme, Giaffa e nei villaggi circostanti. Il capitolo individua in questi eventi le matrici del conflitto arabo-israeliano.</w:t>
      </w:r>
    </w:p>
    <w:p w14:paraId="7C7C346A" w14:textId="77777777" w:rsidR="00883E3A" w:rsidRPr="00132B24" w:rsidRDefault="00000000">
      <w:pPr>
        <w:pStyle w:val="Sottotitolopersonalizzato"/>
        <w:rPr>
          <w:lang w:val="it-IT"/>
        </w:rPr>
      </w:pPr>
      <w:r w:rsidRPr="00132B24">
        <w:rPr>
          <w:lang w:val="it-IT"/>
        </w:rPr>
        <w:t>La rivoluzione kemalista in Turchia</w:t>
      </w:r>
    </w:p>
    <w:p w14:paraId="43F3BD58" w14:textId="39B891EA" w:rsidR="00883E3A" w:rsidRPr="00132B24" w:rsidRDefault="00000000">
      <w:pPr>
        <w:rPr>
          <w:lang w:val="it-IT"/>
        </w:rPr>
      </w:pPr>
      <w:r w:rsidRPr="00132B24">
        <w:rPr>
          <w:lang w:val="it-IT"/>
        </w:rPr>
        <w:t xml:space="preserve">Per l’impero ottomano, la </w:t>
      </w:r>
      <w:r w:rsidR="00AE6CC3" w:rsidRPr="00132B24">
        <w:rPr>
          <w:lang w:val="it-IT"/>
        </w:rPr>
        <w:t>Prima guerra mondiale</w:t>
      </w:r>
      <w:r w:rsidRPr="00132B24">
        <w:rPr>
          <w:lang w:val="it-IT"/>
        </w:rPr>
        <w:t xml:space="preserve"> fu il punto finale di una lunga crisi iniziata con la guerra di Libia del </w:t>
      </w:r>
      <w:r w:rsidRPr="00132B24">
        <w:rPr>
          <w:b/>
          <w:lang w:val="it-IT"/>
        </w:rPr>
        <w:t>1911-1912</w:t>
      </w:r>
      <w:r w:rsidRPr="00132B24">
        <w:rPr>
          <w:lang w:val="it-IT"/>
        </w:rPr>
        <w:t xml:space="preserve"> e proseguita con le guerre balcaniche del </w:t>
      </w:r>
      <w:r w:rsidRPr="00132B24">
        <w:rPr>
          <w:b/>
          <w:lang w:val="it-IT"/>
        </w:rPr>
        <w:t>1912-1913</w:t>
      </w:r>
      <w:r w:rsidRPr="00132B24">
        <w:rPr>
          <w:lang w:val="it-IT"/>
        </w:rPr>
        <w:t>. Dopo la guerra, le potenze dell’Intesa imposero un assetto punitivo: Francia e Gran Bretagna occuparono Istanbul e parte dell’Anatolia, affidando spesso alle minoranze cristiane il controllo delle amministrazioni locali, della polizia e dei tribunali anche in zone abitate prevalentemente da turchi musulmani.</w:t>
      </w:r>
    </w:p>
    <w:p w14:paraId="78B3B61A" w14:textId="77777777" w:rsidR="00883E3A" w:rsidRPr="00132B24" w:rsidRDefault="00000000">
      <w:pPr>
        <w:rPr>
          <w:lang w:val="it-IT"/>
        </w:rPr>
      </w:pPr>
      <w:r w:rsidRPr="00132B24">
        <w:rPr>
          <w:lang w:val="it-IT"/>
        </w:rPr>
        <w:t xml:space="preserve">Nel maggio </w:t>
      </w:r>
      <w:r w:rsidRPr="00132B24">
        <w:rPr>
          <w:b/>
          <w:lang w:val="it-IT"/>
        </w:rPr>
        <w:t>1919</w:t>
      </w:r>
      <w:r w:rsidRPr="00132B24">
        <w:rPr>
          <w:lang w:val="it-IT"/>
        </w:rPr>
        <w:t xml:space="preserve">, la spedizione militare greca a </w:t>
      </w:r>
      <w:r w:rsidRPr="00132B24">
        <w:rPr>
          <w:b/>
          <w:lang w:val="it-IT"/>
        </w:rPr>
        <w:t>Smirne</w:t>
      </w:r>
      <w:r w:rsidRPr="00132B24">
        <w:rPr>
          <w:lang w:val="it-IT"/>
        </w:rPr>
        <w:t xml:space="preserve">, accompagnata da violenze e saccheggi contro la popolazione turca, rafforzò il movimento di resistenza. I gruppi locali si unirono sotto la guida di </w:t>
      </w:r>
      <w:r w:rsidRPr="00132B24">
        <w:rPr>
          <w:b/>
          <w:lang w:val="it-IT"/>
        </w:rPr>
        <w:t>Mustafa Kemal</w:t>
      </w:r>
      <w:r w:rsidRPr="00132B24">
        <w:rPr>
          <w:lang w:val="it-IT"/>
        </w:rPr>
        <w:t>, ufficiale dell’esercito, esponente dei Giovani turchi e protagonista della battaglia di Gallipoli.</w:t>
      </w:r>
    </w:p>
    <w:p w14:paraId="215DFB2F" w14:textId="77777777" w:rsidR="00883E3A" w:rsidRPr="00132B24" w:rsidRDefault="00000000">
      <w:pPr>
        <w:rPr>
          <w:lang w:val="it-IT"/>
        </w:rPr>
      </w:pPr>
      <w:r w:rsidRPr="00132B24">
        <w:rPr>
          <w:lang w:val="it-IT"/>
        </w:rPr>
        <w:t xml:space="preserve">Dopo il trattato di Sèvres dell’agosto </w:t>
      </w:r>
      <w:r w:rsidRPr="00132B24">
        <w:rPr>
          <w:b/>
          <w:lang w:val="it-IT"/>
        </w:rPr>
        <w:t>1920</w:t>
      </w:r>
      <w:r w:rsidRPr="00132B24">
        <w:rPr>
          <w:lang w:val="it-IT"/>
        </w:rPr>
        <w:t xml:space="preserve">, che riduceva drasticamente l’impero ottomano, Kemal dichiarò illegittimo il governo del sultano, convocò un Parlamento ad </w:t>
      </w:r>
      <w:r w:rsidRPr="00132B24">
        <w:rPr>
          <w:b/>
          <w:lang w:val="it-IT"/>
        </w:rPr>
        <w:t>Ankara</w:t>
      </w:r>
      <w:r w:rsidRPr="00132B24">
        <w:rPr>
          <w:lang w:val="it-IT"/>
        </w:rPr>
        <w:t xml:space="preserve"> e assunse il potere in nome del popolo turco. Nella guerra d’indipendenza che seguì, i turchi espulsero le minoranze cristiane dall’Anatolia, abbatterono le repubbliche armene create dalle forze di occupazione, massacrando parte della popolazione locale, e nel </w:t>
      </w:r>
      <w:r w:rsidRPr="00132B24">
        <w:rPr>
          <w:b/>
          <w:lang w:val="it-IT"/>
        </w:rPr>
        <w:t>1922</w:t>
      </w:r>
      <w:r w:rsidRPr="00132B24">
        <w:rPr>
          <w:lang w:val="it-IT"/>
        </w:rPr>
        <w:t xml:space="preserve"> cacciarono i greci da Smirne.</w:t>
      </w:r>
    </w:p>
    <w:p w14:paraId="2D79F7BE" w14:textId="77777777" w:rsidR="00883E3A" w:rsidRPr="00132B24" w:rsidRDefault="00000000">
      <w:pPr>
        <w:rPr>
          <w:lang w:val="it-IT"/>
        </w:rPr>
      </w:pPr>
      <w:r w:rsidRPr="00132B24">
        <w:rPr>
          <w:lang w:val="it-IT"/>
        </w:rPr>
        <w:t xml:space="preserve">La vittoria nazionalista portò alla revisione del trattato di Sèvres. Con il </w:t>
      </w:r>
      <w:r w:rsidRPr="00132B24">
        <w:rPr>
          <w:b/>
          <w:lang w:val="it-IT"/>
        </w:rPr>
        <w:t>trattato di Losanna</w:t>
      </w:r>
      <w:r w:rsidRPr="00132B24">
        <w:rPr>
          <w:lang w:val="it-IT"/>
        </w:rPr>
        <w:t xml:space="preserve"> del </w:t>
      </w:r>
      <w:r w:rsidRPr="00132B24">
        <w:rPr>
          <w:b/>
          <w:lang w:val="it-IT"/>
        </w:rPr>
        <w:t>24 luglio 1923</w:t>
      </w:r>
      <w:r w:rsidRPr="00132B24">
        <w:rPr>
          <w:lang w:val="it-IT"/>
        </w:rPr>
        <w:t xml:space="preserve">, la Turchia ottenne il riconoscimento della sovranità su tutta l’Anatolia e recuperò il controllo sugli Stretti del Bosforo e dei Dardanelli. Fu abolito il sultanato, che durava da circa </w:t>
      </w:r>
      <w:r w:rsidRPr="00132B24">
        <w:rPr>
          <w:b/>
          <w:lang w:val="it-IT"/>
        </w:rPr>
        <w:t>700 anni</w:t>
      </w:r>
      <w:r w:rsidRPr="00132B24">
        <w:rPr>
          <w:lang w:val="it-IT"/>
        </w:rPr>
        <w:t xml:space="preserve">, e il </w:t>
      </w:r>
      <w:r w:rsidRPr="00132B24">
        <w:rPr>
          <w:b/>
          <w:lang w:val="it-IT"/>
        </w:rPr>
        <w:t>29 ottobre 1923</w:t>
      </w:r>
      <w:r w:rsidRPr="00132B24">
        <w:rPr>
          <w:lang w:val="it-IT"/>
        </w:rPr>
        <w:t xml:space="preserve"> venne proclamata la </w:t>
      </w:r>
      <w:r w:rsidRPr="00132B24">
        <w:rPr>
          <w:b/>
          <w:lang w:val="it-IT"/>
        </w:rPr>
        <w:t>repubblica turca</w:t>
      </w:r>
      <w:r w:rsidRPr="00132B24">
        <w:rPr>
          <w:lang w:val="it-IT"/>
        </w:rPr>
        <w:t>, con Mustafa Kemal presidente.</w:t>
      </w:r>
    </w:p>
    <w:p w14:paraId="3B21FA4F" w14:textId="77777777" w:rsidR="00883E3A" w:rsidRPr="00132B24" w:rsidRDefault="00000000">
      <w:pPr>
        <w:pStyle w:val="Sottotitolopersonalizzato"/>
        <w:rPr>
          <w:lang w:val="it-IT"/>
        </w:rPr>
      </w:pPr>
      <w:r w:rsidRPr="00132B24">
        <w:rPr>
          <w:lang w:val="it-IT"/>
        </w:rPr>
        <w:t>Atatürk e la modernizzazione laica della Turchia</w:t>
      </w:r>
    </w:p>
    <w:p w14:paraId="218C6AB7" w14:textId="77777777" w:rsidR="00883E3A" w:rsidRPr="00132B24" w:rsidRDefault="00000000">
      <w:pPr>
        <w:rPr>
          <w:lang w:val="it-IT"/>
        </w:rPr>
      </w:pPr>
      <w:r w:rsidRPr="00132B24">
        <w:rPr>
          <w:lang w:val="it-IT"/>
        </w:rPr>
        <w:t xml:space="preserve">Kemal, a cui nel </w:t>
      </w:r>
      <w:r w:rsidRPr="00132B24">
        <w:rPr>
          <w:b/>
          <w:lang w:val="it-IT"/>
        </w:rPr>
        <w:t>1934</w:t>
      </w:r>
      <w:r w:rsidRPr="00132B24">
        <w:rPr>
          <w:lang w:val="it-IT"/>
        </w:rPr>
        <w:t xml:space="preserve"> il Parlamento attribuì il titolo di </w:t>
      </w:r>
      <w:r w:rsidRPr="00132B24">
        <w:rPr>
          <w:b/>
          <w:lang w:val="it-IT"/>
        </w:rPr>
        <w:t>Atatürk</w:t>
      </w:r>
      <w:r w:rsidRPr="00132B24">
        <w:rPr>
          <w:lang w:val="it-IT"/>
        </w:rPr>
        <w:t xml:space="preserve">, cioè “padre dei turchi”, trasformò rapidamente la Turchia in uno Stato nazionale moderno, indipendente, laico e repubblicano. Nel </w:t>
      </w:r>
      <w:r w:rsidRPr="00132B24">
        <w:rPr>
          <w:b/>
          <w:lang w:val="it-IT"/>
        </w:rPr>
        <w:t>1924</w:t>
      </w:r>
      <w:r w:rsidRPr="00132B24">
        <w:rPr>
          <w:lang w:val="it-IT"/>
        </w:rPr>
        <w:t xml:space="preserve"> abolì il </w:t>
      </w:r>
      <w:r w:rsidRPr="00132B24">
        <w:rPr>
          <w:b/>
          <w:lang w:val="it-IT"/>
        </w:rPr>
        <w:t>califfato</w:t>
      </w:r>
      <w:r w:rsidRPr="00132B24">
        <w:rPr>
          <w:lang w:val="it-IT"/>
        </w:rPr>
        <w:t>, separando il potere dello Stato dalla religione islamica. Rese obbligatoria e laica l’istruzione elementare, sostituì l’alfabeto arabo con quello latino, adottò il sistema metrico decimale e il calendario gregoriano.</w:t>
      </w:r>
    </w:p>
    <w:p w14:paraId="22E6A2EF" w14:textId="77777777" w:rsidR="00883E3A" w:rsidRPr="00132B24" w:rsidRDefault="00000000">
      <w:pPr>
        <w:rPr>
          <w:lang w:val="it-IT"/>
        </w:rPr>
      </w:pPr>
      <w:r w:rsidRPr="00132B24">
        <w:rPr>
          <w:lang w:val="it-IT"/>
        </w:rPr>
        <w:t xml:space="preserve">La modernizzazione riguardò anche la società e la condizione femminile. La poligamia fu bandita, la sharia fu sostituita da un </w:t>
      </w:r>
      <w:proofErr w:type="gramStart"/>
      <w:r w:rsidRPr="00132B24">
        <w:rPr>
          <w:lang w:val="it-IT"/>
        </w:rPr>
        <w:t>codice civile</w:t>
      </w:r>
      <w:proofErr w:type="gramEnd"/>
      <w:r w:rsidRPr="00132B24">
        <w:rPr>
          <w:lang w:val="it-IT"/>
        </w:rPr>
        <w:t xml:space="preserve"> laico, alle donne fu riconosciuto il diritto di chiedere il divorzio e venne introdotto un diritto di famiglia più paritario. Nel </w:t>
      </w:r>
      <w:r w:rsidRPr="00132B24">
        <w:rPr>
          <w:b/>
          <w:lang w:val="it-IT"/>
        </w:rPr>
        <w:t>1932</w:t>
      </w:r>
      <w:r w:rsidRPr="00132B24">
        <w:rPr>
          <w:lang w:val="it-IT"/>
        </w:rPr>
        <w:t xml:space="preserve"> le donne ottennero il diritto di candidarsi alle cariche pubbliche e nel </w:t>
      </w:r>
      <w:r w:rsidRPr="00132B24">
        <w:rPr>
          <w:b/>
          <w:lang w:val="it-IT"/>
        </w:rPr>
        <w:t>1934</w:t>
      </w:r>
      <w:r w:rsidRPr="00132B24">
        <w:rPr>
          <w:lang w:val="it-IT"/>
        </w:rPr>
        <w:t xml:space="preserve"> quello di votare. Le scuole </w:t>
      </w:r>
      <w:r w:rsidRPr="00132B24">
        <w:rPr>
          <w:lang w:val="it-IT"/>
        </w:rPr>
        <w:lastRenderedPageBreak/>
        <w:t xml:space="preserve">coraniche furono chiuse, l’istruzione fu posta sotto controllo ministeriale, le associazioni religiose furono sciolte e i loro beni incamerati dallo Stato. Il </w:t>
      </w:r>
      <w:proofErr w:type="gramStart"/>
      <w:r w:rsidRPr="00132B24">
        <w:rPr>
          <w:lang w:val="it-IT"/>
        </w:rPr>
        <w:t>codice penale</w:t>
      </w:r>
      <w:proofErr w:type="gramEnd"/>
      <w:r w:rsidRPr="00132B24">
        <w:rPr>
          <w:lang w:val="it-IT"/>
        </w:rPr>
        <w:t xml:space="preserve"> sottrasse alla religione l’amministrazione della giustizia, legalizzò il consumo di bevande alcoliche e depenalizzò l’omosessualità, pur mantenendo la pena di morte per i reati più gravi.</w:t>
      </w:r>
    </w:p>
    <w:p w14:paraId="71130A83" w14:textId="5CA14D7E" w:rsidR="00883E3A" w:rsidRPr="00132B24" w:rsidRDefault="00000000">
      <w:pPr>
        <w:rPr>
          <w:lang w:val="it-IT"/>
        </w:rPr>
      </w:pPr>
      <w:r w:rsidRPr="00132B24">
        <w:rPr>
          <w:lang w:val="it-IT"/>
        </w:rPr>
        <w:t xml:space="preserve">Queste riforme provocarono un duro scontro con i musulmani tradizionalisti, ma Kemal riuscì a imporle grazie alla propria autorità, ai pieni poteri concessi dalla Costituzione del </w:t>
      </w:r>
      <w:r w:rsidRPr="00132B24">
        <w:rPr>
          <w:b/>
          <w:lang w:val="it-IT"/>
        </w:rPr>
        <w:t>1924</w:t>
      </w:r>
      <w:r w:rsidRPr="00132B24">
        <w:rPr>
          <w:lang w:val="it-IT"/>
        </w:rPr>
        <w:t xml:space="preserve"> e al sostegno dell’esercito. Il processo di modernizzazione e laicizzazione continuò, pur tra difficoltà, anche dopo la sua morte nel </w:t>
      </w:r>
      <w:r w:rsidRPr="00132B24">
        <w:rPr>
          <w:b/>
          <w:lang w:val="it-IT"/>
        </w:rPr>
        <w:t>1938</w:t>
      </w:r>
      <w:r w:rsidRPr="00132B24">
        <w:rPr>
          <w:lang w:val="it-IT"/>
        </w:rPr>
        <w:t>.</w:t>
      </w:r>
    </w:p>
    <w:sectPr w:rsidR="00883E3A" w:rsidRPr="00132B2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E292182"/>
    <w:multiLevelType w:val="hybridMultilevel"/>
    <w:tmpl w:val="833E4F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19357388">
    <w:abstractNumId w:val="8"/>
  </w:num>
  <w:num w:numId="2" w16cid:durableId="153834874">
    <w:abstractNumId w:val="6"/>
  </w:num>
  <w:num w:numId="3" w16cid:durableId="1950039041">
    <w:abstractNumId w:val="5"/>
  </w:num>
  <w:num w:numId="4" w16cid:durableId="1275598305">
    <w:abstractNumId w:val="4"/>
  </w:num>
  <w:num w:numId="5" w16cid:durableId="1813330791">
    <w:abstractNumId w:val="7"/>
  </w:num>
  <w:num w:numId="6" w16cid:durableId="1022709162">
    <w:abstractNumId w:val="3"/>
  </w:num>
  <w:num w:numId="7" w16cid:durableId="402341686">
    <w:abstractNumId w:val="2"/>
  </w:num>
  <w:num w:numId="8" w16cid:durableId="700011058">
    <w:abstractNumId w:val="1"/>
  </w:num>
  <w:num w:numId="9" w16cid:durableId="1873877547">
    <w:abstractNumId w:val="0"/>
  </w:num>
  <w:num w:numId="10" w16cid:durableId="6842148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24"/>
    <w:rsid w:val="0015074B"/>
    <w:rsid w:val="0029639D"/>
    <w:rsid w:val="002C165E"/>
    <w:rsid w:val="00326F90"/>
    <w:rsid w:val="00883E3A"/>
    <w:rsid w:val="00AA1D8D"/>
    <w:rsid w:val="00AE6CC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883C6"/>
  <w14:defaultImageDpi w14:val="300"/>
  <w15:docId w15:val="{B311243B-D761-4030-B05F-9C5BE2FA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rPr>
      <w:rFonts w:ascii="Calibri" w:eastAsia="Calibri" w:hAnsi="Calibri"/>
    </w:rPr>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rPr>
      <w:rFonts w:ascii="Calibri" w:eastAsia="Calibri" w:hAnsi="Calibri"/>
    </w:rPr>
  </w:style>
  <w:style w:type="paragraph" w:styleId="Nessunaspaziatura">
    <w:name w:val="No Spacing"/>
    <w:uiPriority w:val="1"/>
    <w:qFormat/>
    <w:rsid w:val="00FC693F"/>
    <w:pPr>
      <w:spacing w:after="0" w:line="240" w:lineRule="auto"/>
    </w:pPr>
    <w:rPr>
      <w:rFonts w:ascii="Calibri" w:eastAsia="Calibri" w:hAnsi="Calibri"/>
    </w:r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rPr>
      <w:rFonts w:ascii="Calibri" w:eastAsia="Calibri" w:hAnsi="Calibri"/>
    </w:rPr>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rPr>
      <w:rFonts w:ascii="Calibri" w:eastAsia="Calibri" w:hAnsi="Calibri"/>
    </w:rPr>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rFonts w:ascii="Calibri" w:eastAsia="Calibri" w:hAnsi="Calibri"/>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sz w:val="20"/>
      <w:szCs w:val="20"/>
    </w:rPr>
  </w:style>
  <w:style w:type="character" w:customStyle="1" w:styleId="TestomacroCarattere">
    <w:name w:val="Testo macro Carattere"/>
    <w:basedOn w:val="Carpredefinitoparagrafo"/>
    <w:link w:val="Testomacro"/>
    <w:uiPriority w:val="99"/>
    <w:rsid w:val="0029639D"/>
    <w:rPr>
      <w:rFonts w:ascii="Calibri" w:eastAsia="Calibri" w:hAnsi="Calibri"/>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rFonts w:ascii="Calibri" w:eastAsia="Calibri" w:hAnsi="Calibri"/>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rFonts w:ascii="Calibri" w:eastAsia="Calibri" w:hAnsi="Calibri"/>
      <w:b/>
      <w:bCs/>
    </w:rPr>
  </w:style>
  <w:style w:type="character" w:styleId="Enfasicorsivo">
    <w:name w:val="Emphasis"/>
    <w:basedOn w:val="Carpredefinitoparagrafo"/>
    <w:uiPriority w:val="20"/>
    <w:qFormat/>
    <w:rsid w:val="00FC693F"/>
    <w:rPr>
      <w:rFonts w:ascii="Calibri" w:eastAsia="Calibri" w:hAnsi="Calibri"/>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rFonts w:ascii="Calibri" w:eastAsia="Calibri" w:hAnsi="Calibri"/>
      <w:b/>
      <w:bCs/>
      <w:i/>
      <w:iCs/>
      <w:color w:val="4F81BD" w:themeColor="accent1"/>
    </w:rPr>
  </w:style>
  <w:style w:type="character" w:styleId="Enfasidelicata">
    <w:name w:val="Subtle Emphasis"/>
    <w:basedOn w:val="Carpredefinitoparagrafo"/>
    <w:uiPriority w:val="19"/>
    <w:qFormat/>
    <w:rsid w:val="00FC693F"/>
    <w:rPr>
      <w:rFonts w:ascii="Calibri" w:eastAsia="Calibri" w:hAnsi="Calibri"/>
      <w:i/>
      <w:iCs/>
      <w:color w:val="808080" w:themeColor="text1" w:themeTint="7F"/>
    </w:rPr>
  </w:style>
  <w:style w:type="character" w:styleId="Enfasiintensa">
    <w:name w:val="Intense Emphasis"/>
    <w:basedOn w:val="Carpredefinitoparagrafo"/>
    <w:uiPriority w:val="21"/>
    <w:qFormat/>
    <w:rsid w:val="00FC693F"/>
    <w:rPr>
      <w:rFonts w:ascii="Calibri" w:eastAsia="Calibri" w:hAnsi="Calibri"/>
      <w:b/>
      <w:bCs/>
      <w:i/>
      <w:iCs/>
      <w:color w:val="4F81BD" w:themeColor="accent1"/>
    </w:rPr>
  </w:style>
  <w:style w:type="character" w:styleId="Riferimentodelicato">
    <w:name w:val="Subtle Reference"/>
    <w:basedOn w:val="Carpredefinitoparagrafo"/>
    <w:uiPriority w:val="31"/>
    <w:qFormat/>
    <w:rsid w:val="00FC693F"/>
    <w:rPr>
      <w:rFonts w:ascii="Calibri" w:eastAsia="Calibri" w:hAnsi="Calibri"/>
      <w:smallCaps/>
      <w:color w:val="C0504D" w:themeColor="accent2"/>
      <w:u w:val="single"/>
    </w:rPr>
  </w:style>
  <w:style w:type="character" w:styleId="Riferimentointenso">
    <w:name w:val="Intense Reference"/>
    <w:basedOn w:val="Carpredefinitoparagrafo"/>
    <w:uiPriority w:val="32"/>
    <w:qFormat/>
    <w:rsid w:val="00FC693F"/>
    <w:rPr>
      <w:rFonts w:ascii="Calibri" w:eastAsia="Calibri" w:hAnsi="Calibri"/>
      <w:b/>
      <w:bCs/>
      <w:smallCaps/>
      <w:color w:val="C0504D" w:themeColor="accent2"/>
      <w:spacing w:val="5"/>
      <w:u w:val="single"/>
    </w:rPr>
  </w:style>
  <w:style w:type="character" w:styleId="Titolodellibro">
    <w:name w:val="Book Title"/>
    <w:basedOn w:val="Carpredefinitoparagrafo"/>
    <w:uiPriority w:val="33"/>
    <w:qFormat/>
    <w:rsid w:val="00FC693F"/>
    <w:rPr>
      <w:rFonts w:ascii="Calibri" w:eastAsia="Calibri" w:hAnsi="Calibri"/>
      <w:b/>
      <w:bCs/>
      <w:smallCaps/>
      <w:spacing w:val="5"/>
    </w:rPr>
  </w:style>
  <w:style w:type="paragraph" w:styleId="Titolosommario">
    <w:name w:val="TOC Heading"/>
    <w:basedOn w:val="Titolo1"/>
    <w:next w:val="Normale"/>
    <w:uiPriority w:val="39"/>
    <w:semiHidden/>
    <w:unhideWhenUsed/>
    <w:qFormat/>
    <w:rsid w:val="00FC693F"/>
    <w:pPr>
      <w:outlineLvl w:val="9"/>
    </w:pPr>
    <w:rPr>
      <w:rFonts w:ascii="Calibri" w:eastAsia="Calibri" w:hAnsi="Calibri"/>
    </w:r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oloprincipalepersonalizzato">
    <w:name w:val="Titolo principale personalizzato"/>
    <w:pPr>
      <w:spacing w:after="240"/>
      <w:jc w:val="center"/>
    </w:pPr>
    <w:rPr>
      <w:rFonts w:ascii="Calibri" w:eastAsia="Calibri" w:hAnsi="Calibri"/>
      <w:b/>
      <w:sz w:val="30"/>
    </w:rPr>
  </w:style>
  <w:style w:type="paragraph" w:customStyle="1" w:styleId="Sottotitolopersonalizzato">
    <w:name w:val="Sottotitolo personalizzato"/>
    <w:pPr>
      <w:spacing w:before="200" w:after="120"/>
    </w:pPr>
    <w:rPr>
      <w:rFonts w:ascii="Calibri" w:eastAsia="Calibri" w:hAnsi="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4333</Words>
  <Characters>24701</Characters>
  <Application>Microsoft Office Word</Application>
  <DocSecurity>0</DocSecurity>
  <Lines>205</Lines>
  <Paragraphs>57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2026-05-29T20:33:00Z</dcterms:modified>
  <cp:category/>
</cp:coreProperties>
</file>