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ED51" w14:textId="77777777" w:rsidR="002D03ED" w:rsidRPr="00DA696E" w:rsidRDefault="00000000">
      <w:pPr>
        <w:pStyle w:val="Titolo1"/>
        <w:rPr>
          <w:lang w:val="it-IT"/>
        </w:rPr>
      </w:pPr>
      <w:r w:rsidRPr="00DA696E">
        <w:rPr>
          <w:rFonts w:ascii="Calibri" w:eastAsia="Calibri" w:hAnsi="Calibri"/>
          <w:lang w:val="it-IT"/>
        </w:rPr>
        <w:t>La rivoluzione bolscevica, l’instabilità europea e il biennio rosso</w:t>
      </w:r>
    </w:p>
    <w:p w14:paraId="4D828F64" w14:textId="77777777" w:rsidR="002D03ED" w:rsidRPr="00DA696E" w:rsidRDefault="00000000">
      <w:pPr>
        <w:pStyle w:val="Titolo2"/>
        <w:rPr>
          <w:lang w:val="it-IT"/>
        </w:rPr>
      </w:pPr>
      <w:r w:rsidRPr="00DA696E">
        <w:rPr>
          <w:rFonts w:ascii="Calibri" w:eastAsia="Calibri" w:hAnsi="Calibri"/>
          <w:lang w:val="it-IT"/>
        </w:rPr>
        <w:t>La Russia zarista: arretratezza, tensioni sociali e opposizione politica</w:t>
      </w:r>
    </w:p>
    <w:p w14:paraId="24C3D755" w14:textId="77777777" w:rsidR="002D03ED" w:rsidRPr="00DA696E" w:rsidRDefault="00000000">
      <w:pPr>
        <w:rPr>
          <w:lang w:val="it-IT"/>
        </w:rPr>
      </w:pPr>
      <w:r w:rsidRPr="00DA696E">
        <w:rPr>
          <w:lang w:val="it-IT"/>
        </w:rPr>
        <w:t>All’inizio del Novecento la Russia era ancora un paese immenso, prevalentemente contadino e solo marginalmente toccato dalla rivoluzione industriale. Le riforme sociali concesse dagli zar tra XIX e XX secolo erano state limitate e insufficienti. L’incapacità dello zar Nicola II, al potere dal 1894, di rispondere alle richieste di maggiore giustizia sociale aveva favorito lo sviluppo di movimenti politici radicali.</w:t>
      </w:r>
    </w:p>
    <w:p w14:paraId="08288FDB" w14:textId="77777777" w:rsidR="002D03ED" w:rsidRPr="00DA696E" w:rsidRDefault="00000000">
      <w:pPr>
        <w:rPr>
          <w:lang w:val="it-IT"/>
        </w:rPr>
      </w:pPr>
      <w:r w:rsidRPr="00DA696E">
        <w:rPr>
          <w:lang w:val="it-IT"/>
        </w:rPr>
        <w:t>Tra questi vi erano il Partito socialista rivoluzionario, legato soprattutto al mondo contadino, e il Partito operaio socialdemocratico russo, di ispirazione marxista e radicato nel proletariato urbano. Quest’ultimo era diviso tra bolscevichi e menscevichi. I bolscevichi, guidati da Lenin, sostenevano l’idea di un partito ristretto, disciplinato, formato da rivoluzionari di professione, capace di guidare la classe operaia verso la dittatura del proletariato. I menscevichi, invece, difendevano una concezione più ampia del partito di massa e ritenevano necessaria una fase democratico-parlamentare prima della rivoluzione socialista. La borghesia e l’aristocrazia più aperta alle riforme sostenevano invece il Partito democratico costituzionale, detto anche Partito dei cadetti, favorevole a una modernizzazione della Russia sul modello delle democrazie liberali occidentali.</w:t>
      </w:r>
    </w:p>
    <w:p w14:paraId="17236BF9" w14:textId="77777777" w:rsidR="002D03ED" w:rsidRPr="00DA696E" w:rsidRDefault="00000000">
      <w:pPr>
        <w:rPr>
          <w:lang w:val="it-IT"/>
        </w:rPr>
      </w:pPr>
      <w:r w:rsidRPr="00DA696E">
        <w:rPr>
          <w:lang w:val="it-IT"/>
        </w:rPr>
        <w:t>Già nel 1905, dopo la sconfitta russa nella guerra contro il Giappone, il paese era stato attraversato da scioperi e rivolte di operai e contadini. Lo zar aveva concesso alcune aperture, tra cui la Duma, assemblea legislativa dai poteri però molto limitati, ma l’autocrazia era stata presto ristabilita. Lenin, già protagonista di quella prima fase rivoluzionaria, era stato costretto all’esilio.</w:t>
      </w:r>
    </w:p>
    <w:p w14:paraId="44F1F7C3" w14:textId="77777777" w:rsidR="002D03ED" w:rsidRPr="00DA696E" w:rsidRDefault="00000000">
      <w:pPr>
        <w:pStyle w:val="Titolo2"/>
        <w:rPr>
          <w:lang w:val="it-IT"/>
        </w:rPr>
      </w:pPr>
      <w:r w:rsidRPr="00DA696E">
        <w:rPr>
          <w:rFonts w:ascii="Calibri" w:eastAsia="Calibri" w:hAnsi="Calibri"/>
          <w:lang w:val="it-IT"/>
        </w:rPr>
        <w:t>La rivoluzione di febbraio e la fine dello zarismo</w:t>
      </w:r>
    </w:p>
    <w:p w14:paraId="11BAD88C" w14:textId="77777777" w:rsidR="002D03ED" w:rsidRPr="00DA696E" w:rsidRDefault="00000000">
      <w:pPr>
        <w:rPr>
          <w:lang w:val="it-IT"/>
        </w:rPr>
      </w:pPr>
      <w:r w:rsidRPr="00DA696E">
        <w:rPr>
          <w:lang w:val="it-IT"/>
        </w:rPr>
        <w:t>La Prima guerra mondiale aggravò le tensioni interne. I sacrifici imposti alla popolazione e ai soldati, l’aumento dei prezzi dei beni di prima necessità e le sconfitte militari provocarono una nuova esplosione rivoluzionaria. Il 23 febbraio 1917 secondo il calendario russo, cioè l’8 marzo secondo il calendario gregoriano, nel giorno della festa internazionale della donna, le lavoratrici di Pietrogrado scesero in piazza chiedendo pari diritti. A loro si unirono operai e contadini, trasformando la protesta in un movimento contro la guerra e il carovita.</w:t>
      </w:r>
    </w:p>
    <w:p w14:paraId="48122B21" w14:textId="77777777" w:rsidR="002D03ED" w:rsidRPr="00DA696E" w:rsidRDefault="00000000">
      <w:pPr>
        <w:rPr>
          <w:lang w:val="it-IT"/>
        </w:rPr>
      </w:pPr>
      <w:r w:rsidRPr="00DA696E">
        <w:rPr>
          <w:lang w:val="it-IT"/>
        </w:rPr>
        <w:t>Nicola II ordinò di reprimere la rivolta con la forza, ma questa volta l’insurrezione era troppo estesa. Il 27 febbraio anche le truppe della guarnigione militare si unirono ai rivoltosi, che si impadronirono dell’arsenale militare. Il 2 marzo i membri della Duma formarono un governo provvisorio di orientamento liberale, guidato dal principe Georgij L’</w:t>
      </w:r>
      <w:proofErr w:type="spellStart"/>
      <w:r w:rsidRPr="00DA696E">
        <w:rPr>
          <w:lang w:val="it-IT"/>
        </w:rPr>
        <w:t>vov</w:t>
      </w:r>
      <w:proofErr w:type="spellEnd"/>
      <w:r w:rsidRPr="00DA696E">
        <w:rPr>
          <w:lang w:val="it-IT"/>
        </w:rPr>
        <w:t xml:space="preserve">, con il compito di </w:t>
      </w:r>
      <w:r w:rsidRPr="00DA696E">
        <w:rPr>
          <w:lang w:val="it-IT"/>
        </w:rPr>
        <w:lastRenderedPageBreak/>
        <w:t>condurre il paese verso un’assemblea costituente eletta a suffragio universale. Lo stesso giorno Nicola II abdicò a favore del fratello Michele, che rinunciò a sua volta al trono. Finiva così l’autocrazia zarista e il potere dei Romanov, che avevano governato la Russia per trecento anni.</w:t>
      </w:r>
    </w:p>
    <w:p w14:paraId="7C0D7AA2" w14:textId="77777777" w:rsidR="002D03ED" w:rsidRPr="00DA696E" w:rsidRDefault="00000000">
      <w:pPr>
        <w:rPr>
          <w:lang w:val="it-IT"/>
        </w:rPr>
      </w:pPr>
      <w:r w:rsidRPr="00DA696E">
        <w:rPr>
          <w:lang w:val="it-IT"/>
        </w:rPr>
        <w:t xml:space="preserve">Il governo provvisorio era sostenuto dai cadetti, dai socialisti rivoluzionari e dai menscevichi. </w:t>
      </w:r>
      <w:proofErr w:type="gramStart"/>
      <w:r w:rsidRPr="00DA696E">
        <w:rPr>
          <w:lang w:val="it-IT"/>
        </w:rPr>
        <w:t>Tuttavia</w:t>
      </w:r>
      <w:proofErr w:type="gramEnd"/>
      <w:r w:rsidRPr="00DA696E">
        <w:rPr>
          <w:lang w:val="it-IT"/>
        </w:rPr>
        <w:t xml:space="preserve"> la sua autorità era indebolita dalla presenza dei soviet, consigli di operai, contadini e soldati ricostituiti nelle fabbriche e nei villaggi dopo l’esperienza del 1905. I soviet avevano lo scopo di coordinare l’attività dei lavoratori e controllare l’operato del governo. La decisione del governo provvisorio di continuare la guerra a fianco dell’Intesa risultò molto impopolare, soprattutto tra i soldati, fra i quali aumentavano le diserzioni. La nuova offensiva contro gli Imperi centrali, avviata all’inizio di luglio, si concluse con un grave fallimento.</w:t>
      </w:r>
    </w:p>
    <w:p w14:paraId="2C269D67" w14:textId="77777777" w:rsidR="002D03ED" w:rsidRPr="00DA696E" w:rsidRDefault="00000000">
      <w:pPr>
        <w:pStyle w:val="Titolo2"/>
        <w:rPr>
          <w:lang w:val="it-IT"/>
        </w:rPr>
      </w:pPr>
      <w:r w:rsidRPr="00DA696E">
        <w:rPr>
          <w:rFonts w:ascii="Calibri" w:eastAsia="Calibri" w:hAnsi="Calibri"/>
          <w:lang w:val="it-IT"/>
        </w:rPr>
        <w:t>Lenin, le Tesi di aprile e la radicalizzazione della rivoluzione</w:t>
      </w:r>
    </w:p>
    <w:p w14:paraId="60713855" w14:textId="77777777" w:rsidR="002D03ED" w:rsidRPr="00DA696E" w:rsidRDefault="00000000">
      <w:pPr>
        <w:rPr>
          <w:lang w:val="it-IT"/>
        </w:rPr>
      </w:pPr>
      <w:r w:rsidRPr="00DA696E">
        <w:rPr>
          <w:lang w:val="it-IT"/>
        </w:rPr>
        <w:t>Il 3 aprile 1917 Lenin rientrò a Pietrogrado dall’esilio in Svizzera, attraversando la Germania con il consenso delle autorità tedesche, interessate ad accelerare la crisi russa. Il 7 aprile pubblicò sulla “Pravda” le Tesi di aprile, dieci punti che indicavano una nuova fase rivoluzionaria fondata sulla parola d’ordine “tutto il potere ai soviet”.</w:t>
      </w:r>
    </w:p>
    <w:p w14:paraId="728AEC64" w14:textId="77777777" w:rsidR="002D03ED" w:rsidRPr="00DA696E" w:rsidRDefault="00000000">
      <w:pPr>
        <w:rPr>
          <w:lang w:val="it-IT"/>
        </w:rPr>
      </w:pPr>
      <w:r w:rsidRPr="00DA696E">
        <w:rPr>
          <w:lang w:val="it-IT"/>
        </w:rPr>
        <w:t xml:space="preserve">Lenin sosteneva che la Russia </w:t>
      </w:r>
      <w:proofErr w:type="gramStart"/>
      <w:r w:rsidRPr="00DA696E">
        <w:rPr>
          <w:lang w:val="it-IT"/>
        </w:rPr>
        <w:t>dovesse</w:t>
      </w:r>
      <w:proofErr w:type="gramEnd"/>
      <w:r w:rsidRPr="00DA696E">
        <w:rPr>
          <w:lang w:val="it-IT"/>
        </w:rPr>
        <w:t xml:space="preserve"> passare direttamente dalla rivoluzione borghese alla rivoluzione proletaria, saltando la fase intermedia di sviluppo capitalistico prevista dal marxismo ortodosso e difesa dai menscevichi. Per questo i bolscevichi dovevano ritirare ogni appoggio al governo provvisorio e guidare la classe operaia, alleata con i contadini, alla conquista del potere.</w:t>
      </w:r>
    </w:p>
    <w:p w14:paraId="569BBE86" w14:textId="77777777" w:rsidR="002D03ED" w:rsidRPr="00DA696E" w:rsidRDefault="00000000">
      <w:pPr>
        <w:rPr>
          <w:lang w:val="it-IT"/>
        </w:rPr>
      </w:pPr>
      <w:r w:rsidRPr="00DA696E">
        <w:rPr>
          <w:lang w:val="it-IT"/>
        </w:rPr>
        <w:t>Le Tesi di aprile prevedevano soprattutto la fine immediata della guerra, definita da Lenin una “guerra imperialistica di brigantaggio”, la confisca delle terre e il loro passaggio sotto il controllo dei soviet, e la fusione di tutte le banche in un’unica banca nazionale, anch’essa controllata dai soviet.</w:t>
      </w:r>
    </w:p>
    <w:p w14:paraId="2FE900CF" w14:textId="1BD7200C" w:rsidR="002D03ED" w:rsidRPr="00DA696E" w:rsidRDefault="00000000">
      <w:pPr>
        <w:pStyle w:val="Titolo2"/>
        <w:rPr>
          <w:lang w:val="it-IT"/>
        </w:rPr>
      </w:pPr>
      <w:r w:rsidRPr="00DA696E">
        <w:rPr>
          <w:rFonts w:ascii="Calibri" w:eastAsia="Calibri" w:hAnsi="Calibri"/>
          <w:lang w:val="it-IT"/>
        </w:rPr>
        <w:t xml:space="preserve">La </w:t>
      </w:r>
      <w:r w:rsidR="00DA696E" w:rsidRPr="00DA696E">
        <w:rPr>
          <w:rFonts w:ascii="Calibri" w:eastAsia="Calibri" w:hAnsi="Calibri"/>
          <w:lang w:val="it-IT"/>
        </w:rPr>
        <w:t>Rivoluzione d’ottobre</w:t>
      </w:r>
      <w:r w:rsidRPr="00DA696E">
        <w:rPr>
          <w:rFonts w:ascii="Calibri" w:eastAsia="Calibri" w:hAnsi="Calibri"/>
          <w:lang w:val="it-IT"/>
        </w:rPr>
        <w:t xml:space="preserve"> e la conquista bolscevica del potere</w:t>
      </w:r>
    </w:p>
    <w:p w14:paraId="18D0CEC8" w14:textId="77777777" w:rsidR="002D03ED" w:rsidRPr="00DA696E" w:rsidRDefault="00000000">
      <w:pPr>
        <w:rPr>
          <w:lang w:val="it-IT"/>
        </w:rPr>
      </w:pPr>
      <w:r w:rsidRPr="00DA696E">
        <w:rPr>
          <w:lang w:val="it-IT"/>
        </w:rPr>
        <w:t>Il 7 luglio 1917 L’</w:t>
      </w:r>
      <w:proofErr w:type="spellStart"/>
      <w:r w:rsidRPr="00DA696E">
        <w:rPr>
          <w:lang w:val="it-IT"/>
        </w:rPr>
        <w:t>vov</w:t>
      </w:r>
      <w:proofErr w:type="spellEnd"/>
      <w:r w:rsidRPr="00DA696E">
        <w:rPr>
          <w:lang w:val="it-IT"/>
        </w:rPr>
        <w:t xml:space="preserve"> fu sostituito alla guida del governo provvisorio da Aleksandr Kerenskij, socialista rivoluzionario e membro del soviet di Pietrogrado. Il cambio di governo non risolse il conflitto tra autorità centrali e forze rivoluzionarie. Il generale Lavr Kornilov, comandante in capo dell’esercito, tentò di sottrarre l’esercito al controllo dei soviet e riportarlo sotto le gerarchie militari. Il 26 agosto il suo piano si trasformò in un tentativo di colpo di Stato, sventato anche grazie alla mobilitazione dei bolscevichi. Questo episodio rafforzò ulteriormente il consenso bolscevico.</w:t>
      </w:r>
    </w:p>
    <w:p w14:paraId="1D99905F" w14:textId="77777777" w:rsidR="002D03ED" w:rsidRPr="00DA696E" w:rsidRDefault="00000000">
      <w:pPr>
        <w:rPr>
          <w:lang w:val="it-IT"/>
        </w:rPr>
      </w:pPr>
      <w:r w:rsidRPr="00DA696E">
        <w:rPr>
          <w:lang w:val="it-IT"/>
        </w:rPr>
        <w:t xml:space="preserve">Lenin, ormai consapevole di avere dalla propria parte la maggioranza dei delegati dei soviet di Mosca e Pietrogrado, decise di agire. Nella notte tra il 24 e il 25 ottobre 1917, cioè tra il 6 e il 7 novembre secondo il calendario gregoriano, circa 25.000 bolscevichi armati assaltarono il </w:t>
      </w:r>
      <w:r w:rsidRPr="00DA696E">
        <w:rPr>
          <w:lang w:val="it-IT"/>
        </w:rPr>
        <w:lastRenderedPageBreak/>
        <w:t xml:space="preserve">Palazzo d’Inverno di Pietrogrado, sede del governo provvisorio, e lo conquistarono senza grandi difficoltà. Il giorno successivo il Congresso panrusso dei soviet ratificò la nascita del Consiglio dei commissari del popolo, o </w:t>
      </w:r>
      <w:proofErr w:type="spellStart"/>
      <w:r w:rsidRPr="00DA696E">
        <w:rPr>
          <w:lang w:val="it-IT"/>
        </w:rPr>
        <w:t>Sovnarkom</w:t>
      </w:r>
      <w:proofErr w:type="spellEnd"/>
      <w:r w:rsidRPr="00DA696E">
        <w:rPr>
          <w:lang w:val="it-IT"/>
        </w:rPr>
        <w:t>, presieduto da Lenin e composto da bolscevichi e da alcuni membri della sinistra socialrivoluzionaria.</w:t>
      </w:r>
    </w:p>
    <w:p w14:paraId="27444B74" w14:textId="77777777" w:rsidR="002D03ED" w:rsidRPr="00DA696E" w:rsidRDefault="00000000">
      <w:pPr>
        <w:pStyle w:val="Titolo2"/>
        <w:rPr>
          <w:lang w:val="it-IT"/>
        </w:rPr>
      </w:pPr>
      <w:r w:rsidRPr="00DA696E">
        <w:rPr>
          <w:rFonts w:ascii="Calibri" w:eastAsia="Calibri" w:hAnsi="Calibri"/>
          <w:lang w:val="it-IT"/>
        </w:rPr>
        <w:t>I primi decreti bolscevichi e l’uscita dalla guerra</w:t>
      </w:r>
    </w:p>
    <w:p w14:paraId="020F6ACD" w14:textId="77777777" w:rsidR="002D03ED" w:rsidRPr="00DA696E" w:rsidRDefault="00000000">
      <w:pPr>
        <w:rPr>
          <w:lang w:val="it-IT"/>
        </w:rPr>
      </w:pPr>
      <w:r w:rsidRPr="00DA696E">
        <w:rPr>
          <w:lang w:val="it-IT"/>
        </w:rPr>
        <w:t>Il nuovo governo emanò subito provvedimenti coerenti con il programma bolscevico. Il decreto sulla pace chiedeva ai popoli e ai governi dei paesi belligeranti di concludere una pace “giusta e democratica”, senza annessioni e senza indennità. Il decreto sulla terra aboliva la grande proprietà fondiaria e affidava ai soviet contadini il compito di ridistribuire le terre secondo criteri egualitari. Un terzo decreto riconobbe il diritto all’autodeterminazione delle popolazioni e delle nazionalità dell’ex impero zarista.</w:t>
      </w:r>
    </w:p>
    <w:p w14:paraId="2480DCCB" w14:textId="77777777" w:rsidR="002D03ED" w:rsidRPr="00DA696E" w:rsidRDefault="00000000">
      <w:pPr>
        <w:rPr>
          <w:lang w:val="it-IT"/>
        </w:rPr>
      </w:pPr>
      <w:r w:rsidRPr="00DA696E">
        <w:rPr>
          <w:lang w:val="it-IT"/>
        </w:rPr>
        <w:t xml:space="preserve">L’uscita dalla guerra fu però oggetto di scontro anche all’interno del fronte rivoluzionario. Lenin riteneva urgente concludere la pace, perché il tracollo militare avrebbe potuto mettere in pericolo la rivoluzione. Altri bolscevichi, tra cui Nikolaj Bucharin, pensavano invece che continuare il conflitto fosse utile per esportare la rivoluzione in Europa. </w:t>
      </w:r>
      <w:proofErr w:type="gramStart"/>
      <w:r w:rsidRPr="00DA696E">
        <w:rPr>
          <w:lang w:val="it-IT"/>
        </w:rPr>
        <w:t>Alla fine</w:t>
      </w:r>
      <w:proofErr w:type="gramEnd"/>
      <w:r w:rsidRPr="00DA696E">
        <w:rPr>
          <w:lang w:val="it-IT"/>
        </w:rPr>
        <w:t xml:space="preserve"> prevalse la linea di Lenin. Il 3 marzo 1918 la Russia firmò con gli Imperi centrali il trattato di Brest-</w:t>
      </w:r>
      <w:proofErr w:type="spellStart"/>
      <w:r w:rsidRPr="00DA696E">
        <w:rPr>
          <w:lang w:val="it-IT"/>
        </w:rPr>
        <w:t>Litovsk</w:t>
      </w:r>
      <w:proofErr w:type="spellEnd"/>
      <w:r w:rsidRPr="00DA696E">
        <w:rPr>
          <w:lang w:val="it-IT"/>
        </w:rPr>
        <w:t>, uscendo dalla Prima guerra mondiale a condizioni molto pesanti: rinunciava all’Ucraina, alla Polonia orientale, all’Estonia, alla Lettonia, alla Lituania, alla Bielorussia e alla Finlandia. La difesa della “patria socialista” venne dunque anteposta anche all’integrità territoriale del paese.</w:t>
      </w:r>
    </w:p>
    <w:p w14:paraId="7EA31290" w14:textId="77777777" w:rsidR="002D03ED" w:rsidRPr="00DA696E" w:rsidRDefault="00000000">
      <w:pPr>
        <w:pStyle w:val="Titolo2"/>
        <w:rPr>
          <w:lang w:val="it-IT"/>
        </w:rPr>
      </w:pPr>
      <w:r w:rsidRPr="00DA696E">
        <w:rPr>
          <w:rFonts w:ascii="Calibri" w:eastAsia="Calibri" w:hAnsi="Calibri"/>
          <w:lang w:val="it-IT"/>
        </w:rPr>
        <w:t>La Repubblica dei soviet e la svolta autoritaria</w:t>
      </w:r>
    </w:p>
    <w:p w14:paraId="510C25B5" w14:textId="77777777" w:rsidR="002D03ED" w:rsidRPr="00DA696E" w:rsidRDefault="00000000">
      <w:pPr>
        <w:rPr>
          <w:lang w:val="it-IT"/>
        </w:rPr>
      </w:pPr>
      <w:r w:rsidRPr="00DA696E">
        <w:rPr>
          <w:lang w:val="it-IT"/>
        </w:rPr>
        <w:t>Le elezioni del 12 novembre 1917, le prime a suffragio universale, mostrarono che i bolscevichi non avevano il sostegno della maggioranza del paese. Ottennero solo il 24% dei voti, mentre i socialrivoluzionari conquistarono 410 seggi su 707, soprattutto grazie al consenso contadino. I bolscevichi prevalsero solo a Pietrogrado, Mosca e nei centri industriali.</w:t>
      </w:r>
    </w:p>
    <w:p w14:paraId="5A0F7349" w14:textId="77777777" w:rsidR="002D03ED" w:rsidRPr="00DA696E" w:rsidRDefault="00000000">
      <w:pPr>
        <w:rPr>
          <w:lang w:val="it-IT"/>
        </w:rPr>
      </w:pPr>
      <w:r w:rsidRPr="00DA696E">
        <w:rPr>
          <w:lang w:val="it-IT"/>
        </w:rPr>
        <w:t xml:space="preserve">Quando l’Assemblea costituente si riunì ai primi di gennaio del 1918, Lenin la fece sciogliere con la forza, sostenendo che essa </w:t>
      </w:r>
      <w:proofErr w:type="gramStart"/>
      <w:r w:rsidRPr="00DA696E">
        <w:rPr>
          <w:lang w:val="it-IT"/>
        </w:rPr>
        <w:t>rappresentasse</w:t>
      </w:r>
      <w:proofErr w:type="gramEnd"/>
      <w:r w:rsidRPr="00DA696E">
        <w:rPr>
          <w:lang w:val="it-IT"/>
        </w:rPr>
        <w:t xml:space="preserve"> una fase borghese ormai superata. Fu così instaurata la Repubblica dei soviet dei deputati degli operai, dei soldati e dei contadini. Il Consiglio dei commissari del popolo rafforzò il proprio ruolo di governo e il potere locale passò progressivamente ai soviet. </w:t>
      </w:r>
      <w:proofErr w:type="gramStart"/>
      <w:r w:rsidRPr="00DA696E">
        <w:rPr>
          <w:lang w:val="it-IT"/>
        </w:rPr>
        <w:t>Tuttavia</w:t>
      </w:r>
      <w:proofErr w:type="gramEnd"/>
      <w:r w:rsidRPr="00DA696E">
        <w:rPr>
          <w:lang w:val="it-IT"/>
        </w:rPr>
        <w:t xml:space="preserve"> questi organi finirono per essere controllati dal Partito bolscevico, che nel marzo 1918 assunse il nome di Partito comunista russo. Nello stesso periodo la capitale fu trasferita da Pietrogrado, troppo esposta agli attacchi esterni e legata al passato zarista, a Mosca.</w:t>
      </w:r>
    </w:p>
    <w:p w14:paraId="1DC68BE4" w14:textId="77777777" w:rsidR="002D03ED" w:rsidRPr="00DA696E" w:rsidRDefault="00000000">
      <w:pPr>
        <w:pStyle w:val="Titolo2"/>
        <w:rPr>
          <w:lang w:val="it-IT"/>
        </w:rPr>
      </w:pPr>
      <w:r w:rsidRPr="00DA696E">
        <w:rPr>
          <w:rFonts w:ascii="Calibri" w:eastAsia="Calibri" w:hAnsi="Calibri"/>
          <w:lang w:val="it-IT"/>
        </w:rPr>
        <w:lastRenderedPageBreak/>
        <w:t>La guerra civile russa e l’Armata rossa</w:t>
      </w:r>
    </w:p>
    <w:p w14:paraId="64F17188" w14:textId="77777777" w:rsidR="002D03ED" w:rsidRPr="00DA696E" w:rsidRDefault="00000000">
      <w:pPr>
        <w:rPr>
          <w:lang w:val="it-IT"/>
        </w:rPr>
      </w:pPr>
      <w:r w:rsidRPr="00DA696E">
        <w:rPr>
          <w:lang w:val="it-IT"/>
        </w:rPr>
        <w:t>Dopo l’uscita dalla guerra mondiale, Lenin sperava di concentrare le energie sul consolidamento interno della rivoluzione e sulla modernizzazione del paese. Invece la Russia fu travolta da una sanguinosa guerra civile tra il nuovo potere bolscevico e i suoi avversari interni ed esterni. Truppe inglesi, francesi, polacche, serbe, rumene e giapponesi penetrarono nel territorio russo sostenendo le armate controrivoluzionarie dei “bianchi”, guidate da ufficiali rimasti fedeli allo zar.</w:t>
      </w:r>
    </w:p>
    <w:p w14:paraId="1D9D6818" w14:textId="77777777" w:rsidR="002D03ED" w:rsidRPr="00DA696E" w:rsidRDefault="00000000">
      <w:pPr>
        <w:rPr>
          <w:lang w:val="it-IT"/>
        </w:rPr>
      </w:pPr>
      <w:r w:rsidRPr="00DA696E">
        <w:rPr>
          <w:lang w:val="it-IT"/>
        </w:rPr>
        <w:t>I bianchi occuparono vaste zone del territorio e alimentarono ribellioni. Nell’estate del 1918 l’ammiraglio Aleksandr Kolčak prese il controllo di un’ampia area tra gli Urali e il Volga e minacciò Ekaterinburg, dove era prigioniera la famiglia reale. Per impedire che Nicola II potesse essere riportato al potere, il 17 luglio 1918 fu ordinata l’esecuzione dello zar e di tutta la sua famiglia. Nello stesso mese fu approvata la prima Costituzione e proclamata ufficialmente la Repubblica Socialista Federativa Sovietica Russa.</w:t>
      </w:r>
    </w:p>
    <w:p w14:paraId="3AAF1399" w14:textId="77777777" w:rsidR="002D03ED" w:rsidRPr="00DA696E" w:rsidRDefault="00000000">
      <w:pPr>
        <w:rPr>
          <w:lang w:val="it-IT"/>
        </w:rPr>
      </w:pPr>
      <w:r w:rsidRPr="00DA696E">
        <w:rPr>
          <w:lang w:val="it-IT"/>
        </w:rPr>
        <w:t>Per difendere il regime, il governo affidò a Lev Trockij il compito di organizzare l’Armata rossa degli operai e dei contadini. Trockij utilizzò anche ufficiali provenienti dal vecchio esercito zarista, reintrodusse la coscrizione obbligatoria e subordinò i comandanti militari alle direttive del partito attraverso i commissari politici. In tempi rapidi riuscì a costruire un esercito efficiente, disciplinato e motivato, che nonostante l’inferiorità di uomini e mezzi resistette ai bianchi e garantì la sopravvivenza della rivoluzione.</w:t>
      </w:r>
    </w:p>
    <w:p w14:paraId="698F94DE" w14:textId="77777777" w:rsidR="002D03ED" w:rsidRPr="00DA696E" w:rsidRDefault="00000000">
      <w:pPr>
        <w:rPr>
          <w:lang w:val="it-IT"/>
        </w:rPr>
      </w:pPr>
      <w:r w:rsidRPr="00DA696E">
        <w:rPr>
          <w:lang w:val="it-IT"/>
        </w:rPr>
        <w:t>La carta sulla guerra civile presente nel capitolo mostra il carattere accerchiante del conflitto: i bianchi controllavano ampie zone della Siberia e del Don, mentre le truppe dell’Intesa sbarcavano in varie aree del paese, partendo dagli Stati baltici e dall’Ucraina. L’Armata rossa dovette quindi contrastare contemporaneamente insurrezioni interne e interventi stranieri.</w:t>
      </w:r>
    </w:p>
    <w:p w14:paraId="444F0302" w14:textId="77777777" w:rsidR="002D03ED" w:rsidRPr="00DA696E" w:rsidRDefault="00000000">
      <w:pPr>
        <w:pStyle w:val="Titolo2"/>
        <w:rPr>
          <w:lang w:val="it-IT"/>
        </w:rPr>
      </w:pPr>
      <w:r w:rsidRPr="00DA696E">
        <w:rPr>
          <w:rFonts w:ascii="Calibri" w:eastAsia="Calibri" w:hAnsi="Calibri"/>
          <w:lang w:val="it-IT"/>
        </w:rPr>
        <w:t>Il conflitto russo-polacco e la pace di Riga</w:t>
      </w:r>
    </w:p>
    <w:p w14:paraId="26332EF5" w14:textId="77777777" w:rsidR="002D03ED" w:rsidRPr="00DA696E" w:rsidRDefault="00000000">
      <w:pPr>
        <w:rPr>
          <w:lang w:val="it-IT"/>
        </w:rPr>
      </w:pPr>
      <w:r w:rsidRPr="00DA696E">
        <w:rPr>
          <w:lang w:val="it-IT"/>
        </w:rPr>
        <w:t>Nel 1920 il pericolo maggiore per lo Stato sovietico venne dalla Polonia. Le truppe polacche, guidate dal generale Józef Piłsudski, attaccarono nella primavera del 1920 con l’obiettivo di conquistare l’Ucraina. L’esercito polacco fu respinto con difficoltà, ma la controffensiva dell’Armata rossa venne fermata alle porte di Varsavia. I negoziati si conclusero nel marzo 1921 con la pace di Riga: la Polonia ottenne territori corrispondenti all’odierna Bielorussia, mentre i sovietici recuperarono gran parte dell’Ucraina perduta con Brest-</w:t>
      </w:r>
      <w:proofErr w:type="spellStart"/>
      <w:r w:rsidRPr="00DA696E">
        <w:rPr>
          <w:lang w:val="it-IT"/>
        </w:rPr>
        <w:t>Litovsk</w:t>
      </w:r>
      <w:proofErr w:type="spellEnd"/>
      <w:r w:rsidRPr="00DA696E">
        <w:rPr>
          <w:lang w:val="it-IT"/>
        </w:rPr>
        <w:t>.</w:t>
      </w:r>
    </w:p>
    <w:p w14:paraId="149D2E92" w14:textId="77777777" w:rsidR="002D03ED" w:rsidRPr="00DA696E" w:rsidRDefault="00000000">
      <w:pPr>
        <w:rPr>
          <w:lang w:val="it-IT"/>
        </w:rPr>
      </w:pPr>
      <w:r w:rsidRPr="00DA696E">
        <w:rPr>
          <w:lang w:val="it-IT"/>
        </w:rPr>
        <w:t>La pace di Riga segnò anche il passaggio dei governi occidentali da una strategia di abbattimento militare del bolscevismo a una strategia di contenimento, fondata sulla creazione di un “cordone sanitario” di Stati anticomunisti nei territori un tempo appartenuti all’impero zarista.</w:t>
      </w:r>
    </w:p>
    <w:p w14:paraId="6D10480A" w14:textId="77777777" w:rsidR="002D03ED" w:rsidRPr="00DA696E" w:rsidRDefault="00000000">
      <w:pPr>
        <w:pStyle w:val="Titolo2"/>
        <w:rPr>
          <w:lang w:val="it-IT"/>
        </w:rPr>
      </w:pPr>
      <w:r w:rsidRPr="00DA696E">
        <w:rPr>
          <w:rFonts w:ascii="Calibri" w:eastAsia="Calibri" w:hAnsi="Calibri"/>
          <w:lang w:val="it-IT"/>
        </w:rPr>
        <w:lastRenderedPageBreak/>
        <w:t>Il comunismo di guerra e il terrore rosso</w:t>
      </w:r>
    </w:p>
    <w:p w14:paraId="24A89FE5" w14:textId="77777777" w:rsidR="002D03ED" w:rsidRPr="00DA696E" w:rsidRDefault="00000000">
      <w:pPr>
        <w:rPr>
          <w:lang w:val="it-IT"/>
        </w:rPr>
      </w:pPr>
      <w:r w:rsidRPr="00DA696E">
        <w:rPr>
          <w:lang w:val="it-IT"/>
        </w:rPr>
        <w:t>Durante la guerra civile la Russia fu colpita da una gravissima crisi economica e sociale. Per affrontarla, Lenin introdusse il cosiddetto “comunismo di guerra”. L’intera economia — industria, finanza, commercio e agricoltura — fu posta sotto il controllo diretto dello Stato, che gestiva le risorse e le ridistribuiva centralmente.</w:t>
      </w:r>
    </w:p>
    <w:p w14:paraId="740ADC32" w14:textId="77777777" w:rsidR="002D03ED" w:rsidRPr="00DA696E" w:rsidRDefault="00000000">
      <w:pPr>
        <w:rPr>
          <w:lang w:val="it-IT"/>
        </w:rPr>
      </w:pPr>
      <w:r w:rsidRPr="00DA696E">
        <w:rPr>
          <w:lang w:val="it-IT"/>
        </w:rPr>
        <w:t>A questa centralizzazione economica si accompagnarono la burocratizzazione dell’apparato statale, la riduzione degli spazi di autogestione, la repressione del dissenso, la sospensione del diritto di sciopero e la militarizzazione del lavoro, che divenne obbligatorio. Il regime visse sotto l’incubo dell’accerchiamento e sviluppò un culto esasperato della disciplina di partito. Le necessità della guerra portarono a mettere in secondo piano gli stessi principi socialisti, generando dissensi anche nel gruppo dirigente bolscevico.</w:t>
      </w:r>
    </w:p>
    <w:p w14:paraId="5FAE595B" w14:textId="77777777" w:rsidR="002D03ED" w:rsidRPr="00DA696E" w:rsidRDefault="00000000">
      <w:pPr>
        <w:rPr>
          <w:lang w:val="it-IT"/>
        </w:rPr>
      </w:pPr>
      <w:r w:rsidRPr="00DA696E">
        <w:rPr>
          <w:lang w:val="it-IT"/>
        </w:rPr>
        <w:t>La repressione colpì oppositori politici, dissidenti e anche la Chiesa ortodossa. Il capitolo definisce questa fase come “terrore rosso”, affidato soprattutto alla Ceka, la polizia politica creata da Lenin nel dicembre 1917 per combattere i nemici della rivoluzione. I bolscevichi finirono così per agire, secondo un’espressione attribuita allo stesso Lenin, come “conquistatori in un paese ostile”, contro la maggioranza della popolazione russa.</w:t>
      </w:r>
    </w:p>
    <w:p w14:paraId="3EA6E72D" w14:textId="77777777" w:rsidR="002D03ED" w:rsidRPr="00DA696E" w:rsidRDefault="00000000">
      <w:pPr>
        <w:pStyle w:val="Titolo2"/>
        <w:rPr>
          <w:lang w:val="it-IT"/>
        </w:rPr>
      </w:pPr>
      <w:r w:rsidRPr="00DA696E">
        <w:rPr>
          <w:rFonts w:ascii="Calibri" w:eastAsia="Calibri" w:hAnsi="Calibri"/>
          <w:lang w:val="it-IT"/>
        </w:rPr>
        <w:t>Il conflitto con il mondo contadino e la rivolta di Kronstadt</w:t>
      </w:r>
    </w:p>
    <w:p w14:paraId="23FF9180" w14:textId="77777777" w:rsidR="002D03ED" w:rsidRPr="00DA696E" w:rsidRDefault="00000000">
      <w:pPr>
        <w:rPr>
          <w:lang w:val="it-IT"/>
        </w:rPr>
      </w:pPr>
      <w:r w:rsidRPr="00DA696E">
        <w:rPr>
          <w:lang w:val="it-IT"/>
        </w:rPr>
        <w:t>La guerra civile fu anche uno scontro tra il governo bolscevico e la società rurale russa. Inizialmente Lenin aveva assecondato la distribuzione delle terre ai piccoli proprietari per conquistare il consenso contadino, rinviando l’obiettivo di creare grandi unità agricole statali. Tuttavia, nel 1918, per alimentare le città e l’esercito, il governo impose requisizioni di grano e altri prodotti agricoli. Furono creati comitati di operai e contadini poveri incaricati di requisire le risorse nelle campagne. Le operazioni furono spesso accompagnate da violenze, arresti arbitrari e assassinii.</w:t>
      </w:r>
    </w:p>
    <w:p w14:paraId="1E7DA169" w14:textId="77777777" w:rsidR="002D03ED" w:rsidRPr="00DA696E" w:rsidRDefault="00000000">
      <w:pPr>
        <w:rPr>
          <w:lang w:val="it-IT"/>
        </w:rPr>
      </w:pPr>
      <w:r w:rsidRPr="00DA696E">
        <w:rPr>
          <w:lang w:val="it-IT"/>
        </w:rPr>
        <w:t>Nel febbraio 1921 esplosero scioperi e manifestazioni a Mosca e Pietrogrado contro l’accentramento bolscevico e la riduzione del potere reale dei soviet. La crisi più grave scoppiò il 2 marzo 1921 nella base navale di Kronstadt, una delle roccaforti della rivoluzione del 1917. Marinai e operai si ammutinarono chiedendo il ripristino delle libertà politiche e la fine delle requisizioni forzate nelle campagne. Lenin e Trockij ordinarono la repressione, presentata come una “tragica necessità”. Gli insorti furono dichiarati controrivoluzionari, fucilati senza processo o deportati. L’idea di una rivoluzione governata dal basso si scontrò così con la realtà di una politica fortemente statalista.</w:t>
      </w:r>
    </w:p>
    <w:p w14:paraId="54A5FEAD" w14:textId="77777777" w:rsidR="002D03ED" w:rsidRPr="00DA696E" w:rsidRDefault="00000000">
      <w:pPr>
        <w:pStyle w:val="Titolo2"/>
        <w:rPr>
          <w:lang w:val="it-IT"/>
        </w:rPr>
      </w:pPr>
      <w:r w:rsidRPr="00DA696E">
        <w:rPr>
          <w:rFonts w:ascii="Calibri" w:eastAsia="Calibri" w:hAnsi="Calibri"/>
          <w:lang w:val="it-IT"/>
        </w:rPr>
        <w:lastRenderedPageBreak/>
        <w:t>La NEP: compromesso economico e stabilizzazione</w:t>
      </w:r>
    </w:p>
    <w:p w14:paraId="7F282243" w14:textId="77777777" w:rsidR="002D03ED" w:rsidRPr="00DA696E" w:rsidRDefault="00000000">
      <w:pPr>
        <w:rPr>
          <w:lang w:val="it-IT"/>
        </w:rPr>
      </w:pPr>
      <w:r w:rsidRPr="00DA696E">
        <w:rPr>
          <w:lang w:val="it-IT"/>
        </w:rPr>
        <w:t>Le proteste popolari accelerarono la revisione della politica economica bolscevica. Nel marzo 1921 Lenin introdusse la Nuova Politica Economica, o NEP, riconoscendo l’impossibilità di proseguire con la linea del comunismo di guerra. La NEP cercava un compromesso con il mondo contadino e reintroduceva parzialmente elementi di mercato.</w:t>
      </w:r>
    </w:p>
    <w:p w14:paraId="41B7685D" w14:textId="77777777" w:rsidR="002D03ED" w:rsidRPr="00DA696E" w:rsidRDefault="00000000" w:rsidP="00DA696E">
      <w:pPr>
        <w:spacing w:after="0"/>
        <w:rPr>
          <w:lang w:val="it-IT"/>
        </w:rPr>
      </w:pPr>
      <w:r w:rsidRPr="00DA696E">
        <w:rPr>
          <w:lang w:val="it-IT"/>
        </w:rPr>
        <w:t>I punti principali della NEP furono:</w:t>
      </w:r>
    </w:p>
    <w:p w14:paraId="342B93B9" w14:textId="77777777" w:rsidR="002D03ED" w:rsidRPr="00DA696E" w:rsidRDefault="00000000" w:rsidP="00DA696E">
      <w:pPr>
        <w:pStyle w:val="Puntoelenco"/>
        <w:numPr>
          <w:ilvl w:val="0"/>
          <w:numId w:val="10"/>
        </w:numPr>
        <w:rPr>
          <w:lang w:val="it-IT"/>
        </w:rPr>
      </w:pPr>
      <w:r w:rsidRPr="00DA696E">
        <w:rPr>
          <w:lang w:val="it-IT"/>
        </w:rPr>
        <w:t>fine delle requisizioni forzate di viveri;</w:t>
      </w:r>
    </w:p>
    <w:p w14:paraId="377292DB" w14:textId="77777777" w:rsidR="00DA696E" w:rsidRDefault="00000000" w:rsidP="00DA696E">
      <w:pPr>
        <w:pStyle w:val="Puntoelenco"/>
        <w:numPr>
          <w:ilvl w:val="0"/>
          <w:numId w:val="10"/>
        </w:numPr>
        <w:rPr>
          <w:lang w:val="it-IT"/>
        </w:rPr>
      </w:pPr>
      <w:r w:rsidRPr="00DA696E">
        <w:rPr>
          <w:lang w:val="it-IT"/>
        </w:rPr>
        <w:t>possibilità per i contadini di vendere liberamente almeno una parte delle eccedenze;</w:t>
      </w:r>
    </w:p>
    <w:p w14:paraId="44C9372E" w14:textId="77777777" w:rsidR="00DA696E" w:rsidRDefault="00000000" w:rsidP="00DA696E">
      <w:pPr>
        <w:pStyle w:val="Puntoelenco"/>
        <w:numPr>
          <w:ilvl w:val="0"/>
          <w:numId w:val="10"/>
        </w:numPr>
        <w:rPr>
          <w:lang w:val="it-IT"/>
        </w:rPr>
      </w:pPr>
      <w:r w:rsidRPr="00DA696E">
        <w:rPr>
          <w:lang w:val="it-IT"/>
        </w:rPr>
        <w:t>liberalizzazione parziale della piccola industria, dell’artigianato e dell’agricoltura;</w:t>
      </w:r>
    </w:p>
    <w:p w14:paraId="65A436D0" w14:textId="77777777" w:rsidR="00DA696E" w:rsidRDefault="00000000" w:rsidP="00DA696E">
      <w:pPr>
        <w:pStyle w:val="Puntoelenco"/>
        <w:numPr>
          <w:ilvl w:val="0"/>
          <w:numId w:val="10"/>
        </w:numPr>
        <w:rPr>
          <w:lang w:val="it-IT"/>
        </w:rPr>
      </w:pPr>
      <w:r w:rsidRPr="00DA696E">
        <w:rPr>
          <w:lang w:val="it-IT"/>
        </w:rPr>
        <w:t>mantenimento del controllo statale sui vertici dell’economia, cioè grande industria, banche e commercio estero;</w:t>
      </w:r>
    </w:p>
    <w:p w14:paraId="5903056F" w14:textId="77777777" w:rsidR="00DA696E" w:rsidRDefault="00000000" w:rsidP="00DA696E">
      <w:pPr>
        <w:pStyle w:val="Puntoelenco"/>
        <w:numPr>
          <w:ilvl w:val="0"/>
          <w:numId w:val="10"/>
        </w:numPr>
        <w:rPr>
          <w:lang w:val="it-IT"/>
        </w:rPr>
      </w:pPr>
      <w:proofErr w:type="spellStart"/>
      <w:r>
        <w:t>reintroduzione</w:t>
      </w:r>
      <w:proofErr w:type="spellEnd"/>
      <w:r>
        <w:t xml:space="preserve"> di </w:t>
      </w:r>
      <w:proofErr w:type="spellStart"/>
      <w:r>
        <w:t>libertà</w:t>
      </w:r>
      <w:proofErr w:type="spellEnd"/>
      <w:r>
        <w:t xml:space="preserve"> </w:t>
      </w:r>
      <w:proofErr w:type="spellStart"/>
      <w:r>
        <w:t>sindacali</w:t>
      </w:r>
      <w:proofErr w:type="spellEnd"/>
      <w:r>
        <w:t>;</w:t>
      </w:r>
    </w:p>
    <w:p w14:paraId="69D99972" w14:textId="77777777" w:rsidR="00DA696E" w:rsidRDefault="00000000" w:rsidP="00DA696E">
      <w:pPr>
        <w:pStyle w:val="Puntoelenco"/>
        <w:numPr>
          <w:ilvl w:val="0"/>
          <w:numId w:val="10"/>
        </w:numPr>
        <w:rPr>
          <w:lang w:val="it-IT"/>
        </w:rPr>
      </w:pPr>
      <w:r w:rsidRPr="00DA696E">
        <w:rPr>
          <w:lang w:val="it-IT"/>
        </w:rPr>
        <w:t>abolizione della mobilitazione obbligatoria della manodopera;</w:t>
      </w:r>
    </w:p>
    <w:p w14:paraId="48CB4558" w14:textId="21C6FCB6" w:rsidR="002D03ED" w:rsidRPr="00DA696E" w:rsidRDefault="00000000" w:rsidP="00DA696E">
      <w:pPr>
        <w:pStyle w:val="Puntoelenco"/>
        <w:numPr>
          <w:ilvl w:val="0"/>
          <w:numId w:val="10"/>
        </w:numPr>
        <w:rPr>
          <w:lang w:val="it-IT"/>
        </w:rPr>
      </w:pPr>
      <w:r w:rsidRPr="00DA696E">
        <w:rPr>
          <w:lang w:val="it-IT"/>
        </w:rPr>
        <w:t>maggiore libertà religiosa e rispetto delle tradizioni rurali.</w:t>
      </w:r>
    </w:p>
    <w:p w14:paraId="3930291F" w14:textId="77777777" w:rsidR="002D03ED" w:rsidRPr="00DA696E" w:rsidRDefault="00000000">
      <w:pPr>
        <w:rPr>
          <w:lang w:val="it-IT"/>
        </w:rPr>
      </w:pPr>
      <w:r w:rsidRPr="00DA696E">
        <w:rPr>
          <w:lang w:val="it-IT"/>
        </w:rPr>
        <w:t>Tra il 1921 e il 1922 una gravissima carestia provocò milioni di morti, ma dal 1922 la NEP iniziò a produrre effetti positivi, garantendo una tregua sociale e una ripresa economica. Il grafico sugli effetti economici della NEP mostra infatti una crescita progressiva della produzione industriale e agricola, in particolare della grande industria e della produzione cerealicola, favorite rispettivamente dalla parziale liberalizzazione delle attività e dalla fine delle requisizioni forzate.</w:t>
      </w:r>
    </w:p>
    <w:p w14:paraId="07A6502C" w14:textId="77777777" w:rsidR="002D03ED" w:rsidRPr="00DA696E" w:rsidRDefault="00000000">
      <w:pPr>
        <w:pStyle w:val="Titolo2"/>
        <w:rPr>
          <w:lang w:val="it-IT"/>
        </w:rPr>
      </w:pPr>
      <w:r w:rsidRPr="00DA696E">
        <w:rPr>
          <w:rFonts w:ascii="Calibri" w:eastAsia="Calibri" w:hAnsi="Calibri"/>
          <w:lang w:val="it-IT"/>
        </w:rPr>
        <w:t>La Russia sovietica e il ritorno nei rapporti internazionali</w:t>
      </w:r>
    </w:p>
    <w:p w14:paraId="125E6D85" w14:textId="77777777" w:rsidR="002D03ED" w:rsidRPr="00DA696E" w:rsidRDefault="00000000">
      <w:pPr>
        <w:rPr>
          <w:lang w:val="it-IT"/>
        </w:rPr>
      </w:pPr>
      <w:r w:rsidRPr="00DA696E">
        <w:rPr>
          <w:lang w:val="it-IT"/>
        </w:rPr>
        <w:t>La reintroduzione di forme limitate di economia capitalistica contribuì ad allentare le tensioni tra lo Stato bolscevico e le potenze occidentali. Lenin riteneva necessario reinserire la Russia nel sistema internazionale per riattivare i rapporti commerciali indispensabili alla ricostruzione economica.</w:t>
      </w:r>
    </w:p>
    <w:p w14:paraId="4B9C505F" w14:textId="77777777" w:rsidR="002D03ED" w:rsidRPr="00DA696E" w:rsidRDefault="00000000">
      <w:pPr>
        <w:rPr>
          <w:lang w:val="it-IT"/>
        </w:rPr>
      </w:pPr>
      <w:r w:rsidRPr="00DA696E">
        <w:rPr>
          <w:lang w:val="it-IT"/>
        </w:rPr>
        <w:t>La politica estera della NEP fu quindi improntata alla distensione e al compromesso. Una settimana dopo l’avvio della svolta economica, un accordo commerciale anglo-sovietico sancì il ritorno della Russia sui mercati mondiali. Con il trattato di Rapallo del 1922 furono ristabilite le relazioni diplomatiche ed economiche con la Germania. Tra il 1924 e il 1925, con Gran Bretagna e Italia fascista tra i primi paesi a fare da apripista, i principali governi occidentali riconobbero ufficialmente la Russia sovietica, con l’eccezione degli Stati Uniti, che lo avrebbero fatto solo nel 1933.</w:t>
      </w:r>
    </w:p>
    <w:p w14:paraId="46C42A2C" w14:textId="77777777" w:rsidR="002D03ED" w:rsidRPr="00DA696E" w:rsidRDefault="00000000">
      <w:pPr>
        <w:pStyle w:val="Titolo2"/>
        <w:rPr>
          <w:lang w:val="it-IT"/>
        </w:rPr>
      </w:pPr>
      <w:r w:rsidRPr="00DA696E">
        <w:rPr>
          <w:rFonts w:ascii="Calibri" w:eastAsia="Calibri" w:hAnsi="Calibri"/>
          <w:lang w:val="it-IT"/>
        </w:rPr>
        <w:t>L’Europa senza pace dopo Versailles</w:t>
      </w:r>
    </w:p>
    <w:p w14:paraId="6E92B5C5" w14:textId="77777777" w:rsidR="002D03ED" w:rsidRPr="00DA696E" w:rsidRDefault="00000000">
      <w:pPr>
        <w:rPr>
          <w:lang w:val="it-IT"/>
        </w:rPr>
      </w:pPr>
      <w:r w:rsidRPr="00DA696E">
        <w:rPr>
          <w:lang w:val="it-IT"/>
        </w:rPr>
        <w:t xml:space="preserve">Il capitolo passa poi all’Europa degli anni Venti, segnata da instabilità politica, conflitti sociali e radicalizzazione ideologica. I trattati di pace del 1919 ridisegnarono profondamente il </w:t>
      </w:r>
      <w:r w:rsidRPr="00DA696E">
        <w:rPr>
          <w:lang w:val="it-IT"/>
        </w:rPr>
        <w:lastRenderedPageBreak/>
        <w:t xml:space="preserve">continente: prima della guerra le repubbliche erano quattro, dopo la dissoluzione degli imperi diventarono tredici. </w:t>
      </w:r>
      <w:proofErr w:type="gramStart"/>
      <w:r w:rsidRPr="00DA696E">
        <w:rPr>
          <w:lang w:val="it-IT"/>
        </w:rPr>
        <w:t>Tuttavia</w:t>
      </w:r>
      <w:proofErr w:type="gramEnd"/>
      <w:r w:rsidRPr="00DA696E">
        <w:rPr>
          <w:lang w:val="it-IT"/>
        </w:rPr>
        <w:t xml:space="preserve"> le nuove istituzioni non furono sempre abbastanza solide da garantire stabilità e sviluppo democratico.</w:t>
      </w:r>
    </w:p>
    <w:p w14:paraId="0D5433F7" w14:textId="77777777" w:rsidR="002D03ED" w:rsidRPr="00DA696E" w:rsidRDefault="00000000">
      <w:pPr>
        <w:rPr>
          <w:lang w:val="it-IT"/>
        </w:rPr>
      </w:pPr>
      <w:r w:rsidRPr="00DA696E">
        <w:rPr>
          <w:lang w:val="it-IT"/>
        </w:rPr>
        <w:t>I trattati di Versailles lasciarono forti tensioni sia tra vincitori e vinti sia tra le stesse potenze vincitrici. Il caso più pesante fu quello della Germania, su cui venne fatta ricadere l’intera responsabilità del conflitto. L’economista John Maynard Keynes, membro della delegazione britannica a Versailles, sostenne nel 1919 che quei trattati avrebbero posto le basi per un nuovo conflitto ancora più devastante.</w:t>
      </w:r>
    </w:p>
    <w:p w14:paraId="725A45B2" w14:textId="77777777" w:rsidR="002D03ED" w:rsidRPr="00DA696E" w:rsidRDefault="00000000">
      <w:pPr>
        <w:rPr>
          <w:lang w:val="it-IT"/>
        </w:rPr>
      </w:pPr>
      <w:r w:rsidRPr="00DA696E">
        <w:rPr>
          <w:lang w:val="it-IT"/>
        </w:rPr>
        <w:t>Anche il principio di nazionalità e autodeterminazione fu applicato in modo incoerente. L’Austria, ad esempio, non poté unirsi alla Germania, perché Versailles e Saint-Germain vietavano esplicitamente l’Anschluss. Nell’Europa centro-orientale, la volontà di punire i paesi sconfitti produsse nuove minoranze e nuove tensioni: tre milioni di tedeschi si ritrovarono in Cecoslovacchia, un milione e trecentomila ungheresi in Romania, tra quattro e cinque milioni di ucraini in Polonia, oltre a minoranze albanesi, musulmane e rumene in Iugoslavia. In totale, circa trenta milioni di persone furono tagliate fuori dai propri confini “naturali”.</w:t>
      </w:r>
    </w:p>
    <w:p w14:paraId="0C30BBFF" w14:textId="77777777" w:rsidR="002D03ED" w:rsidRPr="00DA696E" w:rsidRDefault="00000000">
      <w:pPr>
        <w:pStyle w:val="Titolo2"/>
        <w:rPr>
          <w:lang w:val="it-IT"/>
        </w:rPr>
      </w:pPr>
      <w:r w:rsidRPr="00DA696E">
        <w:rPr>
          <w:rFonts w:ascii="Calibri" w:eastAsia="Calibri" w:hAnsi="Calibri"/>
          <w:lang w:val="it-IT"/>
        </w:rPr>
        <w:t>La debolezza delle nuove democrazie e della Società delle Nazioni</w:t>
      </w:r>
    </w:p>
    <w:p w14:paraId="44A8E2B4" w14:textId="77777777" w:rsidR="002D03ED" w:rsidRPr="00DA696E" w:rsidRDefault="00000000">
      <w:pPr>
        <w:rPr>
          <w:lang w:val="it-IT"/>
        </w:rPr>
      </w:pPr>
      <w:r w:rsidRPr="00DA696E">
        <w:rPr>
          <w:lang w:val="it-IT"/>
        </w:rPr>
        <w:t>La democratizzazione dell’Europa postbellica fu fragile. Il crollo di istituzioni secolari, la radicalizzazione sociale, la diffusione del bolscevismo a sinistra e delle ideologie nazionaliste radicali a destra indebolirono le forze liberali e riformiste. Le repubbliche nate dai trattati di pace mancavano spesso di basi solide.</w:t>
      </w:r>
    </w:p>
    <w:p w14:paraId="1E0DEEA8" w14:textId="77777777" w:rsidR="002D03ED" w:rsidRPr="00DA696E" w:rsidRDefault="00000000">
      <w:pPr>
        <w:rPr>
          <w:lang w:val="it-IT"/>
        </w:rPr>
      </w:pPr>
      <w:r w:rsidRPr="00DA696E">
        <w:rPr>
          <w:lang w:val="it-IT"/>
        </w:rPr>
        <w:t>La Società delle Nazioni avrebbe dovuto garantire pace e sicurezza internazionale, ma fu indebolita dalla mancata adesione degli Stati Uniti e dalla mancanza di strumenti concreti di azione. Per questo svolse un ruolo marginale e non riuscì a impedire il peggioramento dello scenario politico europeo.</w:t>
      </w:r>
    </w:p>
    <w:p w14:paraId="17895FA7" w14:textId="77777777" w:rsidR="002D03ED" w:rsidRPr="00DA696E" w:rsidRDefault="00000000">
      <w:pPr>
        <w:rPr>
          <w:lang w:val="it-IT"/>
        </w:rPr>
      </w:pPr>
      <w:r w:rsidRPr="00DA696E">
        <w:rPr>
          <w:lang w:val="it-IT"/>
        </w:rPr>
        <w:t xml:space="preserve">Lo schema del capitolo sulle cause dell’instabilità europea individua tre fattori principali: il crollo degli imperi multietnici, che produsse Stati con forti minoranze etniche; la debolezza della Società delle Nazioni; l’influenza della </w:t>
      </w:r>
      <w:proofErr w:type="gramStart"/>
      <w:r w:rsidRPr="00DA696E">
        <w:rPr>
          <w:lang w:val="it-IT"/>
        </w:rPr>
        <w:t>rivoluzione russa</w:t>
      </w:r>
      <w:proofErr w:type="gramEnd"/>
      <w:r w:rsidRPr="00DA696E">
        <w:rPr>
          <w:lang w:val="it-IT"/>
        </w:rPr>
        <w:t>, che favorì la diffusione di ideologie radicali opposte, cioè bolscevismo e nazionalismo antidemocratico.</w:t>
      </w:r>
    </w:p>
    <w:p w14:paraId="0C273B20" w14:textId="77777777" w:rsidR="002D03ED" w:rsidRPr="00DA696E" w:rsidRDefault="00000000">
      <w:pPr>
        <w:pStyle w:val="Titolo2"/>
        <w:rPr>
          <w:lang w:val="it-IT"/>
        </w:rPr>
      </w:pPr>
      <w:r w:rsidRPr="00DA696E">
        <w:rPr>
          <w:rFonts w:ascii="Calibri" w:eastAsia="Calibri" w:hAnsi="Calibri"/>
          <w:lang w:val="it-IT"/>
        </w:rPr>
        <w:t>Il mito del “fare come in Russia” e la nascita del Comintern</w:t>
      </w:r>
    </w:p>
    <w:p w14:paraId="5813E99B" w14:textId="77777777" w:rsidR="002D03ED" w:rsidRPr="00DA696E" w:rsidRDefault="00000000">
      <w:pPr>
        <w:rPr>
          <w:lang w:val="it-IT"/>
        </w:rPr>
      </w:pPr>
      <w:r w:rsidRPr="00DA696E">
        <w:rPr>
          <w:lang w:val="it-IT"/>
        </w:rPr>
        <w:t xml:space="preserve">La </w:t>
      </w:r>
      <w:proofErr w:type="gramStart"/>
      <w:r w:rsidRPr="00DA696E">
        <w:rPr>
          <w:lang w:val="it-IT"/>
        </w:rPr>
        <w:t>rivoluzione d’ottobre</w:t>
      </w:r>
      <w:proofErr w:type="gramEnd"/>
      <w:r w:rsidRPr="00DA696E">
        <w:rPr>
          <w:lang w:val="it-IT"/>
        </w:rPr>
        <w:t xml:space="preserve"> ebbe un’enorme forza simbolica. In molti ambienti operai e socialisti europei si diffuse l’idea che fosse possibile “fare come in Russia”, cioè rovesciare i rapporti di forza tra le classi e realizzare il socialismo. La crisi economica e sociale del dopoguerra rafforzò l’impressione che il capitalismo fosse entrato in una crisi irreversibile e che la soluzione rivoluzionaria fosse ormai vicina.</w:t>
      </w:r>
    </w:p>
    <w:p w14:paraId="0EF5B4E1" w14:textId="77777777" w:rsidR="002D03ED" w:rsidRPr="00DA696E" w:rsidRDefault="00000000">
      <w:pPr>
        <w:rPr>
          <w:lang w:val="it-IT"/>
        </w:rPr>
      </w:pPr>
      <w:r w:rsidRPr="00DA696E">
        <w:rPr>
          <w:lang w:val="it-IT"/>
        </w:rPr>
        <w:lastRenderedPageBreak/>
        <w:t>Lenin era inizialmente convinto dell’imminenza della rivoluzione europea, soprattutto in Germania, considerata il paese decisivo per la svolta socialista. Riteneva inoltre che l’espansione della rivoluzione fosse necessaria alla sopravvivenza della Russia bolscevica. Per coordinare la sinistra rivoluzionaria internazionale, nel marzo 1919 fu fondata a Mosca la Terza Internazionale, o Internazionale comunista, detta Comintern. Al congresso fondativo parteciparono 52 delegati; nel congresso del 1920 i delegati divennero 169, provenienti da oltre 50 paesi.</w:t>
      </w:r>
    </w:p>
    <w:p w14:paraId="0328DFDA" w14:textId="77777777" w:rsidR="002D03ED" w:rsidRPr="00DA696E" w:rsidRDefault="00000000">
      <w:pPr>
        <w:rPr>
          <w:lang w:val="it-IT"/>
        </w:rPr>
      </w:pPr>
      <w:r w:rsidRPr="00DA696E">
        <w:rPr>
          <w:lang w:val="it-IT"/>
        </w:rPr>
        <w:t>L’adesione al Comintern era subordinata a 21 condizioni. I partiti dovevano riconoscere la direzione dell’Internazionale, fare propri gli obiettivi di Mosca, espellere i riformisti e adottare una disciplina interna molto rigida. Questo significava accettare integralmente il modello bolscevico del partito come strumento centrale della rivoluzione. Tra il 1918 e il 1921, in diversi paesi europei, tra cui Ungheria, Austria, Polonia, Germania, Francia e Italia, i partiti comunisti si separarono dai partiti socialisti e socialdemocratici.</w:t>
      </w:r>
    </w:p>
    <w:p w14:paraId="522065F1" w14:textId="77777777" w:rsidR="002D03ED" w:rsidRPr="00DA696E" w:rsidRDefault="00000000">
      <w:pPr>
        <w:pStyle w:val="Titolo2"/>
        <w:rPr>
          <w:lang w:val="it-IT"/>
        </w:rPr>
      </w:pPr>
      <w:r w:rsidRPr="00DA696E">
        <w:rPr>
          <w:rFonts w:ascii="Calibri" w:eastAsia="Calibri" w:hAnsi="Calibri"/>
          <w:lang w:val="it-IT"/>
        </w:rPr>
        <w:t>L’esperimento sovietico ungherese e il terrore bianco</w:t>
      </w:r>
    </w:p>
    <w:p w14:paraId="3FF3ADCA" w14:textId="77777777" w:rsidR="002D03ED" w:rsidRPr="00DA696E" w:rsidRDefault="00000000">
      <w:pPr>
        <w:rPr>
          <w:lang w:val="it-IT"/>
        </w:rPr>
      </w:pPr>
      <w:r w:rsidRPr="00DA696E">
        <w:rPr>
          <w:lang w:val="it-IT"/>
        </w:rPr>
        <w:t>La Repubblica democratica ungherese, proclamata nel novembre 1918 dopo il crollo dell’impero austro-ungarico, fu il primo paese europeo a subire direttamente il contraccolpo della rivoluzione bolscevica. Nel marzo 1919 una grande mobilitazione operaia, con occupazioni di fabbriche e formazione di soviet, spinse i socialdemocratici a cedere alle pressioni dei comunisti. Nacque così la seconda repubblica sovietica europea dopo quella russa.</w:t>
      </w:r>
    </w:p>
    <w:p w14:paraId="025EE3B2" w14:textId="77777777" w:rsidR="002D03ED" w:rsidRPr="00DA696E" w:rsidRDefault="00000000">
      <w:pPr>
        <w:rPr>
          <w:lang w:val="it-IT"/>
        </w:rPr>
      </w:pPr>
      <w:r w:rsidRPr="00DA696E">
        <w:rPr>
          <w:lang w:val="it-IT"/>
        </w:rPr>
        <w:t>La figura principale fu Béla Kun, fondatore del Partito comunista ungherese ed esponente del Comintern. La scelta rivoluzionaria fu favorita dalla situazione drammatica del paese, che dopo l’armistizio aveva perso la propria integrità territoriale e subiva la pressione militare di cechi e rumeni.</w:t>
      </w:r>
    </w:p>
    <w:p w14:paraId="0D51D7D1" w14:textId="77777777" w:rsidR="002D03ED" w:rsidRPr="00DA696E" w:rsidRDefault="00000000">
      <w:pPr>
        <w:rPr>
          <w:lang w:val="it-IT"/>
        </w:rPr>
      </w:pPr>
      <w:r w:rsidRPr="00DA696E">
        <w:rPr>
          <w:lang w:val="it-IT"/>
        </w:rPr>
        <w:t>L’esperienza durò però solo 133 giorni. Nell’agosto 1919 fu abbattuta da un colpo di Stato dell’ammiraglio Miklós Horthy, sostenuto dalle truppe rumene e dall’appoggio francese e britannico. All’interno Horthy trovò il sostegno della Chiesa, dei grandi proprietari terrieri e di un forte movimento contadino contrario alla collettivizzazione delle terre. Il suo regime autoritario, destinato a durare fino alla Seconda guerra mondiale, scatenò contro gli oppositori una repressione brutale, chiamata “terrore bianco”.</w:t>
      </w:r>
    </w:p>
    <w:p w14:paraId="17D13097" w14:textId="77777777" w:rsidR="002D03ED" w:rsidRPr="00DA696E" w:rsidRDefault="00000000">
      <w:pPr>
        <w:pStyle w:val="Titolo2"/>
        <w:rPr>
          <w:lang w:val="it-IT"/>
        </w:rPr>
      </w:pPr>
      <w:r w:rsidRPr="00DA696E">
        <w:rPr>
          <w:rFonts w:ascii="Calibri" w:eastAsia="Calibri" w:hAnsi="Calibri"/>
          <w:lang w:val="it-IT"/>
        </w:rPr>
        <w:t>L’Austria repubblicana e la sconfitta della socialdemocrazia</w:t>
      </w:r>
    </w:p>
    <w:p w14:paraId="4F41DC26" w14:textId="77777777" w:rsidR="002D03ED" w:rsidRPr="00DA696E" w:rsidRDefault="00000000">
      <w:pPr>
        <w:rPr>
          <w:lang w:val="it-IT"/>
        </w:rPr>
      </w:pPr>
      <w:r w:rsidRPr="00DA696E">
        <w:rPr>
          <w:lang w:val="it-IT"/>
        </w:rPr>
        <w:t xml:space="preserve">Anche in Austria, dopo l’abdicazione e l’esilio dell’imperatore Carlo I d’Asburgo, nel novembre 1918 fu proclamata una repubblica democratica. Il Partito socialdemocratico, nato nel 1888 e di ispirazione marxista, era la forza politica dominante. Sotto la guida di Viktor Adler e Otto Bauer, i socialdemocratici riuscirono a contenere le forze più radicali e impedirono al Partito comunista </w:t>
      </w:r>
      <w:r w:rsidRPr="00DA696E">
        <w:rPr>
          <w:lang w:val="it-IT"/>
        </w:rPr>
        <w:lastRenderedPageBreak/>
        <w:t>di assumere un ruolo centrale. Per questo a Vienna non maturarono le condizioni per un esperimento sovietico simile a quello ungherese.</w:t>
      </w:r>
    </w:p>
    <w:p w14:paraId="2CA77D74" w14:textId="77777777" w:rsidR="002D03ED" w:rsidRPr="00DA696E" w:rsidRDefault="00000000">
      <w:pPr>
        <w:rPr>
          <w:lang w:val="it-IT"/>
        </w:rPr>
      </w:pPr>
      <w:r w:rsidRPr="00DA696E">
        <w:rPr>
          <w:lang w:val="it-IT"/>
        </w:rPr>
        <w:t>Anche in Austria, però, finirono per prevalere le forze conservatrici. Alle elezioni dell’ottobre 1920 i cristiano-sociali ottennero la maggioranza grazie soprattutto all’appoggio della Chiesa e al voto delle campagne. Si concluse così la breve stagione dell’austro-marxismo; i socialdemocratici conservarono solo il municipio di Vienna, loro principale roccaforte.</w:t>
      </w:r>
    </w:p>
    <w:p w14:paraId="30848CA1" w14:textId="77777777" w:rsidR="002D03ED" w:rsidRPr="00DA696E" w:rsidRDefault="00000000">
      <w:pPr>
        <w:pStyle w:val="Titolo2"/>
        <w:rPr>
          <w:lang w:val="it-IT"/>
        </w:rPr>
      </w:pPr>
      <w:r w:rsidRPr="00DA696E">
        <w:rPr>
          <w:rFonts w:ascii="Calibri" w:eastAsia="Calibri" w:hAnsi="Calibri"/>
          <w:lang w:val="it-IT"/>
        </w:rPr>
        <w:t>La Germania dalla fine dell’impero alla Repubblica di Weimar</w:t>
      </w:r>
    </w:p>
    <w:p w14:paraId="6813CCE2" w14:textId="77777777" w:rsidR="002D03ED" w:rsidRPr="00DA696E" w:rsidRDefault="00000000">
      <w:pPr>
        <w:rPr>
          <w:lang w:val="it-IT"/>
        </w:rPr>
      </w:pPr>
      <w:r w:rsidRPr="00DA696E">
        <w:rPr>
          <w:lang w:val="it-IT"/>
        </w:rPr>
        <w:t>Il passaggio più difficile dal vecchio al nuovo ordine politico avvenne in Germania. L’impero guglielmino si reggeva sulla figura del Kaiser e sulla tradizione del militarismo prussiano. La sconfitta nella Prima guerra mondiale travolse entrambi. Il 9 novembre 1918, di fronte al dilagare di fermenti rivoluzionari, Guglielmo II abdicò. Nello stesso giorno fu proclamata la repubblica e il socialdemocratico Friedrich Ebert divenne capo del governo provvisorio.</w:t>
      </w:r>
    </w:p>
    <w:p w14:paraId="5AA7F67B" w14:textId="77777777" w:rsidR="002D03ED" w:rsidRPr="00DA696E" w:rsidRDefault="00000000">
      <w:pPr>
        <w:rPr>
          <w:lang w:val="it-IT"/>
        </w:rPr>
      </w:pPr>
      <w:r w:rsidRPr="00DA696E">
        <w:rPr>
          <w:lang w:val="it-IT"/>
        </w:rPr>
        <w:t xml:space="preserve">La SPD appariva l’unica forza in grado di gestire la transizione e impedire una rivoluzione sul modello russo. </w:t>
      </w:r>
      <w:proofErr w:type="gramStart"/>
      <w:r w:rsidRPr="00DA696E">
        <w:rPr>
          <w:lang w:val="it-IT"/>
        </w:rPr>
        <w:t>Tuttavia</w:t>
      </w:r>
      <w:proofErr w:type="gramEnd"/>
      <w:r w:rsidRPr="00DA696E">
        <w:rPr>
          <w:lang w:val="it-IT"/>
        </w:rPr>
        <w:t xml:space="preserve"> era accusata da alcuni di corresponsabilità nella guerra, poiché nel 1914 aveva votato i crediti di guerra.</w:t>
      </w:r>
    </w:p>
    <w:p w14:paraId="78A7BA9A" w14:textId="77777777" w:rsidR="002D03ED" w:rsidRPr="00DA696E" w:rsidRDefault="00000000">
      <w:pPr>
        <w:pStyle w:val="Titolo2"/>
        <w:rPr>
          <w:lang w:val="it-IT"/>
        </w:rPr>
      </w:pPr>
      <w:r w:rsidRPr="00DA696E">
        <w:rPr>
          <w:rFonts w:ascii="Calibri" w:eastAsia="Calibri" w:hAnsi="Calibri"/>
          <w:lang w:val="it-IT"/>
        </w:rPr>
        <w:t>L’insurrezione spartachista e la repressione del gennaio 1919</w:t>
      </w:r>
    </w:p>
    <w:p w14:paraId="55AE91B1" w14:textId="77777777" w:rsidR="002D03ED" w:rsidRPr="00DA696E" w:rsidRDefault="00000000">
      <w:pPr>
        <w:rPr>
          <w:lang w:val="it-IT"/>
        </w:rPr>
      </w:pPr>
      <w:r w:rsidRPr="00DA696E">
        <w:rPr>
          <w:lang w:val="it-IT"/>
        </w:rPr>
        <w:t>La socialdemocrazia tedesca dovette subito affrontare l’opposizione comunista di ispirazione bolscevica. Il gruppo radicale più importante era la Lega di Spartaco, guidata da Karl Liebknecht e Rosa Luxemburg. Liebknecht proveniva dalla minoranza pacifista della SPD; Luxemburg, socialista polacca emigrata in Germania, sosteneva un marxismo libertario, distante dalla concezione leninista del partito come avanguardia rigidamente organizzata.</w:t>
      </w:r>
    </w:p>
    <w:p w14:paraId="251814EF" w14:textId="77777777" w:rsidR="002D03ED" w:rsidRPr="00DA696E" w:rsidRDefault="00000000">
      <w:pPr>
        <w:rPr>
          <w:lang w:val="it-IT"/>
        </w:rPr>
      </w:pPr>
      <w:r w:rsidRPr="00DA696E">
        <w:rPr>
          <w:lang w:val="it-IT"/>
        </w:rPr>
        <w:t xml:space="preserve">Nel gennaio 1919 gli spartachisti, confluiti nel Partito comunista tedesco, tentarono un’insurrezione popolare a Berlino, iniziata con uno sciopero generale. Il governo socialdemocratico rispose con durezza. Il commissario alla Difesa Gustav Noske utilizzò anche i </w:t>
      </w:r>
      <w:proofErr w:type="spellStart"/>
      <w:r w:rsidRPr="00DA696E">
        <w:rPr>
          <w:lang w:val="it-IT"/>
        </w:rPr>
        <w:t>Freikorps</w:t>
      </w:r>
      <w:proofErr w:type="spellEnd"/>
      <w:r w:rsidRPr="00DA696E">
        <w:rPr>
          <w:lang w:val="it-IT"/>
        </w:rPr>
        <w:t>, formazioni composte da truppe smobilitate e volontari guidati da ex ufficiali. La rivolta fu soffocata nel sangue: centinaia di comunisti furono fucilati nelle strade e il 15 gennaio vennero uccisi anche Rosa Luxemburg e Karl Liebknecht.</w:t>
      </w:r>
    </w:p>
    <w:p w14:paraId="27E7E24D" w14:textId="77777777" w:rsidR="002D03ED" w:rsidRPr="00DA696E" w:rsidRDefault="00000000">
      <w:pPr>
        <w:pStyle w:val="Titolo2"/>
        <w:rPr>
          <w:lang w:val="it-IT"/>
        </w:rPr>
      </w:pPr>
      <w:r w:rsidRPr="00DA696E">
        <w:rPr>
          <w:rFonts w:ascii="Calibri" w:eastAsia="Calibri" w:hAnsi="Calibri"/>
          <w:lang w:val="it-IT"/>
        </w:rPr>
        <w:t>La Costituzione di Weimar e l’ostilità della destra</w:t>
      </w:r>
    </w:p>
    <w:p w14:paraId="05E176C6" w14:textId="77777777" w:rsidR="002D03ED" w:rsidRPr="00DA696E" w:rsidRDefault="00000000">
      <w:pPr>
        <w:rPr>
          <w:lang w:val="it-IT"/>
        </w:rPr>
      </w:pPr>
      <w:r w:rsidRPr="00DA696E">
        <w:rPr>
          <w:lang w:val="it-IT"/>
        </w:rPr>
        <w:t>Alle elezioni del 19 gennaio 1919 la SPD risultò il primo partito, ma senza maggioranza assoluta. Ebert fu eletto presidente della Repubblica e i socialdemocratici formarono un governo di coalizione con il Partito cattolico del Centro e i liberal-democratici. L’Assemblea costituente si riunì nel febbraio 1919 e nell’agosto approvò la Costituzione di Weimar.</w:t>
      </w:r>
    </w:p>
    <w:p w14:paraId="35963264" w14:textId="77777777" w:rsidR="002D03ED" w:rsidRPr="00DA696E" w:rsidRDefault="00000000">
      <w:pPr>
        <w:rPr>
          <w:lang w:val="it-IT"/>
        </w:rPr>
      </w:pPr>
      <w:r w:rsidRPr="00DA696E">
        <w:rPr>
          <w:lang w:val="it-IT"/>
        </w:rPr>
        <w:lastRenderedPageBreak/>
        <w:t>La nuova carta instaurava un sistema democratico e federale, fondato sul potere legislativo del Reichstag e su un ruolo importante del presidente. Era molto avanzata per l’epoca: riconosceva il suffragio universale maschile e femminile, la centralità del Parlamento, il ruolo dei partiti nella partecipazione democratica e alcuni diritti sociali.</w:t>
      </w:r>
    </w:p>
    <w:p w14:paraId="5E180376" w14:textId="77777777" w:rsidR="002D03ED" w:rsidRPr="00DA696E" w:rsidRDefault="00000000">
      <w:pPr>
        <w:rPr>
          <w:lang w:val="it-IT"/>
        </w:rPr>
      </w:pPr>
      <w:r w:rsidRPr="00DA696E">
        <w:rPr>
          <w:lang w:val="it-IT"/>
        </w:rPr>
        <w:t>Proprio per questa rottura con l’autoritarismo germanico, la Costituzione fu osteggiata dalla destra tedesca, antiparlamentare, antidemocratica e antisocialista. La Repubblica di Weimar appariva ai conservatori e ai nazionalisti come una minaccia ai valori tradizionali della nazione. Il capitolo collega questa trasformazione politica anche a una stagione di grande fermento culturale: il Bauhaus, diretto da Walter Gropius, il cinema espressionista, il teatro e le arti d’avanguardia resero la Germania di Weimar un laboratorio culturale avanzato, ma destinato a essere poi attaccato dal nazismo come “arte degenerata”.</w:t>
      </w:r>
    </w:p>
    <w:p w14:paraId="5A49BD9A" w14:textId="77777777" w:rsidR="002D03ED" w:rsidRPr="00DA696E" w:rsidRDefault="00000000">
      <w:pPr>
        <w:pStyle w:val="Titolo2"/>
        <w:rPr>
          <w:lang w:val="it-IT"/>
        </w:rPr>
      </w:pPr>
      <w:r w:rsidRPr="00DA696E">
        <w:rPr>
          <w:rFonts w:ascii="Calibri" w:eastAsia="Calibri" w:hAnsi="Calibri"/>
          <w:lang w:val="it-IT"/>
        </w:rPr>
        <w:t>La “pugnalata alle spalle”, la violenza politica e la crisi della Ruhr</w:t>
      </w:r>
    </w:p>
    <w:p w14:paraId="59FBA0D3" w14:textId="77777777" w:rsidR="002D03ED" w:rsidRPr="00DA696E" w:rsidRDefault="00000000">
      <w:pPr>
        <w:rPr>
          <w:lang w:val="it-IT"/>
        </w:rPr>
      </w:pPr>
      <w:r w:rsidRPr="00DA696E">
        <w:rPr>
          <w:lang w:val="it-IT"/>
        </w:rPr>
        <w:t>La destra nazionalista contribuì a delegittimare la Repubblica diffondendo il mito della “pugnalata alle spalle”: secondo questa propaganda, l’esercito tedesco non sarebbe stato sconfitto militarmente, ma tradito dalle forze politiche che avevano poi dato vita alla Repubblica di Weimar. In questo modo repubblica e democrazia vennero associate a viltà e tradimento.</w:t>
      </w:r>
    </w:p>
    <w:p w14:paraId="25559D5D" w14:textId="77777777" w:rsidR="002D03ED" w:rsidRPr="00DA696E" w:rsidRDefault="00000000">
      <w:pPr>
        <w:rPr>
          <w:lang w:val="it-IT"/>
        </w:rPr>
      </w:pPr>
      <w:r w:rsidRPr="00DA696E">
        <w:rPr>
          <w:lang w:val="it-IT"/>
        </w:rPr>
        <w:t>Le tensioni aumentarono dopo l’accettazione delle riparazioni di guerra imposte da Francia e Gran Bretagna. La violenza politica divenne endemica: tra il 1919 e il 1922 l’estrema destra compì 376 assassinii politici, tra cui quelli del ministro delle Finanze Matthias Erzberger e del ministro degli Esteri Walter Rathenau. Tra il 1920 e il 1923 furono tentati vari putsch contro la repubblica, con il coinvolgimento di settori dell’esercito.</w:t>
      </w:r>
    </w:p>
    <w:p w14:paraId="6082C30A" w14:textId="77777777" w:rsidR="002D03ED" w:rsidRPr="00DA696E" w:rsidRDefault="00000000">
      <w:pPr>
        <w:rPr>
          <w:lang w:val="it-IT"/>
        </w:rPr>
      </w:pPr>
      <w:r w:rsidRPr="00DA696E">
        <w:rPr>
          <w:lang w:val="it-IT"/>
        </w:rPr>
        <w:t>Nel 1923 la crisi esplose con l’occupazione della Ruhr da parte di Francia e Belgio, giustificata dal mancato pagamento di una rata delle riparazioni. Il governo tedesco aumentò l’emissione di banconote e il marco crollò. Tra il 13 e il 20 novembre 1923 il cambio del dollaro passò da 840 a 4.200 milioni di marchi. I risparmi vennero polverizzati e i salari divorati dall’inflazione.</w:t>
      </w:r>
    </w:p>
    <w:p w14:paraId="138130B3" w14:textId="77777777" w:rsidR="002D03ED" w:rsidRPr="00DA696E" w:rsidRDefault="00000000">
      <w:pPr>
        <w:pStyle w:val="Titolo2"/>
        <w:rPr>
          <w:lang w:val="it-IT"/>
        </w:rPr>
      </w:pPr>
      <w:r w:rsidRPr="00DA696E">
        <w:rPr>
          <w:rFonts w:ascii="Calibri" w:eastAsia="Calibri" w:hAnsi="Calibri"/>
          <w:lang w:val="it-IT"/>
        </w:rPr>
        <w:t>Il putsch di Monaco e la risposta di Stresemann</w:t>
      </w:r>
    </w:p>
    <w:p w14:paraId="5E36033D" w14:textId="77777777" w:rsidR="002D03ED" w:rsidRPr="00DA696E" w:rsidRDefault="00000000">
      <w:pPr>
        <w:rPr>
          <w:lang w:val="it-IT"/>
        </w:rPr>
      </w:pPr>
      <w:r w:rsidRPr="00DA696E">
        <w:rPr>
          <w:lang w:val="it-IT"/>
        </w:rPr>
        <w:t>Nel clima di crisi del 1923 si mossero sia i comunisti sia l’estrema destra. Ad Amburgo i comunisti tentarono un moto insurrezionale. A Monaco, invece, il Partito nazionalsocialista dei lavoratori di Adolf Hitler organizzò un colpo di Stato. Il 9 novembre 1923, quinto anniversario della fine dell’impero, Hitler marciò con 3.000 uomini armati verso il ministero della Guerra, con l’obiettivo di rovesciare il governo bavarese e poi puntare su Berlino. Il putsch fallì. Hitler fu condannato a cinque anni di carcere, ma uscì dopo nove mesi, durante i quali scrisse il Mein Kampf.</w:t>
      </w:r>
    </w:p>
    <w:p w14:paraId="59272E8C" w14:textId="77777777" w:rsidR="002D03ED" w:rsidRPr="00DA696E" w:rsidRDefault="00000000">
      <w:pPr>
        <w:rPr>
          <w:lang w:val="it-IT"/>
        </w:rPr>
      </w:pPr>
      <w:r w:rsidRPr="00DA696E">
        <w:rPr>
          <w:lang w:val="it-IT"/>
        </w:rPr>
        <w:t xml:space="preserve">La classe dirigente repubblicana reagì con un governo di coalizione guidato da Gustav Stresemann, leader dei liberal-nazionali. Il governo, nato nell’agosto 1923, isolò gli estremismi, </w:t>
      </w:r>
      <w:r w:rsidRPr="00DA696E">
        <w:rPr>
          <w:lang w:val="it-IT"/>
        </w:rPr>
        <w:lastRenderedPageBreak/>
        <w:t xml:space="preserve">riaprì il dialogo con la Francia e avviò una politica economica rigorosa, fondata sul contenimento della spesa pubblica e sull’aumento delle imposte. Nel novembre 1923 fu introdotto il </w:t>
      </w:r>
      <w:proofErr w:type="spellStart"/>
      <w:r w:rsidRPr="00DA696E">
        <w:rPr>
          <w:lang w:val="it-IT"/>
        </w:rPr>
        <w:t>Rentenmark</w:t>
      </w:r>
      <w:proofErr w:type="spellEnd"/>
      <w:r w:rsidRPr="00DA696E">
        <w:rPr>
          <w:lang w:val="it-IT"/>
        </w:rPr>
        <w:t xml:space="preserve">, nuova moneta temporanea che sostituì il </w:t>
      </w:r>
      <w:proofErr w:type="spellStart"/>
      <w:r w:rsidRPr="00DA696E">
        <w:rPr>
          <w:lang w:val="it-IT"/>
        </w:rPr>
        <w:t>Papiermark</w:t>
      </w:r>
      <w:proofErr w:type="spellEnd"/>
      <w:r w:rsidRPr="00DA696E">
        <w:rPr>
          <w:lang w:val="it-IT"/>
        </w:rPr>
        <w:t xml:space="preserve"> ormai privo di valore e contribuì a fermare l’inflazione.</w:t>
      </w:r>
    </w:p>
    <w:p w14:paraId="4F31A692" w14:textId="77777777" w:rsidR="002D03ED" w:rsidRPr="00DA696E" w:rsidRDefault="00000000">
      <w:pPr>
        <w:pStyle w:val="Titolo2"/>
        <w:rPr>
          <w:lang w:val="it-IT"/>
        </w:rPr>
      </w:pPr>
      <w:r w:rsidRPr="00DA696E">
        <w:rPr>
          <w:rFonts w:ascii="Calibri" w:eastAsia="Calibri" w:hAnsi="Calibri"/>
          <w:lang w:val="it-IT"/>
        </w:rPr>
        <w:t>Il piano Dawes, Locarno e la stabilizzazione europea</w:t>
      </w:r>
    </w:p>
    <w:p w14:paraId="3ED01697" w14:textId="77777777" w:rsidR="002D03ED" w:rsidRPr="00DA696E" w:rsidRDefault="00000000">
      <w:pPr>
        <w:rPr>
          <w:lang w:val="it-IT"/>
        </w:rPr>
      </w:pPr>
      <w:r w:rsidRPr="00DA696E">
        <w:rPr>
          <w:lang w:val="it-IT"/>
        </w:rPr>
        <w:t>La crisi tedesca mostrò alle potenze vincitrici che il sistema delle riparazioni, così com’era stato concepito, non poteva funzionare e rischiava di consegnare la Germania agli estremismi. La soluzione arrivò dagli Stati Uniti. Nel 1924 il finanziere Charles G. Dawes propose un piano di prestiti a lunga scadenza alla Germania. I capitali americani avrebbero permesso alle imprese tedesche di riprendere la produzione; le esportazioni avrebbero garantito il pagamento delle riparazioni, a loro volta dilazionate. In questo modo anche gli Stati Uniti avrebbero potuto recuperare i crediti concessi a Francia e Gran Bretagna.</w:t>
      </w:r>
    </w:p>
    <w:p w14:paraId="4FFF79BE" w14:textId="77777777" w:rsidR="002D03ED" w:rsidRPr="00DA696E" w:rsidRDefault="00000000">
      <w:pPr>
        <w:rPr>
          <w:lang w:val="it-IT"/>
        </w:rPr>
      </w:pPr>
      <w:r w:rsidRPr="00DA696E">
        <w:rPr>
          <w:lang w:val="it-IT"/>
        </w:rPr>
        <w:t>La Germania si riprese rapidamente: il marco si rafforzò e gli investimenti stranieri, soprattutto americani, rilanciarono l’industria. La distensione franco-tedesca culminò nell’accordo di Locarno dell’ottobre 1925. Germania e Francia si impegnarono a non violare le frontiere stabilite a Versailles né quelle del Belgio, con Gran Bretagna e Italia nel ruolo di garanti. La Germania accettava la perdita di Alsazia e Lorena, mentre Stresemann e il ministro degli Esteri francese Aristide Briand inaugurarono una fase di rapporti più amichevoli. L’anno successivo la Germania fu ammessa alla Società delle Nazioni. L’Europa sembrava aver trovato un equilibrio dopo il travagliato dopoguerra.</w:t>
      </w:r>
    </w:p>
    <w:p w14:paraId="16EE5487" w14:textId="77777777" w:rsidR="002D03ED" w:rsidRPr="00DA696E" w:rsidRDefault="00000000">
      <w:pPr>
        <w:pStyle w:val="Titolo2"/>
        <w:rPr>
          <w:lang w:val="it-IT"/>
        </w:rPr>
      </w:pPr>
      <w:r w:rsidRPr="00DA696E">
        <w:rPr>
          <w:rFonts w:ascii="Calibri" w:eastAsia="Calibri" w:hAnsi="Calibri"/>
          <w:lang w:val="it-IT"/>
        </w:rPr>
        <w:t>L’Italia del dopoguerra: euforia, delusione e “vittoria mutilata”</w:t>
      </w:r>
    </w:p>
    <w:p w14:paraId="502D851A" w14:textId="77777777" w:rsidR="002D03ED" w:rsidRPr="00DA696E" w:rsidRDefault="00000000">
      <w:pPr>
        <w:rPr>
          <w:lang w:val="it-IT"/>
        </w:rPr>
      </w:pPr>
      <w:r w:rsidRPr="00DA696E">
        <w:rPr>
          <w:lang w:val="it-IT"/>
        </w:rPr>
        <w:t xml:space="preserve">Il 4 novembre 1918 l’Italia aveva celebrato da vincitrice la fine della guerra contro l’Austria. La vittoria sembrava completare il Risorgimento con l’annessione di Trento e Trieste e consacrare l’Italia come grande potenza. </w:t>
      </w:r>
      <w:proofErr w:type="gramStart"/>
      <w:r w:rsidRPr="00DA696E">
        <w:rPr>
          <w:lang w:val="it-IT"/>
        </w:rPr>
        <w:t>Tuttavia</w:t>
      </w:r>
      <w:proofErr w:type="gramEnd"/>
      <w:r w:rsidRPr="00DA696E">
        <w:rPr>
          <w:lang w:val="it-IT"/>
        </w:rPr>
        <w:t xml:space="preserve"> l’euforia durò poco. Alla conferenza di pace di Parigi l’azione diplomatica di Orlando e Sonnino fu debole e l’Italia venne relegata a un ruolo marginale.</w:t>
      </w:r>
    </w:p>
    <w:p w14:paraId="7D5809E9" w14:textId="77777777" w:rsidR="002D03ED" w:rsidRPr="00DA696E" w:rsidRDefault="00000000">
      <w:pPr>
        <w:rPr>
          <w:lang w:val="it-IT"/>
        </w:rPr>
      </w:pPr>
      <w:r w:rsidRPr="00DA696E">
        <w:rPr>
          <w:lang w:val="it-IT"/>
        </w:rPr>
        <w:t>La delusione riguardava soprattutto la Dalmazia, assegnata al Regno dei serbi, croati e sloveni in base al principio di nazionalità, e Fiume, città a maggioranza italiana ma non assegnata all’Italia. Gli interventisti del 1915, molti ex ufficiali e sottufficiali della piccola e media borghesia, faticavano a reinserirsi nella vita civile e ritenevano che i risultati ottenuti non compensassero il prezzo pagato in guerra.</w:t>
      </w:r>
    </w:p>
    <w:p w14:paraId="35813D2F" w14:textId="77777777" w:rsidR="002D03ED" w:rsidRPr="00DA696E" w:rsidRDefault="00000000">
      <w:pPr>
        <w:rPr>
          <w:lang w:val="it-IT"/>
        </w:rPr>
      </w:pPr>
      <w:r w:rsidRPr="00DA696E">
        <w:rPr>
          <w:lang w:val="it-IT"/>
        </w:rPr>
        <w:t xml:space="preserve">Gabriele D’Annunzio diede voce a questo malcontento, sostenendo nella primavera del 1919 che la Dalmazia apparteneva all’Italia “per diritto divino ed umano” e coniando lo slogan della “vittoria mutilata”. Il capitolo precisa che questa formula era discutibile sul piano fattuale, perché l’Italia aveva comunque ottenuto buona parte di quanto promesso nel 1915 e aveva </w:t>
      </w:r>
      <w:r w:rsidRPr="00DA696E">
        <w:rPr>
          <w:lang w:val="it-IT"/>
        </w:rPr>
        <w:lastRenderedPageBreak/>
        <w:t xml:space="preserve">ampliato il proprio territorio di circa 15.000 chilometri quadrati. </w:t>
      </w:r>
      <w:proofErr w:type="gramStart"/>
      <w:r w:rsidRPr="00DA696E">
        <w:rPr>
          <w:lang w:val="it-IT"/>
        </w:rPr>
        <w:t>Tuttavia</w:t>
      </w:r>
      <w:proofErr w:type="gramEnd"/>
      <w:r w:rsidRPr="00DA696E">
        <w:rPr>
          <w:lang w:val="it-IT"/>
        </w:rPr>
        <w:t xml:space="preserve"> lo slogan ebbe enorme successo negli ambienti nazionalisti e intellettuali, arrivando a influenzare anche settori liberali.</w:t>
      </w:r>
    </w:p>
    <w:p w14:paraId="3A15128F" w14:textId="77777777" w:rsidR="002D03ED" w:rsidRPr="00DA696E" w:rsidRDefault="00000000">
      <w:pPr>
        <w:pStyle w:val="Titolo2"/>
        <w:rPr>
          <w:lang w:val="it-IT"/>
        </w:rPr>
      </w:pPr>
      <w:r w:rsidRPr="00DA696E">
        <w:rPr>
          <w:rFonts w:ascii="Calibri" w:eastAsia="Calibri" w:hAnsi="Calibri"/>
          <w:lang w:val="it-IT"/>
        </w:rPr>
        <w:t>L’impresa di Fiume e il modello politico dannunziano</w:t>
      </w:r>
    </w:p>
    <w:p w14:paraId="5575D3A9" w14:textId="77777777" w:rsidR="002D03ED" w:rsidRPr="00DA696E" w:rsidRDefault="00000000">
      <w:pPr>
        <w:rPr>
          <w:lang w:val="it-IT"/>
        </w:rPr>
      </w:pPr>
      <w:r w:rsidRPr="00DA696E">
        <w:rPr>
          <w:lang w:val="it-IT"/>
        </w:rPr>
        <w:t>L’11 settembre 1919 D’Annunzio riunì a Ronchi gruppi di ex combattenti, volontari e reparti ribelli dell’esercito e marciò su Fiume, allora sotto occupazione interalleata. Con un colpo di mano instaurò una “reggenza” provvisoria che avrebbe dovuto preparare l’annessione all’Italia. Il governo italiano prese ufficialmente le distanze, ma non intervenne subito, assumendo un atteggiamento ambiguo che danneggiò ulteriormente l’autorevolezza della classe dirigente liberale.</w:t>
      </w:r>
    </w:p>
    <w:p w14:paraId="2445E0D3" w14:textId="77777777" w:rsidR="002D03ED" w:rsidRPr="00DA696E" w:rsidRDefault="00000000">
      <w:pPr>
        <w:rPr>
          <w:lang w:val="it-IT"/>
        </w:rPr>
      </w:pPr>
      <w:r w:rsidRPr="00DA696E">
        <w:rPr>
          <w:lang w:val="it-IT"/>
        </w:rPr>
        <w:t>Nel 1920 D’Annunzio proclamò la Reggenza italiana del Carnaro. La carta costituzionale dell’8 settembre 1920 rifletteva l’eterogeneità dei legionari fiumani: nazionalismo, retaggi garibaldini, irredentismo, interventismo di sinistra, sindacalismo rivoluzionario e persino elementi anarchici. Ciò che li univa era l’avversione verso la democrazia liberale, il parlamentarismo e la mentalità borghese. Il capitolo sottolinea che questo insieme di atteggiamenti avrebbe trovato nel fascismo uno sbocco più consistente. Mussolini guardò infatti con simpatia all’impresa e dal “Popolo d’Italia” lanciò una raccolta fondi per i legionari.</w:t>
      </w:r>
    </w:p>
    <w:p w14:paraId="27CEBDBE" w14:textId="77777777" w:rsidR="002D03ED" w:rsidRPr="00DA696E" w:rsidRDefault="00000000">
      <w:pPr>
        <w:rPr>
          <w:lang w:val="it-IT"/>
        </w:rPr>
      </w:pPr>
      <w:r w:rsidRPr="00DA696E">
        <w:rPr>
          <w:lang w:val="it-IT"/>
        </w:rPr>
        <w:t>Il riquadro sulla comunicazione politica collega l’esperienza fiumana alla futura propaganda fascista: D’Annunzio perfezionò discorsi dal balcone, rituali, simboli e liturgie politiche che Mussolini avrebbe poi imitato nelle adunate di massa.</w:t>
      </w:r>
    </w:p>
    <w:p w14:paraId="4151F99D" w14:textId="77777777" w:rsidR="002D03ED" w:rsidRPr="00DA696E" w:rsidRDefault="00000000">
      <w:pPr>
        <w:pStyle w:val="Titolo2"/>
        <w:rPr>
          <w:lang w:val="it-IT"/>
        </w:rPr>
      </w:pPr>
      <w:r w:rsidRPr="00DA696E">
        <w:rPr>
          <w:rFonts w:ascii="Calibri" w:eastAsia="Calibri" w:hAnsi="Calibri"/>
          <w:lang w:val="it-IT"/>
        </w:rPr>
        <w:t>La crisi economica e sociale italiana</w:t>
      </w:r>
    </w:p>
    <w:p w14:paraId="00E1E2D7" w14:textId="77777777" w:rsidR="002D03ED" w:rsidRPr="00DA696E" w:rsidRDefault="00000000">
      <w:pPr>
        <w:rPr>
          <w:lang w:val="it-IT"/>
        </w:rPr>
      </w:pPr>
      <w:r w:rsidRPr="00DA696E">
        <w:rPr>
          <w:lang w:val="it-IT"/>
        </w:rPr>
        <w:t>La situazione interna italiana era molto grave. Il paese usciva dalla guerra economicamente stremato, indebitato con gli ex alleati e colpito da centinaia di migliaia di morti, ai quali si aggiunsero le vittime dell’influenza spagnola. La smobilitazione dei soldati fece salire la disoccupazione a due milioni di persone nel 1919. L’industria, cresciuta durante la guerra in regime di privilegio, doveva essere riconvertita alla produzione di pace.</w:t>
      </w:r>
    </w:p>
    <w:p w14:paraId="74C80DAC" w14:textId="77777777" w:rsidR="002D03ED" w:rsidRPr="00DA696E" w:rsidRDefault="00000000">
      <w:pPr>
        <w:rPr>
          <w:lang w:val="it-IT"/>
        </w:rPr>
      </w:pPr>
      <w:r w:rsidRPr="00DA696E">
        <w:rPr>
          <w:lang w:val="it-IT"/>
        </w:rPr>
        <w:t>L’inflazione colpiva soprattutto ceti medi e piccoli risparmiatori. Il bilancio statale era in grave deficit e il debito pubblico aumentava di circa un miliardo all’anno. Il divario sociale era cresciuto: da un lato vi erano coloro che si erano arricchiti con la guerra, come fornitori dello Stato e grandi agricoltori; dall’altro operai, contadini e reduci, che avevano sostenuto i sacrifici maggiori e chiedevano risarcimenti materiali e sociali.</w:t>
      </w:r>
    </w:p>
    <w:p w14:paraId="39C168D6" w14:textId="77777777" w:rsidR="002D03ED" w:rsidRPr="00DA696E" w:rsidRDefault="00000000">
      <w:pPr>
        <w:rPr>
          <w:lang w:val="it-IT"/>
        </w:rPr>
      </w:pPr>
      <w:r w:rsidRPr="00DA696E">
        <w:rPr>
          <w:lang w:val="it-IT"/>
        </w:rPr>
        <w:t xml:space="preserve">Molti soldati rientrati dal fronte erano contadini a cui erano state promesse terre mai distribuite. </w:t>
      </w:r>
      <w:proofErr w:type="gramStart"/>
      <w:r w:rsidRPr="00DA696E">
        <w:rPr>
          <w:lang w:val="it-IT"/>
        </w:rPr>
        <w:t>Inoltre</w:t>
      </w:r>
      <w:proofErr w:type="gramEnd"/>
      <w:r w:rsidRPr="00DA696E">
        <w:rPr>
          <w:lang w:val="it-IT"/>
        </w:rPr>
        <w:t xml:space="preserve"> la guerra e la </w:t>
      </w:r>
      <w:proofErr w:type="gramStart"/>
      <w:r w:rsidRPr="00DA696E">
        <w:rPr>
          <w:lang w:val="it-IT"/>
        </w:rPr>
        <w:t>rivoluzione russa</w:t>
      </w:r>
      <w:proofErr w:type="gramEnd"/>
      <w:r w:rsidRPr="00DA696E">
        <w:rPr>
          <w:lang w:val="it-IT"/>
        </w:rPr>
        <w:t xml:space="preserve"> avevano alimentato in tutte le classi sociali la convinzione di trovarsi all’inizio di una nuova epoca. Nel proletariato cresceva la speranza rivoluzionaria; nella borghesia aumentava il timore del bolscevismo.</w:t>
      </w:r>
    </w:p>
    <w:p w14:paraId="4BDFA798" w14:textId="77777777" w:rsidR="002D03ED" w:rsidRPr="00DA696E" w:rsidRDefault="00000000">
      <w:pPr>
        <w:pStyle w:val="Titolo2"/>
        <w:rPr>
          <w:lang w:val="it-IT"/>
        </w:rPr>
      </w:pPr>
      <w:r w:rsidRPr="00DA696E">
        <w:rPr>
          <w:rFonts w:ascii="Calibri" w:eastAsia="Calibri" w:hAnsi="Calibri"/>
          <w:lang w:val="it-IT"/>
        </w:rPr>
        <w:lastRenderedPageBreak/>
        <w:t>Il biennio rosso nelle campagne</w:t>
      </w:r>
    </w:p>
    <w:p w14:paraId="5E2D417E" w14:textId="77777777" w:rsidR="002D03ED" w:rsidRPr="00DA696E" w:rsidRDefault="00000000">
      <w:pPr>
        <w:rPr>
          <w:lang w:val="it-IT"/>
        </w:rPr>
      </w:pPr>
      <w:r w:rsidRPr="00DA696E">
        <w:rPr>
          <w:lang w:val="it-IT"/>
        </w:rPr>
        <w:t>Tra il 1919 e il 1920 l’Italia fu attraversata da una lunga stagione di proteste, definita “biennio rosso”. Le agitazioni coinvolsero sia le città sia le campagne. Nel Nord, soprattutto nelle campagne padane, le leghe bracciantili avviarono un duro scontro con i proprietari terrieri. Attraverso scioperi e boicottaggi ottennero alcune conquiste importanti, come l’imponibile di manodopera, cioè l’obbligo di impiegare un numero minimo di lavoratori anche nelle stagioni morte, e le liste di collocamento, con cui le leghe decidevano chi dovesse essere assunto per distribuire più equamente le giornate lavorative.</w:t>
      </w:r>
    </w:p>
    <w:p w14:paraId="09365F5C" w14:textId="77777777" w:rsidR="002D03ED" w:rsidRPr="00DA696E" w:rsidRDefault="00000000">
      <w:pPr>
        <w:rPr>
          <w:lang w:val="it-IT"/>
        </w:rPr>
      </w:pPr>
      <w:r w:rsidRPr="00DA696E">
        <w:rPr>
          <w:lang w:val="it-IT"/>
        </w:rPr>
        <w:t>Nel Mezzogiorno la protesta assunse forme diverse. Dove prevalevano ancora i latifondi, i contadini senza terra occuparono terre incolte, mossi dall’antica aspirazione a diventare piccoli proprietari. In assenza di sindacati forti, queste azioni furono spesso organizzate da associazioni di ex combattenti.</w:t>
      </w:r>
    </w:p>
    <w:p w14:paraId="05F50512" w14:textId="77777777" w:rsidR="002D03ED" w:rsidRPr="00DA696E" w:rsidRDefault="00000000">
      <w:pPr>
        <w:pStyle w:val="Titolo2"/>
        <w:rPr>
          <w:lang w:val="it-IT"/>
        </w:rPr>
      </w:pPr>
      <w:r w:rsidRPr="00DA696E">
        <w:rPr>
          <w:rFonts w:ascii="Calibri" w:eastAsia="Calibri" w:hAnsi="Calibri"/>
          <w:lang w:val="it-IT"/>
        </w:rPr>
        <w:t>Le agitazioni operaie e l’occupazione delle fabbriche</w:t>
      </w:r>
    </w:p>
    <w:p w14:paraId="23D0434E" w14:textId="77777777" w:rsidR="002D03ED" w:rsidRPr="00DA696E" w:rsidRDefault="00000000">
      <w:pPr>
        <w:rPr>
          <w:lang w:val="it-IT"/>
        </w:rPr>
      </w:pPr>
      <w:r w:rsidRPr="00DA696E">
        <w:rPr>
          <w:lang w:val="it-IT"/>
        </w:rPr>
        <w:t>Anche le città furono attraversate da un’ondata di scioperi, iniziati nella primavera del 1919 contro il carovita e poi spostatisi nelle fabbriche, in particolare nelle industrie meccaniche e metallurgiche del Nord. Nel settembre 1920 la mobilitazione degli operai metalmeccanici sembrò il preludio di una rivoluzione.</w:t>
      </w:r>
    </w:p>
    <w:p w14:paraId="07B2D0EB" w14:textId="77777777" w:rsidR="002D03ED" w:rsidRPr="00DA696E" w:rsidRDefault="00000000">
      <w:pPr>
        <w:rPr>
          <w:lang w:val="it-IT"/>
        </w:rPr>
      </w:pPr>
      <w:r w:rsidRPr="00DA696E">
        <w:rPr>
          <w:lang w:val="it-IT"/>
        </w:rPr>
        <w:t>La causa immediata fu una vertenza sindacale: la FIOM chiese il rinnovo dei contratti di lavoro; gli imprenditori rifiutarono; gli operai risposero con l’ostruzionismo, rallentando la produzione. Quando un’impresa milanese chiuse gli stabilimenti con una serrata, il sindacato proclamò l’occupazione delle fabbriche. Gli operai presero possesso degli impianti, li presidiarono con le armi e organizzarono autonomamente il lavoro. Il movimento si diffuse nei principali complessi industriali del Nord e coinvolse circa 400.000 lavoratori.</w:t>
      </w:r>
    </w:p>
    <w:p w14:paraId="72058915" w14:textId="77777777" w:rsidR="002D03ED" w:rsidRPr="00DA696E" w:rsidRDefault="00000000">
      <w:pPr>
        <w:rPr>
          <w:lang w:val="it-IT"/>
        </w:rPr>
      </w:pPr>
      <w:r w:rsidRPr="00DA696E">
        <w:rPr>
          <w:lang w:val="it-IT"/>
        </w:rPr>
        <w:t>Il problema non riguardava soltanto salari o orari, anche perché un accordo del 1919 aveva già fissato la giornata lavorativa a otto ore. La questione centrale era chi dovesse esercitare il potere nella fabbrica. I Consigli di fabbrica, sorti nel dopoguerra e diffusi soprattutto nel triangolo industriale Torino-Milano-Genova, erano eletti dai lavoratori e prendevano a modello i soviet russi. Si consideravano avanguardie rivoluzionarie e nuclei della futura organizzazione politica ed economica dello Stato.</w:t>
      </w:r>
    </w:p>
    <w:p w14:paraId="5968CFEE" w14:textId="77777777" w:rsidR="002D03ED" w:rsidRPr="00DA696E" w:rsidRDefault="00000000">
      <w:pPr>
        <w:rPr>
          <w:lang w:val="it-IT"/>
        </w:rPr>
      </w:pPr>
      <w:r w:rsidRPr="00DA696E">
        <w:rPr>
          <w:lang w:val="it-IT"/>
        </w:rPr>
        <w:t xml:space="preserve">Attorno a questa prospettiva si sviluppò la rivista “L’Ordine Nuovo”, fondata nel 1919 da Antonio Gramsci e da altri giovani intellettuali socialisti. Essa divenne la voce dell’ala rivoluzionaria dell’occupazione. La </w:t>
      </w:r>
      <w:proofErr w:type="spellStart"/>
      <w:r w:rsidRPr="00DA696E">
        <w:rPr>
          <w:lang w:val="it-IT"/>
        </w:rPr>
        <w:t>CGdL</w:t>
      </w:r>
      <w:proofErr w:type="spellEnd"/>
      <w:r w:rsidRPr="00DA696E">
        <w:rPr>
          <w:lang w:val="it-IT"/>
        </w:rPr>
        <w:t>, invece, rappresentava la linea riformista e puntava soprattutto al miglioramento delle condizioni contrattuali.</w:t>
      </w:r>
    </w:p>
    <w:p w14:paraId="24FDCD7B" w14:textId="77777777" w:rsidR="002D03ED" w:rsidRPr="00DA696E" w:rsidRDefault="00000000">
      <w:pPr>
        <w:pStyle w:val="Titolo2"/>
        <w:rPr>
          <w:lang w:val="it-IT"/>
        </w:rPr>
      </w:pPr>
      <w:r w:rsidRPr="00DA696E">
        <w:rPr>
          <w:rFonts w:ascii="Calibri" w:eastAsia="Calibri" w:hAnsi="Calibri"/>
          <w:lang w:val="it-IT"/>
        </w:rPr>
        <w:lastRenderedPageBreak/>
        <w:t>La crisi della leadership liberale e le elezioni del 1919</w:t>
      </w:r>
    </w:p>
    <w:p w14:paraId="37C0B05D" w14:textId="77777777" w:rsidR="002D03ED" w:rsidRPr="00DA696E" w:rsidRDefault="00000000">
      <w:pPr>
        <w:rPr>
          <w:lang w:val="it-IT"/>
        </w:rPr>
      </w:pPr>
      <w:r w:rsidRPr="00DA696E">
        <w:rPr>
          <w:lang w:val="it-IT"/>
        </w:rPr>
        <w:t>Nel giugno 1919 Vittorio Emanuele Orlando perse la fiducia della Camera per la debolezza mostrata nelle trattative di pace e fu sostituito da Francesco Saverio Nitti. Il 16 novembre 1919, sotto il governo Nitti, si svolsero nuove elezioni politiche a suffragio universale maschile e per la prima volta con il sistema proporzionale.</w:t>
      </w:r>
    </w:p>
    <w:p w14:paraId="763AC0F7" w14:textId="77777777" w:rsidR="002D03ED" w:rsidRPr="00DA696E" w:rsidRDefault="00000000">
      <w:pPr>
        <w:rPr>
          <w:lang w:val="it-IT"/>
        </w:rPr>
      </w:pPr>
      <w:r w:rsidRPr="00DA696E">
        <w:rPr>
          <w:lang w:val="it-IT"/>
        </w:rPr>
        <w:t xml:space="preserve">Il risultato segnò l’affermazione dei partiti di massa. Il Partito socialista ottenne il 32,3% dei voti e 156 seggi, diventando il primo partito d’Italia, con consensi concentrati soprattutto nel Centro-Nord. Il Partito popolare italiano, fondato nel gennaio 1919 dal sacerdote siciliano Luigi Sturzo, ottenne il 20,5% dei voti e 100 deputati. Il PPI proponeva una politica cattolico-sociale attenta al mondo rurale e ottenne consensi anche tra i contadini del Sud. Pur formalmente aconfessionale, segnò il superamento del non </w:t>
      </w:r>
      <w:proofErr w:type="spellStart"/>
      <w:r w:rsidRPr="00DA696E">
        <w:rPr>
          <w:lang w:val="it-IT"/>
        </w:rPr>
        <w:t>expedit</w:t>
      </w:r>
      <w:proofErr w:type="spellEnd"/>
      <w:r w:rsidRPr="00DA696E">
        <w:rPr>
          <w:lang w:val="it-IT"/>
        </w:rPr>
        <w:t>, consentendo ai cattolici una partecipazione politica diretta.</w:t>
      </w:r>
    </w:p>
    <w:p w14:paraId="4709B41F" w14:textId="77777777" w:rsidR="002D03ED" w:rsidRPr="00DA696E" w:rsidRDefault="00000000">
      <w:pPr>
        <w:rPr>
          <w:lang w:val="it-IT"/>
        </w:rPr>
      </w:pPr>
      <w:r w:rsidRPr="00DA696E">
        <w:rPr>
          <w:lang w:val="it-IT"/>
        </w:rPr>
        <w:t>I liberali, divisi in vari raggruppamenti, subirono una grave sconfitta: passarono da oltre 300 seggi nel 1913 a 197 su 508, perdendo per la prima volta la maggioranza assoluta. Il vecchio sistema politico liberale, basato su notabili locali e reti personali di consenso, risultava inadatto alla politica di massa del dopoguerra.</w:t>
      </w:r>
    </w:p>
    <w:p w14:paraId="5A4FF4C8" w14:textId="77777777" w:rsidR="002D03ED" w:rsidRPr="00DA696E" w:rsidRDefault="00000000">
      <w:pPr>
        <w:pStyle w:val="Titolo2"/>
        <w:rPr>
          <w:lang w:val="it-IT"/>
        </w:rPr>
      </w:pPr>
      <w:r w:rsidRPr="00DA696E">
        <w:rPr>
          <w:rFonts w:ascii="Calibri" w:eastAsia="Calibri" w:hAnsi="Calibri"/>
          <w:lang w:val="it-IT"/>
        </w:rPr>
        <w:t>Il ritorno di Giolitti e il programma riformista</w:t>
      </w:r>
    </w:p>
    <w:p w14:paraId="486E8F99" w14:textId="77777777" w:rsidR="002D03ED" w:rsidRPr="00DA696E" w:rsidRDefault="00000000">
      <w:pPr>
        <w:rPr>
          <w:lang w:val="it-IT"/>
        </w:rPr>
      </w:pPr>
      <w:r w:rsidRPr="00DA696E">
        <w:rPr>
          <w:lang w:val="it-IT"/>
        </w:rPr>
        <w:t>Nitti riuscì a governare ancora per pochi mesi con l’appoggio del Partito popolare, ma nel giugno 1920 fu costretto a dimettersi. La classe dirigente liberale richiamò allora Giovanni Giolitti, considerato capace di ristabilire l’autorità dello Stato, ridurre le tensioni sociali e gestire i nuovi equilibri politici.</w:t>
      </w:r>
    </w:p>
    <w:p w14:paraId="5487AC7C" w14:textId="77777777" w:rsidR="002D03ED" w:rsidRPr="00DA696E" w:rsidRDefault="00000000">
      <w:pPr>
        <w:rPr>
          <w:lang w:val="it-IT"/>
        </w:rPr>
      </w:pPr>
      <w:r w:rsidRPr="00DA696E">
        <w:rPr>
          <w:lang w:val="it-IT"/>
        </w:rPr>
        <w:t>Il quinto governo Giolitti, sostenuto da tutti i gruppi parlamentari tranne i socialisti, avviò un programma di risanamento economico e redistribuzione del reddito. Le misure principali furono la nominatività dei titoli azionari, per tassare le plusvalenze; un’imposta straordinaria sui sovrapprofitti dell’industria bellica; l’aumento della progressività delle imposte di successione. Giolitti abolì inoltre il prezzo politico del pane, che i governi precedenti avevano mantenuto per paura delle proteste ma che minacciava il bilancio statale.</w:t>
      </w:r>
    </w:p>
    <w:p w14:paraId="73F0EAF5" w14:textId="77777777" w:rsidR="002D03ED" w:rsidRPr="00DA696E" w:rsidRDefault="00000000">
      <w:pPr>
        <w:pStyle w:val="Titolo2"/>
        <w:rPr>
          <w:lang w:val="it-IT"/>
        </w:rPr>
      </w:pPr>
      <w:r w:rsidRPr="00DA696E">
        <w:rPr>
          <w:rFonts w:ascii="Calibri" w:eastAsia="Calibri" w:hAnsi="Calibri"/>
          <w:lang w:val="it-IT"/>
        </w:rPr>
        <w:t>La fine dell’occupazione delle fabbriche</w:t>
      </w:r>
    </w:p>
    <w:p w14:paraId="7C72B801" w14:textId="77777777" w:rsidR="002D03ED" w:rsidRPr="00DA696E" w:rsidRDefault="00000000">
      <w:pPr>
        <w:rPr>
          <w:lang w:val="it-IT"/>
        </w:rPr>
      </w:pPr>
      <w:r w:rsidRPr="00DA696E">
        <w:rPr>
          <w:lang w:val="it-IT"/>
        </w:rPr>
        <w:t xml:space="preserve">Di fronte all’occupazione delle fabbriche, Giolitti riprese la sua tradizionale tattica riformista e mediatrice: evitare lo scontro frontale e lasciare che il movimento si esaurisse gradualmente. Fece pressione sia sulla </w:t>
      </w:r>
      <w:proofErr w:type="spellStart"/>
      <w:r w:rsidRPr="00DA696E">
        <w:rPr>
          <w:lang w:val="it-IT"/>
        </w:rPr>
        <w:t>CGdL</w:t>
      </w:r>
      <w:proofErr w:type="spellEnd"/>
      <w:r w:rsidRPr="00DA696E">
        <w:rPr>
          <w:lang w:val="it-IT"/>
        </w:rPr>
        <w:t xml:space="preserve"> sia sugli industriali. Riuscì così a evitare che il sindacato trasformasse l’occupazione in rivoluzione e convinse gli imprenditori a concedere aumenti salariali e un parziale controllo della produzione ai rappresentanti dei lavoratori.</w:t>
      </w:r>
    </w:p>
    <w:p w14:paraId="5809FA12" w14:textId="77777777" w:rsidR="002D03ED" w:rsidRPr="00DA696E" w:rsidRDefault="00000000">
      <w:pPr>
        <w:rPr>
          <w:lang w:val="it-IT"/>
        </w:rPr>
      </w:pPr>
      <w:r w:rsidRPr="00DA696E">
        <w:rPr>
          <w:lang w:val="it-IT"/>
        </w:rPr>
        <w:lastRenderedPageBreak/>
        <w:t xml:space="preserve">L’accordo del 27 settembre 1920 isolò i nuclei operai più radicali e portò allo sgombero degli stabilimenti. Il riquadro sull’occupazione delle fabbriche sottolinea che, durante quelle settimane, gli operai non fermarono la produzione ma tentarono di organizzare un sistema di gestione operaia, come avvenne alla FIAT di Torino. </w:t>
      </w:r>
      <w:proofErr w:type="gramStart"/>
      <w:r w:rsidRPr="00DA696E">
        <w:rPr>
          <w:lang w:val="it-IT"/>
        </w:rPr>
        <w:t>Tuttavia</w:t>
      </w:r>
      <w:proofErr w:type="gramEnd"/>
      <w:r w:rsidRPr="00DA696E">
        <w:rPr>
          <w:lang w:val="it-IT"/>
        </w:rPr>
        <w:t xml:space="preserve"> l’esperienza ebbe vita breve perché la </w:t>
      </w:r>
      <w:proofErr w:type="spellStart"/>
      <w:r w:rsidRPr="00DA696E">
        <w:rPr>
          <w:lang w:val="it-IT"/>
        </w:rPr>
        <w:t>CGdL</w:t>
      </w:r>
      <w:proofErr w:type="spellEnd"/>
      <w:r w:rsidRPr="00DA696E">
        <w:rPr>
          <w:lang w:val="it-IT"/>
        </w:rPr>
        <w:t xml:space="preserve"> rinunciò a trasformarla nell’inizio di un movimento rivoluzionario più ampio.</w:t>
      </w:r>
    </w:p>
    <w:p w14:paraId="11CB5A2F" w14:textId="77777777" w:rsidR="002D03ED" w:rsidRPr="00DA696E" w:rsidRDefault="00000000">
      <w:pPr>
        <w:pStyle w:val="Titolo2"/>
        <w:rPr>
          <w:lang w:val="it-IT"/>
        </w:rPr>
      </w:pPr>
      <w:r w:rsidRPr="00DA696E">
        <w:rPr>
          <w:rFonts w:ascii="Calibri" w:eastAsia="Calibri" w:hAnsi="Calibri"/>
          <w:lang w:val="it-IT"/>
        </w:rPr>
        <w:t>Il trattato di Rapallo e la fine dell’occupazione di Fiume</w:t>
      </w:r>
    </w:p>
    <w:p w14:paraId="414F8827" w14:textId="77777777" w:rsidR="002D03ED" w:rsidRPr="00DA696E" w:rsidRDefault="00000000">
      <w:pPr>
        <w:rPr>
          <w:lang w:val="it-IT"/>
        </w:rPr>
      </w:pPr>
      <w:r w:rsidRPr="00DA696E">
        <w:rPr>
          <w:lang w:val="it-IT"/>
        </w:rPr>
        <w:t>Giolitti affrontò anche la questione di Fiume, aperta da un anno. Nel novembre 1920 concluse con il Regno dei serbi, croati e sloveni il trattato di Rapallo. L’Italia rinunciava alla Dalmazia, ma conservava l’Istria e la città di Zara; Fiume diventava città-Stato indipendente. La carta geografica del capitolo evidenzia proprio questa sistemazione: Istria e Zara all’Italia, Dalmazia al Regno dei serbi, croati e sloveni, Fiume città libera.</w:t>
      </w:r>
    </w:p>
    <w:p w14:paraId="23271A29" w14:textId="77777777" w:rsidR="002D03ED" w:rsidRPr="00DA696E" w:rsidRDefault="00000000">
      <w:pPr>
        <w:rPr>
          <w:lang w:val="it-IT"/>
        </w:rPr>
      </w:pPr>
      <w:r w:rsidRPr="00DA696E">
        <w:rPr>
          <w:lang w:val="it-IT"/>
        </w:rPr>
        <w:t>D’Annunzio rifiutò l’accordo e proclamò la resistenza a oltranza. Giolitti fece intervenire l’esercito nel dicembre 1920, durante il cosiddetto “Natale di sangue”, ponendo fine all’avventura dei legionari fiumani. Successivamente, con il trattato di Roma del 27 gennaio 1924, il nucleo storico di Fiume e un tratto di costa furono assegnati all’Italia.</w:t>
      </w:r>
    </w:p>
    <w:p w14:paraId="2E235024" w14:textId="77777777" w:rsidR="002D03ED" w:rsidRPr="00DA696E" w:rsidRDefault="00000000">
      <w:pPr>
        <w:pStyle w:val="Titolo2"/>
        <w:rPr>
          <w:lang w:val="it-IT"/>
        </w:rPr>
      </w:pPr>
      <w:r w:rsidRPr="00DA696E">
        <w:rPr>
          <w:rFonts w:ascii="Calibri" w:eastAsia="Calibri" w:hAnsi="Calibri"/>
          <w:lang w:val="it-IT"/>
        </w:rPr>
        <w:t>Il massimalismo socialista e la nascita del Partito comunista d’Italia</w:t>
      </w:r>
    </w:p>
    <w:p w14:paraId="1BC6463A" w14:textId="77777777" w:rsidR="002D03ED" w:rsidRPr="00DA696E" w:rsidRDefault="00000000">
      <w:pPr>
        <w:rPr>
          <w:lang w:val="it-IT"/>
        </w:rPr>
      </w:pPr>
      <w:r w:rsidRPr="00DA696E">
        <w:rPr>
          <w:lang w:val="it-IT"/>
        </w:rPr>
        <w:t>La linea riformista di Giolitti non ottenne il consenso del PSI, dove dopo la guerra era prevalsa la corrente massimalista. I massimalisti rifiutavano ogni compromesso con il “sistema borghese”, ma non avevano un progetto concreto né per usare la forza parlamentare ottenuta nel 1919 né per guidare le masse alla conquista dello Stato. La loro retorica rivoluzionaria contribuì soprattutto ad alimentare nella borghesia la paura del bolscevismo.</w:t>
      </w:r>
    </w:p>
    <w:p w14:paraId="2080EE0C" w14:textId="77777777" w:rsidR="002D03ED" w:rsidRPr="00DA696E" w:rsidRDefault="00000000">
      <w:pPr>
        <w:rPr>
          <w:lang w:val="it-IT"/>
        </w:rPr>
      </w:pPr>
      <w:r w:rsidRPr="00DA696E">
        <w:rPr>
          <w:lang w:val="it-IT"/>
        </w:rPr>
        <w:t>Dopo l’occupazione delle fabbriche, la frattura nell’estrema sinistra socialista divenne definitiva. Antonio Gramsci e Amadeo Bordiga criticarono la dirigenza del PSI. Intanto le condizioni poste da Lenin per l’adesione alla Terza Internazionale imponevano l’espulsione dei riformisti, l’adesione piena alla rivoluzione contro il capitalismo e l’assunzione del nome di Partito comunista.</w:t>
      </w:r>
    </w:p>
    <w:p w14:paraId="0D390712" w14:textId="77777777" w:rsidR="002D03ED" w:rsidRPr="00DA696E" w:rsidRDefault="00000000">
      <w:pPr>
        <w:rPr>
          <w:lang w:val="it-IT"/>
        </w:rPr>
      </w:pPr>
      <w:r w:rsidRPr="00DA696E">
        <w:rPr>
          <w:lang w:val="it-IT"/>
        </w:rPr>
        <w:t xml:space="preserve">Al XVII congresso del PSI, tenuto a Livorno tra il 15 e il 21 gennaio 1921, la maggioranza votò per mantenere l’unità del partito e non accettare integralmente le condizioni del Comintern. L’ala filosovietica, composta da gramsciani e </w:t>
      </w:r>
      <w:proofErr w:type="spellStart"/>
      <w:r w:rsidRPr="00DA696E">
        <w:rPr>
          <w:lang w:val="it-IT"/>
        </w:rPr>
        <w:t>bordighiani</w:t>
      </w:r>
      <w:proofErr w:type="spellEnd"/>
      <w:r w:rsidRPr="00DA696E">
        <w:rPr>
          <w:lang w:val="it-IT"/>
        </w:rPr>
        <w:t>, abbandonò il congresso e fondò il Partito comunista d’Italia, sezione dell’Internazionale comunista. Bordiga ne fu il primo segretario.</w:t>
      </w:r>
    </w:p>
    <w:p w14:paraId="5FD106AB" w14:textId="77777777" w:rsidR="002D03ED" w:rsidRPr="00DA696E" w:rsidRDefault="00000000">
      <w:pPr>
        <w:rPr>
          <w:lang w:val="it-IT"/>
        </w:rPr>
      </w:pPr>
      <w:r w:rsidRPr="00DA696E">
        <w:rPr>
          <w:lang w:val="it-IT"/>
        </w:rPr>
        <w:t>Il documento di Gramsci riportato nel capitolo interpreta il congresso di Livorno come un evento decisivo: secondo Gramsci la classe operaia italiana doveva diventare forza nazionale e internazionale, allearsi con i contadini poveri del Sud e inserirsi nel quadro della rivoluzione mondiale guidata dall’Internazionale comunista.</w:t>
      </w:r>
    </w:p>
    <w:p w14:paraId="70F9B2BF" w14:textId="77777777" w:rsidR="002D03ED" w:rsidRPr="00DA696E" w:rsidRDefault="00000000">
      <w:pPr>
        <w:pStyle w:val="Titolo2"/>
        <w:rPr>
          <w:lang w:val="it-IT"/>
        </w:rPr>
      </w:pPr>
      <w:r w:rsidRPr="00DA696E">
        <w:rPr>
          <w:rFonts w:ascii="Calibri" w:eastAsia="Calibri" w:hAnsi="Calibri"/>
          <w:lang w:val="it-IT"/>
        </w:rPr>
        <w:lastRenderedPageBreak/>
        <w:t>Le paure della borghesia e le premesse dell’ascesa fascista</w:t>
      </w:r>
    </w:p>
    <w:p w14:paraId="364B476B" w14:textId="77777777" w:rsidR="002D03ED" w:rsidRPr="00DA696E" w:rsidRDefault="00000000">
      <w:pPr>
        <w:rPr>
          <w:lang w:val="it-IT"/>
        </w:rPr>
      </w:pPr>
      <w:r w:rsidRPr="00DA696E">
        <w:rPr>
          <w:lang w:val="it-IT"/>
        </w:rPr>
        <w:t>Nonostante alcuni successi iniziali, la strategia giolittiana si rivelò inadeguata al nuovo contesto politico. I fermenti rivoluzionari erano in fase di riflusso, ma le conquiste sindacali di braccianti, contadini e operai avevano lasciato un segno profondo. La neutralità dello Stato nei conflitti tra capitale e lavoro, che Giolitti aveva già usato in passato, fu ora interpretata dagli industriali e dai proprietari terrieri come una rinuncia dello Stato a difendere l’ordine sociale.</w:t>
      </w:r>
    </w:p>
    <w:p w14:paraId="00FF9B6F" w14:textId="77777777" w:rsidR="002D03ED" w:rsidRPr="00DA696E" w:rsidRDefault="00000000">
      <w:pPr>
        <w:rPr>
          <w:lang w:val="it-IT"/>
        </w:rPr>
      </w:pPr>
      <w:r w:rsidRPr="00DA696E">
        <w:rPr>
          <w:lang w:val="it-IT"/>
        </w:rPr>
        <w:t>Gli industriali avevano chiesto invano l’intervento dell’esercito contro le occupazioni delle fabbriche e accettarono il compromesso solo controvoglia. Molti volevano liberarsi di Giolitti, anche perché contestavano le sue misure fiscali. I proprietari terrieri, a loro volta, temevano il potere acquisito dalle leghe contadine e nuovi tumulti.</w:t>
      </w:r>
    </w:p>
    <w:p w14:paraId="68FA9058" w14:textId="77777777" w:rsidR="002D03ED" w:rsidRPr="00DA696E" w:rsidRDefault="00000000">
      <w:pPr>
        <w:rPr>
          <w:lang w:val="it-IT"/>
        </w:rPr>
      </w:pPr>
      <w:r w:rsidRPr="00DA696E">
        <w:rPr>
          <w:lang w:val="it-IT"/>
        </w:rPr>
        <w:t>In questo clima di paura, insoddisfazione e antisocialismo poté emergere il fascismo. Il capitolo lo presenta come un movimento dal programma radicalmente nazionalista e antisocialista, ma anche ostile alle stesse istituzioni liberali. La sua crescita fu favorita dalla crisi dello Stato liberale, dalla paura borghese del bolscevismo, dalla delusione nazionalista della “vittoria mutilata” e dall’incapacità dei vecchi gruppi dirigenti di governare la società di massa del dopoguerra.</w:t>
      </w:r>
    </w:p>
    <w:sectPr w:rsidR="002D03ED" w:rsidRPr="00DA696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8587CC4"/>
    <w:multiLevelType w:val="hybridMultilevel"/>
    <w:tmpl w:val="C1D0C7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6602571">
    <w:abstractNumId w:val="8"/>
  </w:num>
  <w:num w:numId="2" w16cid:durableId="1019502109">
    <w:abstractNumId w:val="6"/>
  </w:num>
  <w:num w:numId="3" w16cid:durableId="1884559381">
    <w:abstractNumId w:val="5"/>
  </w:num>
  <w:num w:numId="4" w16cid:durableId="1312635606">
    <w:abstractNumId w:val="4"/>
  </w:num>
  <w:num w:numId="5" w16cid:durableId="1813592621">
    <w:abstractNumId w:val="7"/>
  </w:num>
  <w:num w:numId="6" w16cid:durableId="331839179">
    <w:abstractNumId w:val="3"/>
  </w:num>
  <w:num w:numId="7" w16cid:durableId="2071879565">
    <w:abstractNumId w:val="2"/>
  </w:num>
  <w:num w:numId="8" w16cid:durableId="677466199">
    <w:abstractNumId w:val="1"/>
  </w:num>
  <w:num w:numId="9" w16cid:durableId="650718326">
    <w:abstractNumId w:val="0"/>
  </w:num>
  <w:num w:numId="10" w16cid:durableId="1349135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3ED"/>
    <w:rsid w:val="00326F90"/>
    <w:rsid w:val="00AA1D8D"/>
    <w:rsid w:val="00B402C9"/>
    <w:rsid w:val="00B47730"/>
    <w:rsid w:val="00CB0664"/>
    <w:rsid w:val="00DA69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5D278"/>
  <w14:defaultImageDpi w14:val="300"/>
  <w15:docId w15:val="{D4DC6442-51B1-4175-9555-03D3D866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240"/>
      <w:jc w:val="center"/>
      <w:outlineLvl w:val="0"/>
    </w:pPr>
    <w:rPr>
      <w:rFonts w:asciiTheme="majorHAnsi" w:eastAsiaTheme="majorEastAsia" w:hAnsiTheme="majorHAnsi" w:cstheme="majorBidi"/>
      <w:b/>
      <w:bCs/>
      <w:color w:val="000000"/>
      <w:sz w:val="30"/>
      <w:szCs w:val="28"/>
    </w:rPr>
  </w:style>
  <w:style w:type="paragraph" w:styleId="Titolo2">
    <w:name w:val="heading 2"/>
    <w:basedOn w:val="Normale"/>
    <w:next w:val="Normale"/>
    <w:link w:val="Titolo2Carattere"/>
    <w:uiPriority w:val="9"/>
    <w:unhideWhenUsed/>
    <w:qFormat/>
    <w:rsid w:val="00FC693F"/>
    <w:pPr>
      <w:keepNext/>
      <w:keepLines/>
      <w:spacing w:before="200"/>
      <w:jc w:val="left"/>
      <w:outlineLvl w:val="1"/>
    </w:pPr>
    <w:rPr>
      <w:rFonts w:asciiTheme="majorHAnsi" w:eastAsiaTheme="majorEastAsia" w:hAnsiTheme="majorHAnsi" w:cstheme="majorBidi"/>
      <w:b/>
      <w:bCs/>
      <w:color w:val="000000"/>
      <w:sz w:val="28"/>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60"/>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6533</Words>
  <Characters>37239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2</cp:revision>
  <dcterms:created xsi:type="dcterms:W3CDTF">2013-12-23T23:15:00Z</dcterms:created>
  <dcterms:modified xsi:type="dcterms:W3CDTF">2026-05-29T20:26:00Z</dcterms:modified>
  <cp:category/>
</cp:coreProperties>
</file>