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72C4" w14:textId="77777777" w:rsidR="00D50AF3" w:rsidRPr="005F3802" w:rsidRDefault="00000000">
      <w:pPr>
        <w:pStyle w:val="CustomTitle"/>
        <w:rPr>
          <w:lang w:val="it-IT"/>
        </w:rPr>
      </w:pPr>
      <w:r w:rsidRPr="005F3802">
        <w:rPr>
          <w:lang w:val="it-IT"/>
        </w:rPr>
        <w:t>La crisi del 1929, il New Deal e la trasformazione dell’economia mondiale</w:t>
      </w:r>
    </w:p>
    <w:p w14:paraId="5C989B40" w14:textId="77777777" w:rsidR="00D50AF3" w:rsidRPr="005F3802" w:rsidRDefault="00000000">
      <w:pPr>
        <w:pStyle w:val="CustomHeading"/>
        <w:rPr>
          <w:lang w:val="it-IT"/>
        </w:rPr>
      </w:pPr>
      <w:r w:rsidRPr="005F3802">
        <w:rPr>
          <w:lang w:val="it-IT"/>
        </w:rPr>
        <w:t xml:space="preserve">Gli Stati Uniti dopo la </w:t>
      </w:r>
      <w:proofErr w:type="gramStart"/>
      <w:r w:rsidRPr="005F3802">
        <w:rPr>
          <w:lang w:val="it-IT"/>
        </w:rPr>
        <w:t>prima guerra mondiale</w:t>
      </w:r>
      <w:proofErr w:type="gramEnd"/>
      <w:r w:rsidRPr="005F3802">
        <w:rPr>
          <w:lang w:val="it-IT"/>
        </w:rPr>
        <w:t>: dalla crescita alla centralità economica</w:t>
      </w:r>
    </w:p>
    <w:p w14:paraId="6588BC1E" w14:textId="77777777" w:rsidR="00D50AF3" w:rsidRPr="005F3802" w:rsidRDefault="00000000">
      <w:pPr>
        <w:rPr>
          <w:lang w:val="it-IT"/>
        </w:rPr>
      </w:pPr>
      <w:r w:rsidRPr="005F3802">
        <w:rPr>
          <w:lang w:val="it-IT"/>
        </w:rPr>
        <w:t xml:space="preserve">Dopo la </w:t>
      </w:r>
      <w:proofErr w:type="gramStart"/>
      <w:r w:rsidRPr="005F3802">
        <w:rPr>
          <w:lang w:val="it-IT"/>
        </w:rPr>
        <w:t>prima guerra mondiale</w:t>
      </w:r>
      <w:proofErr w:type="gramEnd"/>
      <w:r w:rsidRPr="005F3802">
        <w:rPr>
          <w:lang w:val="it-IT"/>
        </w:rPr>
        <w:t xml:space="preserve"> gli Stati Uniti non conobbero la devastazione economica e sociale che aveva colpito l’Europa. Il paese uscì dal conflitto in una posizione di forza: era creditore per oltre </w:t>
      </w:r>
      <w:proofErr w:type="gramStart"/>
      <w:r w:rsidRPr="005F3802">
        <w:rPr>
          <w:lang w:val="it-IT"/>
        </w:rPr>
        <w:t>10</w:t>
      </w:r>
      <w:proofErr w:type="gramEnd"/>
      <w:r w:rsidRPr="005F3802">
        <w:rPr>
          <w:lang w:val="it-IT"/>
        </w:rPr>
        <w:t xml:space="preserve"> miliardi di dollari nei confronti degli ex alleati europei e disponeva di un apparato produttivo potente, capace di imporsi sui mercati internazionali. Superata la recessione postbellica del 1920-1921, l’economia statunitense entrò in una fase di sviluppo eccezionale, destinata a durare per quasi tutti gli anni Venti.</w:t>
      </w:r>
    </w:p>
    <w:p w14:paraId="49A5AAE2" w14:textId="77777777" w:rsidR="00D50AF3" w:rsidRPr="005F3802" w:rsidRDefault="00000000">
      <w:pPr>
        <w:rPr>
          <w:lang w:val="it-IT"/>
        </w:rPr>
      </w:pPr>
      <w:r w:rsidRPr="005F3802">
        <w:rPr>
          <w:lang w:val="it-IT"/>
        </w:rPr>
        <w:t xml:space="preserve">La produzione industriale aumentò del 45%, la quota americana della produzione mondiale passò dal 35,8% del 1913 al 42,2%, mentre il reddito nazionale crebbe quasi del 50%. Anche il settore terziario si espanse rapidamente, soprattutto nei quartieri centrali delle grandi città. I grattacieli, che ospitavano uffici professionali e sedi di grandi gruppi industriali e finanziari, divennero il simbolo materiale della potenza economica americana. L’immagine del </w:t>
      </w:r>
      <w:proofErr w:type="spellStart"/>
      <w:r w:rsidRPr="005F3802">
        <w:rPr>
          <w:lang w:val="it-IT"/>
        </w:rPr>
        <w:t>Flat</w:t>
      </w:r>
      <w:proofErr w:type="spellEnd"/>
      <w:r w:rsidRPr="005F3802">
        <w:rPr>
          <w:lang w:val="it-IT"/>
        </w:rPr>
        <w:t xml:space="preserve"> Iron Building di New York, ricordata nel capitolo, serve proprio a rappresentare questa modernizzazione urbana e tecnica, legata allo sviluppo edilizio in altezza, all’uso del ferro e della ghisa e alla diffusione degli ascensori.</w:t>
      </w:r>
    </w:p>
    <w:p w14:paraId="73996DB9" w14:textId="77777777" w:rsidR="00D50AF3" w:rsidRPr="005F3802" w:rsidRDefault="00000000">
      <w:pPr>
        <w:pStyle w:val="CustomHeading"/>
        <w:rPr>
          <w:lang w:val="it-IT"/>
        </w:rPr>
      </w:pPr>
      <w:r w:rsidRPr="005F3802">
        <w:rPr>
          <w:lang w:val="it-IT"/>
        </w:rPr>
        <w:t>La nascita dell’American way of life e il mito degli “anni ruggenti”</w:t>
      </w:r>
    </w:p>
    <w:p w14:paraId="6013594D" w14:textId="77777777" w:rsidR="00D50AF3" w:rsidRPr="005F3802" w:rsidRDefault="00000000">
      <w:pPr>
        <w:rPr>
          <w:lang w:val="it-IT"/>
        </w:rPr>
      </w:pPr>
      <w:r w:rsidRPr="005F3802">
        <w:rPr>
          <w:lang w:val="it-IT"/>
        </w:rPr>
        <w:t>La crescita economica favorì la diffusione dei consumi non essenziali, cioè di beni non legati alla pura sopravvivenza alimentare. Automobili, elettrodomestici e nuovi comfort entrarono progressivamente nella vita di fasce sempre più ampie della popolazione. In questo contesto si affermò il cosiddetto American way of life, fondato sull’idea di un elevato tenore di vita e sulla convinzione che ogni americano potesse migliorare la propria condizione indipendentemente dal punto di partenza.</w:t>
      </w:r>
    </w:p>
    <w:p w14:paraId="6155CBFE" w14:textId="77777777" w:rsidR="00D50AF3" w:rsidRPr="005F3802" w:rsidRDefault="00000000">
      <w:pPr>
        <w:rPr>
          <w:lang w:val="it-IT"/>
        </w:rPr>
      </w:pPr>
      <w:r w:rsidRPr="005F3802">
        <w:rPr>
          <w:lang w:val="it-IT"/>
        </w:rPr>
        <w:t xml:space="preserve">Il clima di prosperità e ottimismo portò a definire gli anni Venti americani come “anni ruggenti” o Roaring </w:t>
      </w:r>
      <w:proofErr w:type="spellStart"/>
      <w:r w:rsidRPr="005F3802">
        <w:rPr>
          <w:lang w:val="it-IT"/>
        </w:rPr>
        <w:t>Twenties</w:t>
      </w:r>
      <w:proofErr w:type="spellEnd"/>
      <w:r w:rsidRPr="005F3802">
        <w:rPr>
          <w:lang w:val="it-IT"/>
        </w:rPr>
        <w:t>. Il capitolo richiama anche l’immagine letteraria di questo periodo offerta da Francis Scott Fitzgerald nel romanzo Il grande Gatsby del 1925, simbolo di una società brillante, ricca, seducente, ma attraversata da squilibri profondi.</w:t>
      </w:r>
    </w:p>
    <w:p w14:paraId="337FB421" w14:textId="77777777" w:rsidR="00D50AF3" w:rsidRPr="005F3802" w:rsidRDefault="00000000">
      <w:pPr>
        <w:rPr>
          <w:lang w:val="it-IT"/>
        </w:rPr>
      </w:pPr>
      <w:r w:rsidRPr="005F3802">
        <w:rPr>
          <w:lang w:val="it-IT"/>
        </w:rPr>
        <w:t xml:space="preserve">Alla modernizzazione economica si accompagnò anche una trasformazione culturale. Il testo dedica attenzione alla cosiddetta “età del jazz”, durante la quale il jazz, nato nei locali popolari di New Orleans e legato alla tradizione musicale afroamericana, divenne una moda nazionale e un simbolo di rottura rispetto ai costumi tradizionali. Anche il charleston e la figura delle flappers, giovani donne dai capelli corti, più libere nei comportamenti sociali e sessuali, rappresentarono una frattura culturale importante. </w:t>
      </w:r>
      <w:proofErr w:type="gramStart"/>
      <w:r w:rsidRPr="005F3802">
        <w:rPr>
          <w:lang w:val="it-IT"/>
        </w:rPr>
        <w:t>Tuttavia</w:t>
      </w:r>
      <w:proofErr w:type="gramEnd"/>
      <w:r w:rsidRPr="005F3802">
        <w:rPr>
          <w:lang w:val="it-IT"/>
        </w:rPr>
        <w:t xml:space="preserve"> il capitolo precisa che questo </w:t>
      </w:r>
      <w:r w:rsidRPr="005F3802">
        <w:rPr>
          <w:lang w:val="it-IT"/>
        </w:rPr>
        <w:lastRenderedPageBreak/>
        <w:t>mondo scintillante riguardava soprattutto una minoranza urbana, non l’intera società statunitense.</w:t>
      </w:r>
    </w:p>
    <w:p w14:paraId="452E1C32" w14:textId="77777777" w:rsidR="00D50AF3" w:rsidRPr="005F3802" w:rsidRDefault="00000000">
      <w:pPr>
        <w:pStyle w:val="CustomHeading"/>
        <w:rPr>
          <w:lang w:val="it-IT"/>
        </w:rPr>
      </w:pPr>
      <w:r w:rsidRPr="005F3802">
        <w:rPr>
          <w:lang w:val="it-IT"/>
        </w:rPr>
        <w:t>Il ritorno dei repubblicani e la fine del wilsonismo</w:t>
      </w:r>
    </w:p>
    <w:p w14:paraId="14FC8B93" w14:textId="77777777" w:rsidR="00D50AF3" w:rsidRPr="005F3802" w:rsidRDefault="00000000">
      <w:pPr>
        <w:rPr>
          <w:lang w:val="it-IT"/>
        </w:rPr>
      </w:pPr>
      <w:r w:rsidRPr="005F3802">
        <w:rPr>
          <w:lang w:val="it-IT"/>
        </w:rPr>
        <w:t>Sul piano politico, gli anni Venti furono segnati dal ritorno al potere dei repubblicani e dal tramonto dell’indirizzo internazionalista del presidente Wilson. Già nel novembre 1919 e nel marzo 1920 il Senato, a maggioranza repubblicana dal 1918, bocciò il trattato di Versailles e l’adesione degli Stati Uniti alla Società delle Nazioni. Le elezioni presidenziali del 1920, le prime con la partecipazione delle donne, portarono alla vittoria di Warren G. Harding, segnando il ritorno repubblicano dopo otto anni.</w:t>
      </w:r>
    </w:p>
    <w:p w14:paraId="37833EF9" w14:textId="77777777" w:rsidR="00D50AF3" w:rsidRPr="005F3802" w:rsidRDefault="00000000">
      <w:pPr>
        <w:rPr>
          <w:lang w:val="it-IT"/>
        </w:rPr>
      </w:pPr>
      <w:r w:rsidRPr="005F3802">
        <w:rPr>
          <w:lang w:val="it-IT"/>
        </w:rPr>
        <w:t>Il successo repubblicano proseguì anche nel 1924 con Calvin Coolidge e nel 1928 con Herbert C. Hoover. Alla base di questa egemonia vi era il prevalere di una corrente isolazionista e conservatrice: gran parte dell’opinione pubblica voleva chiudere la parentesi della guerra europea, evitare nuovi coinvolgimenti nelle vicende del Vecchio continente e concentrarsi sugli interessi interni.</w:t>
      </w:r>
    </w:p>
    <w:p w14:paraId="4113B59E" w14:textId="77777777" w:rsidR="00D50AF3" w:rsidRPr="005F3802" w:rsidRDefault="00000000">
      <w:pPr>
        <w:rPr>
          <w:lang w:val="it-IT"/>
        </w:rPr>
      </w:pPr>
      <w:r w:rsidRPr="005F3802">
        <w:rPr>
          <w:lang w:val="it-IT"/>
        </w:rPr>
        <w:t xml:space="preserve">All’isolazionismo politico si affiancò una politica economica protezionistica e liberista. Da un lato, furono introdotte alte tariffe doganali per proteggere la produzione nazionale; dall’altro, venne concessa ampia libertà d’azione alle imprese. Le amministrazioni repubblicane eliminarono molti controlli introdotti da Wilson durante la guerra, specialmente in materia di prezzi e monopoli. Ciò favorì la crescita incontrollata di grandi concentrazioni industriali e finanziarie, come la Standard Oil nel petrolio, la General </w:t>
      </w:r>
      <w:proofErr w:type="spellStart"/>
      <w:r w:rsidRPr="005F3802">
        <w:rPr>
          <w:lang w:val="it-IT"/>
        </w:rPr>
        <w:t>Motors</w:t>
      </w:r>
      <w:proofErr w:type="spellEnd"/>
      <w:r w:rsidRPr="005F3802">
        <w:rPr>
          <w:lang w:val="it-IT"/>
        </w:rPr>
        <w:t xml:space="preserve"> nell’automobile e la Dupont nella chimica.</w:t>
      </w:r>
    </w:p>
    <w:p w14:paraId="2C2B3C1A" w14:textId="77777777" w:rsidR="00D50AF3" w:rsidRPr="005F3802" w:rsidRDefault="00000000">
      <w:pPr>
        <w:pStyle w:val="CustomHeading"/>
        <w:rPr>
          <w:lang w:val="it-IT"/>
        </w:rPr>
      </w:pPr>
      <w:r w:rsidRPr="005F3802">
        <w:rPr>
          <w:lang w:val="it-IT"/>
        </w:rPr>
        <w:t>Conservatorismo sociale, paura dei “rossi”, razzismo e proibizionismo</w:t>
      </w:r>
    </w:p>
    <w:p w14:paraId="11AD72C9" w14:textId="77777777" w:rsidR="00D50AF3" w:rsidRPr="005F3802" w:rsidRDefault="00000000">
      <w:pPr>
        <w:rPr>
          <w:lang w:val="it-IT"/>
        </w:rPr>
      </w:pPr>
      <w:r w:rsidRPr="005F3802">
        <w:rPr>
          <w:lang w:val="it-IT"/>
        </w:rPr>
        <w:t xml:space="preserve">Gli anni Venti americani non furono soltanto un periodo di modernità e prosperità. Il capitolo insiste anche sul volto conservatore e tradizionalista della società statunitense. Dopo la </w:t>
      </w:r>
      <w:proofErr w:type="gramStart"/>
      <w:r w:rsidRPr="005F3802">
        <w:rPr>
          <w:lang w:val="it-IT"/>
        </w:rPr>
        <w:t>rivoluzione russa</w:t>
      </w:r>
      <w:proofErr w:type="gramEnd"/>
      <w:r w:rsidRPr="005F3802">
        <w:rPr>
          <w:lang w:val="it-IT"/>
        </w:rPr>
        <w:t>, si diffuse nell’establishment e nell’opinione pubblica il cosiddetto Red Scare, la “paura dei rossi”. Tra il 1919 e il 1920 si intensificarono le agitazioni sindacali, nacque un piccolo Partito comunista, soprattutto tra gli immigrati, e si rafforzarono gruppi anarchici. Il governo repubblicano reagì con migliaia di provvedimenti di espulsione contro socialisti, comunisti e anarchici di recente immigrazione.</w:t>
      </w:r>
    </w:p>
    <w:p w14:paraId="46194B7B" w14:textId="77777777" w:rsidR="00D50AF3" w:rsidRPr="005F3802" w:rsidRDefault="00000000">
      <w:pPr>
        <w:rPr>
          <w:lang w:val="it-IT"/>
        </w:rPr>
      </w:pPr>
      <w:r w:rsidRPr="005F3802">
        <w:rPr>
          <w:lang w:val="it-IT"/>
        </w:rPr>
        <w:t>In questo clima si colloca il processo contro Nicola Sacco e Bartolomeo Vanzetti, due anarchici italiani accusati di omicidio nel maggio 1920 e condannati alla sedia elettrica. La pena fu eseguita nel 1927, nonostante l’assenza di prove evidenti della loro colpevolezza. Il caso divenne simbolo dell’intolleranza politica e sociale dell’America conservatrice.</w:t>
      </w:r>
    </w:p>
    <w:p w14:paraId="53718BF1" w14:textId="77777777" w:rsidR="00D50AF3" w:rsidRPr="005F3802" w:rsidRDefault="00000000">
      <w:pPr>
        <w:rPr>
          <w:lang w:val="it-IT"/>
        </w:rPr>
      </w:pPr>
      <w:r w:rsidRPr="005F3802">
        <w:rPr>
          <w:lang w:val="it-IT"/>
        </w:rPr>
        <w:t xml:space="preserve">La paura del bolscevismo alimentò anche disposizioni sempre più restrittive contro l’immigrazione. Gli immigrati europei venivano sospettati di importare idee sovversive e di </w:t>
      </w:r>
      <w:r w:rsidRPr="005F3802">
        <w:rPr>
          <w:lang w:val="it-IT"/>
        </w:rPr>
        <w:lastRenderedPageBreak/>
        <w:t>contaminare l’identità bianca e protestante della nazione. In questo clima riprese vigore il Ku Klux Klan, nato negli stati del Sud dopo la guerra di secessione come reazione all’emancipazione degli afroamericani. Intorno al 1925 il KKK contava oltre due milioni di affiliati e colpiva non solo i neri, ma anche ebrei e minoranze etniche o religiose considerate una minaccia ai “valori” americani.</w:t>
      </w:r>
    </w:p>
    <w:p w14:paraId="461289B9" w14:textId="77777777" w:rsidR="00D50AF3" w:rsidRPr="005F3802" w:rsidRDefault="00000000">
      <w:pPr>
        <w:rPr>
          <w:lang w:val="it-IT"/>
        </w:rPr>
      </w:pPr>
      <w:r w:rsidRPr="005F3802">
        <w:rPr>
          <w:lang w:val="it-IT"/>
        </w:rPr>
        <w:t>Il proibizionismo fu un altro prodotto di questo clima morale e repressivo. Nel 1919 il diciottesimo emendamento alla Costituzione vietò produzione, circolazione e consumo di alcolici. L’obiettivo dichiarato era combattere la degradazione fisica e morale attribuita soprattutto agli immigrati, ai neri e ai ceti più poveri. Il risultato fu però opposto: crebbe enormemente la criminalità organizzata, arricchita dalla produzione e vendita clandestina di alcol. Il capitolo cita Al Capone, figlio di immigrati italiani, divenuto una figura leggendaria della Chicago degli anni Venti.</w:t>
      </w:r>
    </w:p>
    <w:p w14:paraId="503A4AA2" w14:textId="77777777" w:rsidR="00D50AF3" w:rsidRPr="005F3802" w:rsidRDefault="00000000">
      <w:pPr>
        <w:pStyle w:val="CustomHeading"/>
        <w:rPr>
          <w:lang w:val="it-IT"/>
        </w:rPr>
      </w:pPr>
      <w:r w:rsidRPr="005F3802">
        <w:rPr>
          <w:lang w:val="it-IT"/>
        </w:rPr>
        <w:t>Le cause profonde della crisi: speculazione, sovrapproduzione e credito facile</w:t>
      </w:r>
    </w:p>
    <w:p w14:paraId="674E0D2E" w14:textId="77777777" w:rsidR="00D50AF3" w:rsidRPr="005F3802" w:rsidRDefault="00000000">
      <w:pPr>
        <w:rPr>
          <w:lang w:val="it-IT"/>
        </w:rPr>
      </w:pPr>
      <w:r w:rsidRPr="005F3802">
        <w:rPr>
          <w:lang w:val="it-IT"/>
        </w:rPr>
        <w:t>La crescita degli anni Venti alimentò una forte espansione della speculazione finanziaria. Alla Borsa di Wall Street, a New York, il volume delle negoziazioni dei titoli azionari aumentò enormemente. Molti americani si convinsero che arricchirsi comprando e rivendendo azioni fosse semplice e sicuro. Spesso acquistavano titoli a credito, sperando di rivenderli a un prezzo più alto e di restituire poi il denaro preso in prestito. In sostanza, il capitolo descrive questa dinamica come una forma di gioco d’azzardo collettivo, basata sull’idea che il valore delle azioni sarebbe cresciuto indefinitamente.</w:t>
      </w:r>
    </w:p>
    <w:p w14:paraId="385C7FDE" w14:textId="77777777" w:rsidR="00D50AF3" w:rsidRPr="005F3802" w:rsidRDefault="00000000">
      <w:pPr>
        <w:rPr>
          <w:lang w:val="it-IT"/>
        </w:rPr>
      </w:pPr>
      <w:r w:rsidRPr="005F3802">
        <w:rPr>
          <w:lang w:val="it-IT"/>
        </w:rPr>
        <w:t>La speculazione sottraeva capitali ad altri impieghi, come investimenti produttivi, investimenti all’estero e prestiti internazionali. A essa si aggiungevano problemi strutturali dell’economia americana. Il primo era l’eccesso di produzione rispetto alla capacità del mercato di assorbire le merci. Le innovazioni tecnologiche e organizzative introdotte dal sistema fordista-taylorista permettevano di produrre sempre di più e a costi sempre più bassi. Fino alla metà degli anni Venti, il surplus era stato assorbito dalle esportazioni, soprattutto verso l’Europa; dopo il 1925, però, le economie europee ripresero forza e cominciarono anche a competere con gli Stati Uniti.</w:t>
      </w:r>
    </w:p>
    <w:p w14:paraId="4FA23F8A" w14:textId="77777777" w:rsidR="00D50AF3" w:rsidRPr="005F3802" w:rsidRDefault="00000000">
      <w:pPr>
        <w:rPr>
          <w:lang w:val="it-IT"/>
        </w:rPr>
      </w:pPr>
      <w:r w:rsidRPr="005F3802">
        <w:rPr>
          <w:lang w:val="it-IT"/>
        </w:rPr>
        <w:t>Un secondo problema era la distribuzione diseguale della ricchezza. Il 5% della popolazione assorbiva da solo oltre un terzo del reddito nazionale. Inoltre, tra il 1919 e il 1929, a fronte di un aumento del 43% della produttività del lavoro, i salari erano rimasti sostanzialmente fermi. Ciò significava che la capacità d’acquisto dei lavoratori non cresceva abbastanza da sostenere la produzione. Anche l’agricoltura era in difficoltà cronica a causa della caduta dei prezzi mondiali, che manteneva bassi i redditi nelle campagne.</w:t>
      </w:r>
    </w:p>
    <w:p w14:paraId="1E6C6D72" w14:textId="77777777" w:rsidR="00D50AF3" w:rsidRPr="005F3802" w:rsidRDefault="00000000">
      <w:pPr>
        <w:rPr>
          <w:lang w:val="it-IT"/>
        </w:rPr>
      </w:pPr>
      <w:r w:rsidRPr="005F3802">
        <w:rPr>
          <w:lang w:val="it-IT"/>
        </w:rPr>
        <w:t xml:space="preserve">Per sostenere artificialmente la domanda, si diffuse in modo incontrollato il credito. Pagamenti rateali, prestiti e mutui permisero alle famiglie e alle imprese di continuare a comprare e investire, ma aumentarono l’instabilità del sistema. Molte famiglie e imprese si indebitarono </w:t>
      </w:r>
      <w:r w:rsidRPr="005F3802">
        <w:rPr>
          <w:lang w:val="it-IT"/>
        </w:rPr>
        <w:lastRenderedPageBreak/>
        <w:t>con le banche. Poiché il sistema bancario americano era formato da una miriade di piccole banche fragili, una crisi di insolvenze avrebbe potuto provocare fallimenti a catena. Il rischio era aggravato dall’assenza di limiti alla speculazione e dalla mancanza di un’autorità finanziaria capace di regolare i rapporti tra credito e produzione.</w:t>
      </w:r>
    </w:p>
    <w:p w14:paraId="40AF7FDD" w14:textId="77777777" w:rsidR="00D50AF3" w:rsidRPr="005F3802" w:rsidRDefault="00000000">
      <w:pPr>
        <w:pStyle w:val="CustomHeading"/>
        <w:rPr>
          <w:lang w:val="it-IT"/>
        </w:rPr>
      </w:pPr>
      <w:r w:rsidRPr="005F3802">
        <w:rPr>
          <w:lang w:val="it-IT"/>
        </w:rPr>
        <w:t>Il crollo di Wall Street dell’ottobre 1929</w:t>
      </w:r>
    </w:p>
    <w:p w14:paraId="27C905C5" w14:textId="77777777" w:rsidR="00D50AF3" w:rsidRPr="005F3802" w:rsidRDefault="00000000">
      <w:pPr>
        <w:rPr>
          <w:lang w:val="it-IT"/>
        </w:rPr>
      </w:pPr>
      <w:r w:rsidRPr="005F3802">
        <w:rPr>
          <w:lang w:val="it-IT"/>
        </w:rPr>
        <w:t>Dopo almeno cinque anni di crescita continua delle quotazioni, nella primavera del 1929 l’indice azionario della Borsa di New York registrò una prima perdita consistente. Le contrattazioni ripresero temporaneamente vigore e nel settembre 1929 i titoli raggiunsero i livelli più alti del decennio. Era però l’ultima fiammata prima del tracollo.</w:t>
      </w:r>
    </w:p>
    <w:p w14:paraId="65EF3127" w14:textId="77777777" w:rsidR="00D50AF3" w:rsidRPr="005F3802" w:rsidRDefault="00000000">
      <w:pPr>
        <w:rPr>
          <w:lang w:val="it-IT"/>
        </w:rPr>
      </w:pPr>
      <w:r w:rsidRPr="005F3802">
        <w:rPr>
          <w:lang w:val="it-IT"/>
        </w:rPr>
        <w:t>Tra il 22 e il 29 ottobre 1929, i possessori dei più consistenti pacchetti azionari iniziarono a vendere rapidamente. Decine di milioni di azioni invasero il mercato, causando prima una forte riduzione del loro valore e poi una caduta rovinosa. Il 24 ottobre, passato alla storia come “giovedì nero”, furono messe in vendita quasi 13 milioni di azioni. Il 29 ottobre, il “martedì nero”, si superò quota 16 milioni. L’indice medio del valore dei titoli arrivò a dimezzarsi. Per molti piccoli e medi risparmiatori, il sogno di guadagni facili si trasformò in poche ore nella perdita completa dei risparmi investiti.</w:t>
      </w:r>
    </w:p>
    <w:p w14:paraId="243D9629" w14:textId="77777777" w:rsidR="00D50AF3" w:rsidRPr="005F3802" w:rsidRDefault="00000000">
      <w:pPr>
        <w:rPr>
          <w:lang w:val="it-IT"/>
        </w:rPr>
      </w:pPr>
      <w:r w:rsidRPr="005F3802">
        <w:rPr>
          <w:lang w:val="it-IT"/>
        </w:rPr>
        <w:t>Il capitolo dedica anche un riquadro a Wall Street, spiegando che si tratta di una via di Manhattan da cui prende nome il distretto finanziario di New York, simbolo del potere economico statunitense. Le sue origini risalgono al Seicento, mentre nel corso dell’Ottocento e del Novecento l’area divenne il centro della finanza americana.</w:t>
      </w:r>
    </w:p>
    <w:p w14:paraId="69B6796F" w14:textId="77777777" w:rsidR="00D50AF3" w:rsidRPr="005F3802" w:rsidRDefault="00000000">
      <w:pPr>
        <w:pStyle w:val="CustomHeading"/>
        <w:rPr>
          <w:lang w:val="it-IT"/>
        </w:rPr>
      </w:pPr>
      <w:r w:rsidRPr="005F3802">
        <w:rPr>
          <w:lang w:val="it-IT"/>
        </w:rPr>
        <w:t>Dalla crisi finanziaria alla “grande depressione”</w:t>
      </w:r>
    </w:p>
    <w:p w14:paraId="185D8FA9" w14:textId="77777777" w:rsidR="00D50AF3" w:rsidRPr="005F3802" w:rsidRDefault="00000000">
      <w:pPr>
        <w:rPr>
          <w:lang w:val="it-IT"/>
        </w:rPr>
      </w:pPr>
      <w:r w:rsidRPr="005F3802">
        <w:rPr>
          <w:lang w:val="it-IT"/>
        </w:rPr>
        <w:t>Il crack del 1929 travolse il sistema finanziario e si abbatté sull’intera economia americana. Le banche bloccarono il credito, impedendo nuovi prestiti. I primi a essere colpiti furono i piccoli e medi risparmiatori e la borghesia urbana, cioè una parte essenziale del mercato interno. La perdita del loro potere d’acquisto provocò una brusca frenata dei consumi.</w:t>
      </w:r>
    </w:p>
    <w:p w14:paraId="585D154B" w14:textId="77777777" w:rsidR="00D50AF3" w:rsidRPr="005F3802" w:rsidRDefault="00000000">
      <w:pPr>
        <w:rPr>
          <w:lang w:val="it-IT"/>
        </w:rPr>
      </w:pPr>
      <w:r w:rsidRPr="005F3802">
        <w:rPr>
          <w:lang w:val="it-IT"/>
        </w:rPr>
        <w:t>La stretta creditizia causò fallimenti a catena tra le imprese già indebolite dal calo della domanda e dal crollo della Borsa. Con i prezzi all’ingrosso in forte ribasso e i magazzini pieni di merci invendute, le imprese ridussero la produzione e licenziarono lavoratori. Si creò così una spirale negativa: meno consumi, meno produzione, più disoccupazione, ulteriore calo dei consumi.</w:t>
      </w:r>
    </w:p>
    <w:p w14:paraId="0606C25B" w14:textId="77777777" w:rsidR="00D50AF3" w:rsidRPr="005F3802" w:rsidRDefault="00000000">
      <w:pPr>
        <w:rPr>
          <w:lang w:val="it-IT"/>
        </w:rPr>
      </w:pPr>
      <w:r w:rsidRPr="005F3802">
        <w:rPr>
          <w:lang w:val="it-IT"/>
        </w:rPr>
        <w:t>Anche il sistema bancario crollò. Le banche furono travolte sia dalle richieste dei risparmiatori che volevano ritirare subito i depositi, sia dall’impossibilità di recuperare i prestiti concessi alle imprese. Tra il 1930 e il 1933 fallirono quasi 9.000 banche.</w:t>
      </w:r>
    </w:p>
    <w:p w14:paraId="4C5AC3F2" w14:textId="77777777" w:rsidR="00D50AF3" w:rsidRPr="005F3802" w:rsidRDefault="00000000">
      <w:pPr>
        <w:rPr>
          <w:lang w:val="it-IT"/>
        </w:rPr>
      </w:pPr>
      <w:r w:rsidRPr="005F3802">
        <w:rPr>
          <w:lang w:val="it-IT"/>
        </w:rPr>
        <w:lastRenderedPageBreak/>
        <w:t>Tra il 1929 e il 1932, la crisi colpì duramente la società americana. La disoccupazione, che negli anni Venti era pari a circa 500.000 persone, cioè meno dell’1% della popolazione attiva, arrivò nel 1931 a quasi 8 milioni e due anni dopo a 12 milioni, pari a circa un quarto della forza lavoro. La crisi di Borsa era ormai diventata la “grande depressione”.</w:t>
      </w:r>
    </w:p>
    <w:p w14:paraId="511BFF2B" w14:textId="77777777" w:rsidR="00D50AF3" w:rsidRPr="005F3802" w:rsidRDefault="00000000">
      <w:pPr>
        <w:pStyle w:val="CustomHeading"/>
        <w:rPr>
          <w:lang w:val="it-IT"/>
        </w:rPr>
      </w:pPr>
      <w:r w:rsidRPr="005F3802">
        <w:rPr>
          <w:lang w:val="it-IT"/>
        </w:rPr>
        <w:t>La risposta di Hoover e il fallimento del protezionismo</w:t>
      </w:r>
    </w:p>
    <w:p w14:paraId="3A18EFCF" w14:textId="77777777" w:rsidR="00D50AF3" w:rsidRPr="005F3802" w:rsidRDefault="00000000">
      <w:pPr>
        <w:rPr>
          <w:lang w:val="it-IT"/>
        </w:rPr>
      </w:pPr>
      <w:r w:rsidRPr="005F3802">
        <w:rPr>
          <w:lang w:val="it-IT"/>
        </w:rPr>
        <w:t>Il presidente Herbert C. Hoover, entrato alla Casa Bianca nel marzo 1929, rispose alla crisi seguendo la linea economica tradizionale delle amministrazioni repubblicane. Ricorse al protezionismo, aumentando le barriere doganali contro le importazioni, sospendendo i crediti all’estero e abbandonando il multilateralismo commerciale in favore di accordi bilaterali.</w:t>
      </w:r>
    </w:p>
    <w:p w14:paraId="69B4B435" w14:textId="77777777" w:rsidR="00D50AF3" w:rsidRPr="005F3802" w:rsidRDefault="00000000">
      <w:pPr>
        <w:rPr>
          <w:lang w:val="it-IT"/>
        </w:rPr>
      </w:pPr>
      <w:r w:rsidRPr="005F3802">
        <w:rPr>
          <w:lang w:val="it-IT"/>
        </w:rPr>
        <w:t>Questa scelta peggiorò la situazione internazionale. Anche i governi europei adottarono politiche simili, provocando la paralisi del mercato mondiale e la sua frammentazione in compartimenti nazionali o coloniali. La tabella presente nel capitolo sulla caduta del commercio mondiale mostra con chiarezza il crollo degli scambi: da 68.606 milioni di dollari-oro nel 1929 si passò a 28.855 nel 1932 e a 21.175 nel 1933.</w:t>
      </w:r>
    </w:p>
    <w:p w14:paraId="5472578E" w14:textId="77777777" w:rsidR="00D50AF3" w:rsidRPr="005F3802" w:rsidRDefault="00000000">
      <w:pPr>
        <w:pStyle w:val="CustomHeading"/>
        <w:rPr>
          <w:lang w:val="it-IT"/>
        </w:rPr>
      </w:pPr>
      <w:r w:rsidRPr="005F3802">
        <w:rPr>
          <w:lang w:val="it-IT"/>
        </w:rPr>
        <w:t>La diffusione della crisi in Europa e nel mondo</w:t>
      </w:r>
    </w:p>
    <w:p w14:paraId="4195B78E" w14:textId="77777777" w:rsidR="00D50AF3" w:rsidRPr="005F3802" w:rsidRDefault="00000000">
      <w:pPr>
        <w:rPr>
          <w:lang w:val="it-IT"/>
        </w:rPr>
      </w:pPr>
      <w:r w:rsidRPr="005F3802">
        <w:rPr>
          <w:lang w:val="it-IT"/>
        </w:rPr>
        <w:t>Il terremoto finanziario americano si propagò rapidamente ai paesi industrializzati. L’Europa, già provata da una lunga stagnazione e da una delicata fase di transizione economica e politica, fu travolta a partire dall’autunno 1929. Diminuirono il flusso di dollari verso l’Europa e le esportazioni europee verso il mercato statunitense. Crollarono produzione, consumi, investimenti, salari, occupazione, rendite agricole e finanziarie.</w:t>
      </w:r>
    </w:p>
    <w:p w14:paraId="27AF9BAD" w14:textId="77777777" w:rsidR="00D50AF3" w:rsidRPr="005F3802" w:rsidRDefault="00000000">
      <w:pPr>
        <w:rPr>
          <w:lang w:val="it-IT"/>
        </w:rPr>
      </w:pPr>
      <w:r w:rsidRPr="005F3802">
        <w:rPr>
          <w:lang w:val="it-IT"/>
        </w:rPr>
        <w:t>La recessione raggiunse la massima intensità fino al 1932, e in alcuni casi proseguì oltre. I paesi più esposti furono quelli già deboli e dipendenti dai capitali americani, in particolare Germania e Austria. Anche la Gran Bretagna fu colpita dalla contrazione del commercio internazionale e dalla perdita di valore della sterlina, che era una moneta centrale nelle transazioni internazionali.</w:t>
      </w:r>
    </w:p>
    <w:p w14:paraId="16F41491" w14:textId="77777777" w:rsidR="00D50AF3" w:rsidRPr="005F3802" w:rsidRDefault="00000000">
      <w:pPr>
        <w:rPr>
          <w:lang w:val="it-IT"/>
        </w:rPr>
      </w:pPr>
      <w:r w:rsidRPr="005F3802">
        <w:rPr>
          <w:lang w:val="it-IT"/>
        </w:rPr>
        <w:t>Il sistema monetario internazionale, fondato sul Gold Exchange Standard e sulla convertibilità della sterlina in oro, entrò in crisi. Il ritiro dei depositi stranieri dalla Banca d’Inghilterra e la richiesta di convertire sterline in oro esaurirono le riserve auree disponibili. Nel 1931 il governo britannico sganciò la sterlina dal sistema, avviando una catena di svalutazioni monetarie in Europa. I diversi paesi tentarono di rendere più competitive le proprie merci, ma l’effetto complessivo fu un’ulteriore depressione degli scambi.</w:t>
      </w:r>
    </w:p>
    <w:p w14:paraId="2CC5B48D" w14:textId="77777777" w:rsidR="00D50AF3" w:rsidRPr="005F3802" w:rsidRDefault="00000000">
      <w:pPr>
        <w:rPr>
          <w:lang w:val="it-IT"/>
        </w:rPr>
      </w:pPr>
      <w:r w:rsidRPr="005F3802">
        <w:rPr>
          <w:lang w:val="it-IT"/>
        </w:rPr>
        <w:t xml:space="preserve">La carta sulla crisi in Europa e nel mondo mostra la propagazione internazionale della crisi, distinguendo le aree colpite direttamente dalla crisi del dollaro, quelle investite dalla svalutazione e crisi della sterlina, quelle colpite dalla crisi del franco francese, le crisi agricole e quelle delle materie prime. Il grafico sulla disoccupazione tra 1929 e 1934 confronta Stati Uniti, </w:t>
      </w:r>
      <w:r w:rsidRPr="005F3802">
        <w:rPr>
          <w:lang w:val="it-IT"/>
        </w:rPr>
        <w:lastRenderedPageBreak/>
        <w:t>Gran Bretagna e Germania, evidenziando l’aumento drammatico dei senza lavoro, soprattutto negli Stati Uniti e in Germania.</w:t>
      </w:r>
    </w:p>
    <w:p w14:paraId="37AC4FB4" w14:textId="77777777" w:rsidR="00D50AF3" w:rsidRPr="005F3802" w:rsidRDefault="00000000">
      <w:pPr>
        <w:pStyle w:val="CustomHeading"/>
        <w:rPr>
          <w:lang w:val="it-IT"/>
        </w:rPr>
      </w:pPr>
      <w:r w:rsidRPr="005F3802">
        <w:rPr>
          <w:lang w:val="it-IT"/>
        </w:rPr>
        <w:t>Roosevelt e la svolta politica del 1932</w:t>
      </w:r>
    </w:p>
    <w:p w14:paraId="687A74FE" w14:textId="77777777" w:rsidR="00D50AF3" w:rsidRPr="005F3802" w:rsidRDefault="00000000">
      <w:pPr>
        <w:rPr>
          <w:lang w:val="it-IT"/>
        </w:rPr>
      </w:pPr>
      <w:r w:rsidRPr="005F3802">
        <w:rPr>
          <w:lang w:val="it-IT"/>
        </w:rPr>
        <w:t>Nel 1932 la società americana era nel punto più grave della crisi. Banche, grandi imprese, piccola e media borghesia, lavoratori urbani, piccoli e medi coltivatori erano tutti coinvolti nel disastro economico. In questo contesto, alle elezioni presidenziali del 1932, il democratico Franklin Delano Roosevelt, già governatore dello Stato di New York, sconfisse nettamente Hoover promettendo cambiamenti radicali.</w:t>
      </w:r>
    </w:p>
    <w:p w14:paraId="3CE734DA" w14:textId="77777777" w:rsidR="00D50AF3" w:rsidRPr="005F3802" w:rsidRDefault="00000000">
      <w:pPr>
        <w:rPr>
          <w:lang w:val="it-IT"/>
        </w:rPr>
      </w:pPr>
      <w:r w:rsidRPr="005F3802">
        <w:rPr>
          <w:lang w:val="it-IT"/>
        </w:rPr>
        <w:t>Insediatosi il 4 marzo 1933, Roosevelt avviò immediatamente il New Deal, cioè il “nuovo corso” o “nuovo patto”. Il suo obiettivo era affrontare la spirale di crisi e povertà ribaltando l’indirizzo economico precedente, fondato sul non intervento dello Stato nel mercato. Il documento riportato nel capitolo, tratto da un discorso pronunciato da Roosevelt a Chicago il 2 luglio 1932 durante la convention democratica, mostra chiaramente il suo programma: restituire l’America al suo popolo, garantire lavoro e sicurezza, correggere gli squilibri prodotti dall’espansione precedente al 1929.</w:t>
      </w:r>
    </w:p>
    <w:p w14:paraId="0CE35D59" w14:textId="77777777" w:rsidR="00D50AF3" w:rsidRPr="005F3802" w:rsidRDefault="00000000">
      <w:pPr>
        <w:rPr>
          <w:lang w:val="it-IT"/>
        </w:rPr>
      </w:pPr>
      <w:r w:rsidRPr="005F3802">
        <w:rPr>
          <w:lang w:val="it-IT"/>
        </w:rPr>
        <w:t>Roosevelt attribuiva la crisi anche al fatto che i profitti industriali erano stati enormi, ma non si erano tradotti in riduzione dei prezzi, aumento dei salari o adeguata redistribuzione agli azionisti. Il consumatore, il lavoratore e l’azionista erano stati “dimenticati”. I surplus si erano concentrati in impianti inutili e nella speculazione finanziaria di Wall Street. Quando il sistema crollò, le banche ritirarono i crediti, l’industria si fermò, il commercio diminuì e la disoccupazione crebbe.</w:t>
      </w:r>
    </w:p>
    <w:p w14:paraId="0980E41F" w14:textId="77777777" w:rsidR="00D50AF3" w:rsidRPr="005F3802" w:rsidRDefault="00000000">
      <w:pPr>
        <w:pStyle w:val="CustomHeading"/>
        <w:rPr>
          <w:lang w:val="it-IT"/>
        </w:rPr>
      </w:pPr>
      <w:r w:rsidRPr="005F3802">
        <w:rPr>
          <w:lang w:val="it-IT"/>
        </w:rPr>
        <w:t>Il “capitalismo democratico” e il ruolo comunicativo di Roosevelt</w:t>
      </w:r>
    </w:p>
    <w:p w14:paraId="30BC22FF" w14:textId="77777777" w:rsidR="00D50AF3" w:rsidRPr="005F3802" w:rsidRDefault="00000000">
      <w:pPr>
        <w:rPr>
          <w:lang w:val="it-IT"/>
        </w:rPr>
      </w:pPr>
      <w:r w:rsidRPr="005F3802">
        <w:rPr>
          <w:lang w:val="it-IT"/>
        </w:rPr>
        <w:t>Roosevelt era presentato dal capitolo come un abile comunicatore, capace di comprendere gli stati d’animo degli americani. Celebri furono i suoi “discorsi del caminetto”, cioè comunicazioni radiofoniche settimanali con cui spiegava ai cittadini le ragioni delle proprie decisioni. La radio gli permise di creare un rapporto diretto con la popolazione, trasmettendo fiducia e ottimismo.</w:t>
      </w:r>
    </w:p>
    <w:p w14:paraId="3C977125" w14:textId="77777777" w:rsidR="00D50AF3" w:rsidRPr="005F3802" w:rsidRDefault="00000000">
      <w:pPr>
        <w:rPr>
          <w:lang w:val="it-IT"/>
        </w:rPr>
      </w:pPr>
      <w:r w:rsidRPr="005F3802">
        <w:rPr>
          <w:lang w:val="it-IT"/>
        </w:rPr>
        <w:t>Per elaborare le soluzioni alla crisi, Roosevelt si affidò a un gruppo di esperti, il cosiddetto brain trust. L’obiettivo era limitare il potere dell’alta finanza, subordinare gli interessi dei grandi gruppi economici alle esigenze della nazione e imprimere una svolta al capitalismo americano. Da qui nacque quella che il capitolo definisce stagione del “capitalismo democratico”: non una dottrina rigida, ma un indirizzo pragmatico che univa iniziativa individuale, sostegno pubblico e regolamentazione statale dei rapporti tra capitale e lavoro.</w:t>
      </w:r>
    </w:p>
    <w:p w14:paraId="18DC707C" w14:textId="77777777" w:rsidR="00D50AF3" w:rsidRPr="005F3802" w:rsidRDefault="00000000">
      <w:pPr>
        <w:rPr>
          <w:lang w:val="it-IT"/>
        </w:rPr>
      </w:pPr>
      <w:r w:rsidRPr="005F3802">
        <w:rPr>
          <w:lang w:val="it-IT"/>
        </w:rPr>
        <w:t>Il New Deal mirava dunque a saldare ripresa economica e riforme sociali. Lo Stato non doveva abolire il capitalismo, ma correggerne gli squilibri, proteggere i lavoratori e sostenere le fasce più deboli.</w:t>
      </w:r>
    </w:p>
    <w:p w14:paraId="5BD408EE" w14:textId="77777777" w:rsidR="00D50AF3" w:rsidRPr="005F3802" w:rsidRDefault="00000000">
      <w:pPr>
        <w:pStyle w:val="CustomHeading"/>
        <w:rPr>
          <w:lang w:val="it-IT"/>
        </w:rPr>
      </w:pPr>
      <w:r w:rsidRPr="005F3802">
        <w:rPr>
          <w:lang w:val="it-IT"/>
        </w:rPr>
        <w:lastRenderedPageBreak/>
        <w:t>Le prime misure del New Deal: banche, moneta e credito</w:t>
      </w:r>
    </w:p>
    <w:p w14:paraId="70678207" w14:textId="77777777" w:rsidR="00D50AF3" w:rsidRPr="005F3802" w:rsidRDefault="00000000">
      <w:pPr>
        <w:rPr>
          <w:lang w:val="it-IT"/>
        </w:rPr>
      </w:pPr>
      <w:r w:rsidRPr="005F3802">
        <w:rPr>
          <w:lang w:val="it-IT"/>
        </w:rPr>
        <w:t>Durante i primi “cento giorni” dall’insediamento, Roosevelt fece approvare dal Congresso una serie di provvedimenti straordinari. Con l’Emergency Banking Act, la Federal Reserve Bank divenne la Banca centrale degli Stati Uniti e fu incaricata di gestire la politica monetaria. Le banche private e le holding finanziarie furono sottoposte a controlli periodici, mentre il governo federale introdusse una garanzia sui piccoli depositi per proteggere i risparmiatori.</w:t>
      </w:r>
    </w:p>
    <w:p w14:paraId="4DF43224" w14:textId="77777777" w:rsidR="00D50AF3" w:rsidRPr="005F3802" w:rsidRDefault="00000000">
      <w:pPr>
        <w:rPr>
          <w:lang w:val="it-IT"/>
        </w:rPr>
      </w:pPr>
      <w:r w:rsidRPr="005F3802">
        <w:rPr>
          <w:lang w:val="it-IT"/>
        </w:rPr>
        <w:t>Il New Deal abbandonò la politica deflazionistica precedente, centrata sulla difesa della moneta, e adottò una strategia di inflazione controllata. Nel marzo 1933 fu decisa l’uscita dalla parità aurea, con aumento della quantità di moneta in circolazione e conseguente svalutazione del dollaro, deprezzato di circa il 60% nel 1934. I tassi d’interesse furono abbassati per rendere meno costoso il denaro e stimolare nuovi investimenti produttivi.</w:t>
      </w:r>
    </w:p>
    <w:p w14:paraId="2C3462A0" w14:textId="77777777" w:rsidR="00D50AF3" w:rsidRPr="005F3802" w:rsidRDefault="00000000">
      <w:pPr>
        <w:rPr>
          <w:lang w:val="it-IT"/>
        </w:rPr>
      </w:pPr>
      <w:r w:rsidRPr="005F3802">
        <w:rPr>
          <w:lang w:val="it-IT"/>
        </w:rPr>
        <w:t>Lo Stato emise titoli pubblici depositati presso la FED per finanziare la spesa pubblica. Furono inoltre concessi prestiti per aiutare le famiglie indebitate con i mutui e gli agricoltori che rischiavano di perdere terreni e immobili gravati da ipoteche.</w:t>
      </w:r>
    </w:p>
    <w:p w14:paraId="70B85BE7" w14:textId="77777777" w:rsidR="00D50AF3" w:rsidRPr="005F3802" w:rsidRDefault="00000000">
      <w:pPr>
        <w:pStyle w:val="CustomHeading"/>
        <w:rPr>
          <w:lang w:val="it-IT"/>
        </w:rPr>
      </w:pPr>
      <w:r w:rsidRPr="005F3802">
        <w:rPr>
          <w:lang w:val="it-IT"/>
        </w:rPr>
        <w:t>Le riforme strutturali: industria, agricoltura, opere pubbliche e TVA</w:t>
      </w:r>
    </w:p>
    <w:p w14:paraId="6BAAAD91" w14:textId="77777777" w:rsidR="00D50AF3" w:rsidRPr="005F3802" w:rsidRDefault="00000000">
      <w:pPr>
        <w:rPr>
          <w:lang w:val="it-IT"/>
        </w:rPr>
      </w:pPr>
      <w:r w:rsidRPr="005F3802">
        <w:rPr>
          <w:lang w:val="it-IT"/>
        </w:rPr>
        <w:t>Le misure più significative del New Deal furono quelle strutturali, con cui lo Stato cominciò a regolare direttamente alcuni processi economici. Il National Industrial Recovery Act del 1933 promosse grandi opere pubbliche, pensate sia per rilanciare l’industria sia per riassorbire parte della disoccupazione, soprattutto nelle aree rurali e depresse. In cambio del sostegno statale, le industrie dovevano rispettare codici di condotta che regolavano la concorrenza e introducevano tutele per i lavoratori: salari minimi, riduzione dell’orario di lavoro e riconoscimento dei sindacati nella contrattazione aziendale.</w:t>
      </w:r>
    </w:p>
    <w:p w14:paraId="0DD18F3C" w14:textId="77777777" w:rsidR="00D50AF3" w:rsidRPr="005F3802" w:rsidRDefault="00000000">
      <w:pPr>
        <w:rPr>
          <w:lang w:val="it-IT"/>
        </w:rPr>
      </w:pPr>
      <w:r w:rsidRPr="005F3802">
        <w:rPr>
          <w:lang w:val="it-IT"/>
        </w:rPr>
        <w:t>Sempre nel 1933, l’</w:t>
      </w:r>
      <w:proofErr w:type="spellStart"/>
      <w:r w:rsidRPr="005F3802">
        <w:rPr>
          <w:lang w:val="it-IT"/>
        </w:rPr>
        <w:t>Agricultural</w:t>
      </w:r>
      <w:proofErr w:type="spellEnd"/>
      <w:r w:rsidRPr="005F3802">
        <w:rPr>
          <w:lang w:val="it-IT"/>
        </w:rPr>
        <w:t xml:space="preserve"> </w:t>
      </w:r>
      <w:proofErr w:type="spellStart"/>
      <w:r w:rsidRPr="005F3802">
        <w:rPr>
          <w:lang w:val="it-IT"/>
        </w:rPr>
        <w:t>Adjustment</w:t>
      </w:r>
      <w:proofErr w:type="spellEnd"/>
      <w:r w:rsidRPr="005F3802">
        <w:rPr>
          <w:lang w:val="it-IT"/>
        </w:rPr>
        <w:t xml:space="preserve"> Act intervenne sull’agricoltura sostenendo i prezzi delle derrate e acquistando con fondi pubblici le eccedenze, poi distribuite ai bisognosi. Un modello particolarmente importante di intervento pubblico fu la Tennessee Valley Authority, agenzia federale incaricata di sviluppare la produzione di energia elettrica sfruttando il bacino del fiume Tennessee e di riordinare ecologicamente un territorio colpito dalla depressione.</w:t>
      </w:r>
    </w:p>
    <w:p w14:paraId="3B70B881" w14:textId="77777777" w:rsidR="00D50AF3" w:rsidRPr="005F3802" w:rsidRDefault="00000000">
      <w:pPr>
        <w:rPr>
          <w:lang w:val="it-IT"/>
        </w:rPr>
      </w:pPr>
      <w:r w:rsidRPr="005F3802">
        <w:rPr>
          <w:lang w:val="it-IT"/>
        </w:rPr>
        <w:t>Nel 1933 venne anche abolito il proibizionismo. Questa scelta permise di colpire il commercio illegale di alcol, di far affluire allo Stato nuove entrate fiscali attraverso la tassazione delle bevande e di creare posti di lavoro nell’industria degli alcolici.</w:t>
      </w:r>
    </w:p>
    <w:p w14:paraId="6E63002E" w14:textId="77777777" w:rsidR="00D50AF3" w:rsidRPr="005F3802" w:rsidRDefault="00000000">
      <w:pPr>
        <w:pStyle w:val="CustomHeading"/>
        <w:rPr>
          <w:lang w:val="it-IT"/>
        </w:rPr>
      </w:pPr>
      <w:r w:rsidRPr="005F3802">
        <w:rPr>
          <w:lang w:val="it-IT"/>
        </w:rPr>
        <w:t>Il secondo New Deal e l’ampliamento dello Stato sociale</w:t>
      </w:r>
    </w:p>
    <w:p w14:paraId="670AE450" w14:textId="77777777" w:rsidR="00D50AF3" w:rsidRPr="005F3802" w:rsidRDefault="00000000">
      <w:pPr>
        <w:rPr>
          <w:lang w:val="it-IT"/>
        </w:rPr>
      </w:pPr>
      <w:r w:rsidRPr="005F3802">
        <w:rPr>
          <w:lang w:val="it-IT"/>
        </w:rPr>
        <w:t xml:space="preserve">A partire dal 1935 iniziò una seconda fase di riforme, il cosiddetto “secondo New Deal”. Lo Stato estese ulteriormente il proprio intervento. La Works Progress Administration impiegò milioni di lavoratori in opere pubbliche. Il riquadro dedicato alla WPA sottolinea che essa divenne una </w:t>
      </w:r>
      <w:r w:rsidRPr="005F3802">
        <w:rPr>
          <w:lang w:val="it-IT"/>
        </w:rPr>
        <w:lastRenderedPageBreak/>
        <w:t>delle principali fonti di lavoro negli Stati Uniti prima della guerra, finanziando la costruzione di ponti, strade, edifici pubblici e sostenendo servizi pubblici, minoranze svantaggiate, cultura, arte e salute.</w:t>
      </w:r>
    </w:p>
    <w:p w14:paraId="27E5B7CA" w14:textId="77777777" w:rsidR="00D50AF3" w:rsidRPr="005F3802" w:rsidRDefault="00000000">
      <w:pPr>
        <w:rPr>
          <w:lang w:val="it-IT"/>
        </w:rPr>
      </w:pPr>
      <w:r w:rsidRPr="005F3802">
        <w:rPr>
          <w:lang w:val="it-IT"/>
        </w:rPr>
        <w:t>Il Wealth Tax Act aumentò le imposte sui redditi più elevati. Il National Labor Relations Act rafforzò il riconoscimento istituzionale dei sindacati. Il Social Security Act introdusse sussidi di vecchiaia e disoccupazione per molti lavoratori che fino ad allora non ne avevano beneficiato. Il New Deal assunse così anche un carattere sociale, non limitandosi al rilancio economico ma mirando a una maggiore equità.</w:t>
      </w:r>
    </w:p>
    <w:p w14:paraId="32C89B59" w14:textId="77777777" w:rsidR="00D50AF3" w:rsidRPr="005F3802" w:rsidRDefault="00000000">
      <w:pPr>
        <w:pStyle w:val="CustomHeading"/>
        <w:rPr>
          <w:lang w:val="it-IT"/>
        </w:rPr>
      </w:pPr>
      <w:r w:rsidRPr="005F3802">
        <w:rPr>
          <w:lang w:val="it-IT"/>
        </w:rPr>
        <w:t>Consensi, opposizioni e limiti del New Deal</w:t>
      </w:r>
    </w:p>
    <w:p w14:paraId="54FC6C70" w14:textId="77777777" w:rsidR="00D50AF3" w:rsidRPr="005F3802" w:rsidRDefault="00000000">
      <w:pPr>
        <w:rPr>
          <w:lang w:val="it-IT"/>
        </w:rPr>
      </w:pPr>
      <w:r w:rsidRPr="005F3802">
        <w:rPr>
          <w:lang w:val="it-IT"/>
        </w:rPr>
        <w:t>Il New Deal garantì a Roosevelt un vasto consenso tra molti americani, i sindacati e una parte delle grandi imprese. Nel 1936 Roosevelt fu rieletto con un consenso ancora più ampio e avrebbe ottenuto anche un terzo e un quarto mandato nel 1940 e nel 1944.</w:t>
      </w:r>
    </w:p>
    <w:p w14:paraId="72D8ECFC" w14:textId="77777777" w:rsidR="00D50AF3" w:rsidRPr="005F3802" w:rsidRDefault="00000000">
      <w:pPr>
        <w:rPr>
          <w:lang w:val="it-IT"/>
        </w:rPr>
      </w:pPr>
      <w:r w:rsidRPr="005F3802">
        <w:rPr>
          <w:lang w:val="it-IT"/>
        </w:rPr>
        <w:t>Non mancarono però opposizioni, soprattutto da parte dei conservatori. Essi accusavano il New Deal di attribuire allo Stato poteri e funzioni superiori alle sue prerogative tradizionali, di rafforzare eccessivamente il presidente rispetto al Congresso, di aumentare il deficit pubblico e di rendere troppo costose le politiche sociali. Il conflitto raggiunse il culmine tra il 1935 e il 1936, quando la Corte suprema, composta in gran parte da giudici conservatori, dichiarò incostituzionali alcuni provvedimenti del New Deal, tra cui il National Industrial Recovery Act. Ne nacque uno scontro tra poteri costituzionali, poi riassorbito con il cambiamento degli equilibri interni alla Corte.</w:t>
      </w:r>
    </w:p>
    <w:p w14:paraId="070879C2" w14:textId="77777777" w:rsidR="00D50AF3" w:rsidRPr="005F3802" w:rsidRDefault="00000000">
      <w:pPr>
        <w:rPr>
          <w:lang w:val="it-IT"/>
        </w:rPr>
      </w:pPr>
      <w:r w:rsidRPr="005F3802">
        <w:rPr>
          <w:lang w:val="it-IT"/>
        </w:rPr>
        <w:t xml:space="preserve">Sul piano economico, la ripresa fu lenta. Per tutti gli anni Trenta la disoccupazione rimase alta e furono necessari continui interventi pubblici. Solo alla fine del decennio gli indicatori economici iniziarono a migliorare nettamente, con un picco dopo il 1941, quando l’ingresso degli Stati Uniti nella </w:t>
      </w:r>
      <w:proofErr w:type="gramStart"/>
      <w:r w:rsidRPr="005F3802">
        <w:rPr>
          <w:lang w:val="it-IT"/>
        </w:rPr>
        <w:t>seconda guerra mondiale</w:t>
      </w:r>
      <w:proofErr w:type="gramEnd"/>
      <w:r w:rsidRPr="005F3802">
        <w:rPr>
          <w:lang w:val="it-IT"/>
        </w:rPr>
        <w:t xml:space="preserve"> portò alla conversione dell’apparato produttivo verso le forniture militari.</w:t>
      </w:r>
    </w:p>
    <w:p w14:paraId="6B33C4D7" w14:textId="77777777" w:rsidR="00D50AF3" w:rsidRPr="005F3802" w:rsidRDefault="00000000">
      <w:pPr>
        <w:pStyle w:val="CustomHeading"/>
        <w:rPr>
          <w:lang w:val="it-IT"/>
        </w:rPr>
      </w:pPr>
      <w:r w:rsidRPr="005F3802">
        <w:rPr>
          <w:lang w:val="it-IT"/>
        </w:rPr>
        <w:t>Keynes e la nuova funzione dello Stato nell’economia</w:t>
      </w:r>
    </w:p>
    <w:p w14:paraId="3C13633E" w14:textId="77777777" w:rsidR="00D50AF3" w:rsidRPr="005F3802" w:rsidRDefault="00000000">
      <w:pPr>
        <w:rPr>
          <w:lang w:val="it-IT"/>
        </w:rPr>
      </w:pPr>
      <w:r w:rsidRPr="005F3802">
        <w:rPr>
          <w:lang w:val="it-IT"/>
        </w:rPr>
        <w:t>Il capitolo collega il New Deal alle teorie di John Maynard Keynes. La grande depressione mise in discussione il principio del laissez-faire, secondo cui il mercato sarebbe stato capace di autoregolarsi senza interventi statali. La crisi mostrò invece che l’economia di mercato poteva entrare in una spirale distruttiva di crollo della domanda, caduta della produzione e disoccupazione di massa.</w:t>
      </w:r>
    </w:p>
    <w:p w14:paraId="4ED3142B" w14:textId="77777777" w:rsidR="00D50AF3" w:rsidRPr="005F3802" w:rsidRDefault="00000000">
      <w:pPr>
        <w:rPr>
          <w:lang w:val="it-IT"/>
        </w:rPr>
      </w:pPr>
      <w:r w:rsidRPr="005F3802">
        <w:rPr>
          <w:lang w:val="it-IT"/>
        </w:rPr>
        <w:t xml:space="preserve">Si passò così da uno Stato “astensionista”, limitato a garantire le condizioni generali dei rapporti economici, a uno Stato “interventista”, capace di regolare cambi, quantità di moneta, prezzi, distribuzione del reddito, produzione e investimenti. Questo mutamento non metteva in </w:t>
      </w:r>
      <w:r w:rsidRPr="005F3802">
        <w:rPr>
          <w:lang w:val="it-IT"/>
        </w:rPr>
        <w:lastRenderedPageBreak/>
        <w:t>discussione la proprietà privata o la legittimità del profitto, ma introduceva vincoli all’iniziativa privata per renderla compatibile con l’interesse collettivo e la stabilità economica.</w:t>
      </w:r>
    </w:p>
    <w:p w14:paraId="12B99CE0" w14:textId="77777777" w:rsidR="00D50AF3" w:rsidRPr="005F3802" w:rsidRDefault="00000000">
      <w:pPr>
        <w:rPr>
          <w:lang w:val="it-IT"/>
        </w:rPr>
      </w:pPr>
      <w:r w:rsidRPr="005F3802">
        <w:rPr>
          <w:lang w:val="it-IT"/>
        </w:rPr>
        <w:t xml:space="preserve">Nel 1936 Keynes pubblicò la Teoria generale dell’occupazione, dell’interesse e della moneta, opera che rivoluzionò la macroeconomia. Contro la teoria classica, secondo cui il mercato tende spontaneamente all’equilibrio e la disoccupazione è solo temporanea, Keynes sosteneva che il mercato lasciato a </w:t>
      </w:r>
      <w:proofErr w:type="gramStart"/>
      <w:r w:rsidRPr="005F3802">
        <w:rPr>
          <w:lang w:val="it-IT"/>
        </w:rPr>
        <w:t>se</w:t>
      </w:r>
      <w:proofErr w:type="gramEnd"/>
      <w:r w:rsidRPr="005F3802">
        <w:rPr>
          <w:lang w:val="it-IT"/>
        </w:rPr>
        <w:t xml:space="preserve"> stesso non garantisce piena occupazione. Occorreva quindi l’intervento dello Stato per agire sul rapporto tra consumo, produzione e disoccupazione.</w:t>
      </w:r>
    </w:p>
    <w:p w14:paraId="75C3FC63" w14:textId="77777777" w:rsidR="00D50AF3" w:rsidRPr="005F3802" w:rsidRDefault="00000000">
      <w:pPr>
        <w:rPr>
          <w:lang w:val="it-IT"/>
        </w:rPr>
      </w:pPr>
      <w:r w:rsidRPr="005F3802">
        <w:rPr>
          <w:lang w:val="it-IT"/>
        </w:rPr>
        <w:t>Secondo Keynes, la spesa pubblica poteva aumentare il potere d’acquisto delle famiglie, riattivare i consumi, stimolare la produzione e ridurre la disoccupazione. Lo Stato doveva finanziare lavori pubblici, sussidi ai disoccupati e servizi di pubblica utilità come istruzione, sanità e previdenza. Era anche legittimo ricorrere al deficit spending, cioè a una politica di bilancio in deficit, e aumentare la moneta in circolazione. L’inflazione iniziale sarebbe stata compensata, in seguito, dalla ripresa economica e dall’aumento delle entrate fiscali.</w:t>
      </w:r>
    </w:p>
    <w:p w14:paraId="7AB658F3" w14:textId="77777777" w:rsidR="00D50AF3" w:rsidRPr="005F3802" w:rsidRDefault="00000000">
      <w:pPr>
        <w:pStyle w:val="CustomHeading"/>
        <w:rPr>
          <w:lang w:val="it-IT"/>
        </w:rPr>
      </w:pPr>
      <w:r w:rsidRPr="005F3802">
        <w:rPr>
          <w:lang w:val="it-IT"/>
        </w:rPr>
        <w:t>Crisi economica, democrazia e autoritarismi</w:t>
      </w:r>
    </w:p>
    <w:p w14:paraId="407F4D33" w14:textId="77777777" w:rsidR="00D50AF3" w:rsidRPr="005F3802" w:rsidRDefault="00000000">
      <w:pPr>
        <w:rPr>
          <w:lang w:val="it-IT"/>
        </w:rPr>
      </w:pPr>
      <w:r w:rsidRPr="005F3802">
        <w:rPr>
          <w:lang w:val="it-IT"/>
        </w:rPr>
        <w:t>La crisi del 1929 ebbe conseguenze politiche profonde. In molti paesi, le istituzioni democratiche, già deboli, furono messe alla prova. Si diffuse l’idea che solo un governo forte, capace di intervenire rapidamente e senza mediazioni tra le parti sociali, potesse affrontare la crisi economica e impedire la disgregazione sociale. In questo quadro, la crisi favorì l’affermazione o il consolidamento di regimi autoritari e totalitari, in particolare nell’Italia fascista e nella Germania nazista.</w:t>
      </w:r>
    </w:p>
    <w:p w14:paraId="6EC17F28" w14:textId="77777777" w:rsidR="00D50AF3" w:rsidRPr="005F3802" w:rsidRDefault="00000000">
      <w:pPr>
        <w:rPr>
          <w:lang w:val="it-IT"/>
        </w:rPr>
      </w:pPr>
      <w:r w:rsidRPr="005F3802">
        <w:rPr>
          <w:lang w:val="it-IT"/>
        </w:rPr>
        <w:t>Negli Stati Uniti, invece, l’intervento pubblico assunse un carattere progressista e democratico. Il New Deal mirava a ridurre la disoccupazione e le difficoltà delle masse popolari proprio per salvaguardare le basi della democrazia. Il capitolo sottolinea che anche negli Stati Uniti la crisi aveva alimentato sfiducia nelle istituzioni e suggestioni provenienti sia dal fascismo sia dal comunismo europeo. La risposta di Roosevelt mostrò che il capitalismo, corretto nei suoi aspetti più aggressivi e sottratto alla pura logica del profitto, poteva garantire crescita economica e maggiore benessere sociale.</w:t>
      </w:r>
    </w:p>
    <w:p w14:paraId="10381560" w14:textId="77777777" w:rsidR="00D50AF3" w:rsidRPr="005F3802" w:rsidRDefault="00000000">
      <w:pPr>
        <w:rPr>
          <w:lang w:val="it-IT"/>
        </w:rPr>
      </w:pPr>
      <w:r w:rsidRPr="005F3802">
        <w:rPr>
          <w:lang w:val="it-IT"/>
        </w:rPr>
        <w:t>Lo schema finale sulla politica del New Deal riassume bene questo indirizzo: l’intervento dello Stato aveva tre obiettivi principali, cioè rilanciare la produzione, assorbire la disoccupazione e favorire l’equità sociale. Gli strumenti indicati erano il controllo dei prezzi, l’introduzione dei salari minimi, la progettazione di grandi opere pubbliche, la tassazione dei redditi più alti e l’ampliamento della sicurezza sociale.</w:t>
      </w:r>
    </w:p>
    <w:p w14:paraId="5298B075" w14:textId="77777777" w:rsidR="00D50AF3" w:rsidRPr="005F3802" w:rsidRDefault="00000000">
      <w:pPr>
        <w:pStyle w:val="CustomHeading"/>
        <w:rPr>
          <w:lang w:val="it-IT"/>
        </w:rPr>
      </w:pPr>
      <w:r w:rsidRPr="005F3802">
        <w:rPr>
          <w:lang w:val="it-IT"/>
        </w:rPr>
        <w:t>Gli Stati Uniti e l’America Latina: dal “buon vicinato” alle interferenze</w:t>
      </w:r>
    </w:p>
    <w:p w14:paraId="46B65544" w14:textId="77777777" w:rsidR="00D50AF3" w:rsidRPr="005F3802" w:rsidRDefault="00000000">
      <w:pPr>
        <w:rPr>
          <w:lang w:val="it-IT"/>
        </w:rPr>
      </w:pPr>
      <w:r w:rsidRPr="005F3802">
        <w:rPr>
          <w:lang w:val="it-IT"/>
        </w:rPr>
        <w:t xml:space="preserve">Il capitolo dedica l’ultima sezione al difficile percorso dell’America Latina. L’isolazionismo statunitense del dopoguerra non significò rinuncia a esercitare influenza nel continente </w:t>
      </w:r>
      <w:r w:rsidRPr="005F3802">
        <w:rPr>
          <w:lang w:val="it-IT"/>
        </w:rPr>
        <w:lastRenderedPageBreak/>
        <w:t xml:space="preserve">americano. Al contrario, negli anni Venti e Trenta, mentre declinava l’influenza europea e soprattutto britannica, gli Stati Uniti rafforzarono il proprio ruolo nel subcontinente </w:t>
      </w:r>
      <w:proofErr w:type="gramStart"/>
      <w:r w:rsidRPr="005F3802">
        <w:rPr>
          <w:lang w:val="it-IT"/>
        </w:rPr>
        <w:t>latinoamericano</w:t>
      </w:r>
      <w:proofErr w:type="gramEnd"/>
      <w:r w:rsidRPr="005F3802">
        <w:rPr>
          <w:lang w:val="it-IT"/>
        </w:rPr>
        <w:t>, considerato da tempo il proprio “cortile di casa”.</w:t>
      </w:r>
    </w:p>
    <w:p w14:paraId="5BF1E698" w14:textId="77777777" w:rsidR="00D50AF3" w:rsidRPr="005F3802" w:rsidRDefault="00000000">
      <w:pPr>
        <w:rPr>
          <w:lang w:val="it-IT"/>
        </w:rPr>
      </w:pPr>
      <w:r w:rsidRPr="005F3802">
        <w:rPr>
          <w:lang w:val="it-IT"/>
        </w:rPr>
        <w:t>Già con William H. Taft e poi con Wilson, la “diplomazia del dollaro” aveva sostituito la più brutale politica del “grosso bastone” di Theodore Roosevelt. Il nuovo indirizzo, ispirato formalmente al principio del “buon vicinato”, mirava a instaurare relazioni economiche e finanziarie vantaggiose. L’America Latina rappresentava un mercato di sbocco per l’industria nordamericana e una fonte di materie prime e generi alimentari. Inoltre, piantagioni e miniere erano spesso controllate da società statunitensi. Questa dipendenza rese particolarmente gravi gli effetti della crisi del 1929 nella regione.</w:t>
      </w:r>
    </w:p>
    <w:p w14:paraId="763BA35D" w14:textId="7915E0C1" w:rsidR="00D50AF3" w:rsidRPr="005F3802" w:rsidRDefault="00000000">
      <w:pPr>
        <w:rPr>
          <w:lang w:val="it-IT"/>
        </w:rPr>
      </w:pPr>
      <w:r w:rsidRPr="005F3802">
        <w:rPr>
          <w:lang w:val="it-IT"/>
        </w:rPr>
        <w:t>Con Franklin D. Roosevelt, la politica del buon vicinato fu ulteriormente sviluppata. Roosevelt riteneva che un aiuto statunitense allo sviluppo economico dei paesi latinoamericani potesse favorire relazioni diplomatiche più solide e una maggiore stabilità politica. Alla Conferenza panamericana di Montevideo del dicembre 1933 venne esclusa formalmente ogni forma di intervento militare statunitense in America Latina e fu rilanciata la dottrina del panamericanismo, fondata su cooperazione, integrità territoriale e indipendenza politica.</w:t>
      </w:r>
    </w:p>
    <w:sectPr w:rsidR="00D50AF3" w:rsidRPr="005F380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4021889">
    <w:abstractNumId w:val="8"/>
  </w:num>
  <w:num w:numId="2" w16cid:durableId="1876304964">
    <w:abstractNumId w:val="6"/>
  </w:num>
  <w:num w:numId="3" w16cid:durableId="1949267548">
    <w:abstractNumId w:val="5"/>
  </w:num>
  <w:num w:numId="4" w16cid:durableId="789782854">
    <w:abstractNumId w:val="4"/>
  </w:num>
  <w:num w:numId="5" w16cid:durableId="2083289998">
    <w:abstractNumId w:val="7"/>
  </w:num>
  <w:num w:numId="6" w16cid:durableId="2136174984">
    <w:abstractNumId w:val="3"/>
  </w:num>
  <w:num w:numId="7" w16cid:durableId="1092318888">
    <w:abstractNumId w:val="2"/>
  </w:num>
  <w:num w:numId="8" w16cid:durableId="349307350">
    <w:abstractNumId w:val="1"/>
  </w:num>
  <w:num w:numId="9" w16cid:durableId="13225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802"/>
    <w:rsid w:val="0070573F"/>
    <w:rsid w:val="00AA1D8D"/>
    <w:rsid w:val="00B47730"/>
    <w:rsid w:val="00CB0664"/>
    <w:rsid w:val="00D50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0E6AC"/>
  <w14:defaultImageDpi w14:val="300"/>
  <w15:docId w15:val="{D71687A8-EACB-4DA4-824E-693C6A68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Calibri" w:eastAsia="Calibri" w:hAnsi="Calibri"/>
      <w:b/>
      <w:sz w:val="30"/>
    </w:rPr>
  </w:style>
  <w:style w:type="paragraph" w:customStyle="1" w:styleId="CustomHeading">
    <w:name w:val="CustomHeading"/>
    <w:pPr>
      <w:spacing w:before="200" w:after="120"/>
    </w:pPr>
    <w:rPr>
      <w:rFonts w:ascii="Calibri" w:eastAsia="Calibri" w:hAnsi="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2026-05-29T20:31:00Z</dcterms:modified>
  <cp:category/>
</cp:coreProperties>
</file>