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Insights Report</w:t>
      </w:r>
    </w:p>
    <w:p>
      <w:r>
        <w:t>This report presents the key findings from the analysis of the Danish Pharmacy Sales Data for April 2023. The insights are derived from two primary analyses: daily and hourly sales trends, and top-selling medicines. Each section includes observed trends, recommendations, and limitations where applicable.</w:t>
      </w:r>
    </w:p>
    <w:p>
      <w:pPr>
        <w:pStyle w:val="Heading2"/>
      </w:pPr>
      <w:r>
        <w:t>1. Daily Total Medicine Sales (Revenue)</w:t>
      </w:r>
    </w:p>
    <w:p>
      <w:r>
        <w:t>Observed Trends:</w:t>
        <w:br/>
        <w:t>- Overall sales were stable, ranging between ₹950,000 and ₹1,050,000 daily.</w:t>
        <w:br/>
        <w:t>- Revenue peaked on April 6 (highest) and April 11 (second highest).</w:t>
        <w:br/>
        <w:t>- A sharp decline occurred on April 13.</w:t>
      </w:r>
    </w:p>
    <w:p>
      <w:r>
        <w:t>Suggestions:</w:t>
        <w:br/>
        <w:t>- Ensure sufficient stock and staffing on peak days.</w:t>
        <w:br/>
        <w:t>- Maintain customer engagement during stable days.</w:t>
      </w:r>
    </w:p>
    <w:p>
      <w:r>
        <w:t>Limitations:</w:t>
        <w:br/>
        <w:t>- Based on revenue, not quantity.</w:t>
        <w:br/>
        <w:t>- External factors not considered.</w:t>
      </w:r>
    </w:p>
    <w:p>
      <w:pPr>
        <w:pStyle w:val="Heading2"/>
      </w:pPr>
      <w:r>
        <w:t>2. Daily Total Medicine Sales (Quantity)</w:t>
      </w:r>
    </w:p>
    <w:p>
      <w:r>
        <w:t>Observed Trends:</w:t>
        <w:br/>
        <w:t>- Daily quantity sold remained mostly stable (8,400–9,100 units).</w:t>
        <w:br/>
        <w:t>- Peaks occurred on April 6 and April 11.</w:t>
        <w:br/>
        <w:t>- April 13 saw sales drop below 5,000 units.</w:t>
      </w:r>
    </w:p>
    <w:p>
      <w:r>
        <w:t>Suggestions:</w:t>
        <w:br/>
        <w:t>- Plan weekly stock orders based on stable demand.</w:t>
        <w:br/>
        <w:t>- Prepare for higher demand on peak days.</w:t>
      </w:r>
    </w:p>
    <w:p>
      <w:r>
        <w:t>Limitations:</w:t>
        <w:br/>
        <w:t>- Based only on quantity.</w:t>
        <w:br/>
        <w:t>- No breakdown by drug category.</w:t>
      </w:r>
    </w:p>
    <w:p>
      <w:pPr>
        <w:pStyle w:val="Heading2"/>
      </w:pPr>
      <w:r>
        <w:t>3. Correlation Between Quantity and Revenue</w:t>
      </w:r>
    </w:p>
    <w:p>
      <w:r>
        <w:t>Observed Trends:</w:t>
        <w:br/>
        <w:t>- Strong positive correlation between quantity and revenue.</w:t>
        <w:br/>
        <w:t>- Most sales clustered in 8,400–9,100 units and revenue above ₹950,000.</w:t>
        <w:br/>
        <w:t>- Outlier on April 13 with both metrics low.</w:t>
      </w:r>
    </w:p>
    <w:p>
      <w:r>
        <w:t>Suggestions:</w:t>
        <w:br/>
        <w:t>- Increase sales volume to boost revenue.</w:t>
      </w:r>
    </w:p>
    <w:p>
      <w:r>
        <w:t>Limitations:</w:t>
        <w:br/>
        <w:t>- Does not account for external influences.</w:t>
      </w:r>
    </w:p>
    <w:p>
      <w:pPr>
        <w:pStyle w:val="Heading2"/>
      </w:pPr>
      <w:r>
        <w:t>4. Hourly Sales Trends</w:t>
      </w:r>
    </w:p>
    <w:p>
      <w:r>
        <w:t>Observed Trends:</w:t>
        <w:br/>
        <w:t>- Sales rise after 10 AM, peak between 11 AM–1 PM.</w:t>
        <w:br/>
        <w:t>- Decline through the evening, stable between 3–4 PM.</w:t>
      </w:r>
    </w:p>
    <w:p>
      <w:r>
        <w:t>Suggestions:</w:t>
        <w:br/>
        <w:t>- Align staffing with peak hours.</w:t>
        <w:br/>
        <w:t>- Use off-peak hours for restocking.</w:t>
      </w:r>
    </w:p>
    <w:p>
      <w:r>
        <w:t>Limitations:</w:t>
        <w:br/>
        <w:t>- Reflects revenue, not number of customers.</w:t>
      </w:r>
    </w:p>
    <w:p>
      <w:pPr>
        <w:pStyle w:val="Heading2"/>
      </w:pPr>
      <w:r>
        <w:t>5. Day-Hour Heatmap</w:t>
      </w:r>
    </w:p>
    <w:p>
      <w:r>
        <w:t>Observed Trends:</w:t>
        <w:br/>
        <w:t>- Mon–Wed (10 AM–2 PM) are peak hours.</w:t>
        <w:br/>
        <w:t>- Friday sales lowest after 2 PM.</w:t>
        <w:br/>
        <w:t>- Saturday 3 PM and Sunday 4 PM see spikes.</w:t>
      </w:r>
    </w:p>
    <w:p>
      <w:r>
        <w:t>Suggestions:</w:t>
        <w:br/>
        <w:t>- Increase staff during weekday peaks and weekend spikes.</w:t>
        <w:br/>
        <w:t>- Adjust inventory accordingly.</w:t>
      </w:r>
    </w:p>
    <w:p>
      <w:r>
        <w:t>Limitations:</w:t>
        <w:br/>
        <w:t>- Revenue-based; ignores holidays/events.</w:t>
      </w:r>
    </w:p>
    <w:p>
      <w:pPr>
        <w:pStyle w:val="Heading2"/>
      </w:pPr>
      <w:r>
        <w:t>6. Top 10 Medicines by Revenue</w:t>
      </w:r>
    </w:p>
    <w:p>
      <w:r>
        <w:t>Observed Trends:</w:t>
        <w:br/>
        <w:t>- Azithromycin, Saxagliptin, Sertraline lead in revenue.</w:t>
        <w:br/>
        <w:t>- Clonazepam, Clindamycin also contribute significantly.</w:t>
      </w:r>
    </w:p>
    <w:p>
      <w:r>
        <w:t>Suggestions:</w:t>
        <w:br/>
        <w:t>- Monitor stock and expiry of top earners.</w:t>
        <w:br/>
        <w:t>- Negotiate better supplier deals.</w:t>
      </w:r>
    </w:p>
    <w:p>
      <w:r>
        <w:t>Limitations:</w:t>
        <w:br/>
        <w:t>- Ranking based on revenue, not units sold.</w:t>
      </w:r>
    </w:p>
    <w:p>
      <w:pPr>
        <w:pStyle w:val="Heading2"/>
      </w:pPr>
      <w:r>
        <w:t>7. Top 10 Medicines by Quantity Sold</w:t>
      </w:r>
    </w:p>
    <w:p>
      <w:r>
        <w:t>Observed Trends:</w:t>
        <w:br/>
        <w:t>- Escitalopram, Senna, Oxycodone have highest demand.</w:t>
        <w:br/>
        <w:t>- Azithromycin and Saxagliptin rank high in both demand and revenue.</w:t>
      </w:r>
    </w:p>
    <w:p>
      <w:r>
        <w:t>Suggestions:</w:t>
        <w:br/>
        <w:t>- Ensure constant availability of high-demand drugs.</w:t>
        <w:br/>
        <w:t>- Optimize shelf space for fast movers.</w:t>
      </w:r>
    </w:p>
    <w:p>
      <w:r>
        <w:t>Limitations:</w:t>
        <w:br/>
        <w:t>- Profitability not reflected; based on quantity.</w:t>
      </w:r>
    </w:p>
    <w:p>
      <w:pPr>
        <w:pStyle w:val="Heading2"/>
      </w:pPr>
      <w:r>
        <w:t>8. Revenue vs Quantity for Top Medicines</w:t>
      </w:r>
    </w:p>
    <w:p>
      <w:r>
        <w:t>Observed Trends:</w:t>
        <w:br/>
        <w:t>- Positive correlation for top 10 medicines.</w:t>
        <w:br/>
        <w:t>- Azithromycin highest in revenue, Clonazepam highest in quantity.</w:t>
        <w:br/>
        <w:t>- Saxagliptin and Sertraline strong in both metrics.</w:t>
      </w:r>
    </w:p>
    <w:p>
      <w:r>
        <w:t>Suggestions:</w:t>
        <w:br/>
        <w:t>- Stock Clonazepam well; promote high-revenue items.</w:t>
      </w:r>
    </w:p>
    <w:p>
      <w:r>
        <w:t>Limitations:</w:t>
        <w:br/>
        <w:t>- Discounts, returns, expiry not considered.</w:t>
      </w:r>
    </w:p>
    <w:p>
      <w:pPr>
        <w:pStyle w:val="Heading2"/>
      </w:pPr>
      <w:r>
        <w:t>9. Revenue Share by Drug Category</w:t>
      </w:r>
    </w:p>
    <w:p>
      <w:r>
        <w:t>Observed Trends:</w:t>
        <w:br/>
        <w:t>- Psychotropic and Immunosuppressant drugs dominate revenue.</w:t>
        <w:br/>
        <w:t>- Antihistamine, Antifungal, Gastrointestinal contribute less.</w:t>
      </w:r>
    </w:p>
    <w:p>
      <w:r>
        <w:t>Suggestions:</w:t>
        <w:br/>
        <w:t>- Prioritize stocking and promotions for high-revenue categories.</w:t>
      </w:r>
    </w:p>
    <w:p>
      <w:r>
        <w:t>Limitations:</w:t>
        <w:br/>
        <w:t>- Quantity not factored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