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C288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>Dear Editor, </w:t>
      </w:r>
    </w:p>
    <w:p w14:paraId="75C6C640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65B08633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 xml:space="preserve">We believe our manuscript “Early </w:t>
      </w:r>
      <w:proofErr w:type="spellStart"/>
      <w:r w:rsidRPr="002509A7">
        <w:rPr>
          <w:rFonts w:ascii="Arial" w:eastAsia="Times New Roman" w:hAnsi="Arial" w:cs="Arial"/>
          <w:color w:val="000000"/>
        </w:rPr>
        <w:t>underdetected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dissemination across countries followed by extensive local transmission propelled the 2022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epidemic” is an excellent candidate for publication in </w:t>
      </w:r>
      <w:r w:rsidRPr="002509A7">
        <w:rPr>
          <w:rFonts w:ascii="Arial" w:eastAsia="Times New Roman" w:hAnsi="Arial" w:cs="Arial"/>
          <w:i/>
          <w:iCs/>
          <w:color w:val="000000"/>
        </w:rPr>
        <w:t xml:space="preserve">Cell </w:t>
      </w:r>
      <w:r w:rsidRPr="002509A7">
        <w:rPr>
          <w:rFonts w:ascii="Arial" w:eastAsia="Times New Roman" w:hAnsi="Arial" w:cs="Arial"/>
          <w:color w:val="000000"/>
        </w:rPr>
        <w:t xml:space="preserve">due to the journal’s sustained commitment to publishing impactful research on epidemic preparedness,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2509A7">
        <w:rPr>
          <w:rFonts w:ascii="Arial" w:eastAsia="Times New Roman" w:hAnsi="Arial" w:cs="Arial"/>
          <w:color w:val="000000"/>
        </w:rPr>
        <w:t>phylodynamics</w:t>
      </w:r>
      <w:proofErr w:type="spellEnd"/>
      <w:r w:rsidRPr="002509A7">
        <w:rPr>
          <w:rFonts w:ascii="Arial" w:eastAsia="Times New Roman" w:hAnsi="Arial" w:cs="Arial"/>
          <w:color w:val="000000"/>
        </w:rPr>
        <w:t>.</w:t>
      </w:r>
      <w:r w:rsidRPr="002509A7">
        <w:rPr>
          <w:rFonts w:ascii="Arial" w:eastAsia="Times New Roman" w:hAnsi="Arial" w:cs="Arial"/>
          <w:i/>
          <w:iCs/>
          <w:color w:val="000000"/>
        </w:rPr>
        <w:t> </w:t>
      </w:r>
    </w:p>
    <w:p w14:paraId="40194398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2442FBBB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 xml:space="preserve">In 2022,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(previously known as monkeypox) evaded early detection and sparked a public health emergency of international concern, resulting in over more than 88,000 recorded cases worldwide in already marginalized and vulnerable communities. While cases after summer 2022 have declined,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outbreaks continue to be reported worldwide. Due to social stigmas around case reporting and sub-clinical disease manifestation, surveillance data alone can only provide limited insights into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transmission dynamics. Understanding how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spread across the world and which interventions were effective at curbing transmission is critical to prevent recurring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epidemic waves and to anticipate infectious diseases threats. In the present manuscript, we tackle these pivotal questions through the joint analysis of genomic, mobility and epidemiological data. </w:t>
      </w:r>
    </w:p>
    <w:p w14:paraId="38C002C9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3937A84B" w14:textId="2CC76249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 xml:space="preserve">Employing phylogeographic and phylodynamic inference models, we characterize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spread between five global regions. We find extensive community transmission prior to detection by public health surveillance. Through the development of novel methods to estimate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transmission intensity that account for changes in case-detection, we challenge prior estimates of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transmission rate and allow for more accurate evaluation of the impact of population-wide interventions. Our analyses show that after initial seeding, viral introductions played a negligible role in prolonging regional epidemics. As such, we estimate that a complete travel ban after initial seeding would have only prevented less than 10% of all cases. Finally, in contrast to widespread belief, we show that the North American epidemic began to decline before even 10% of the population at high risk for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in the US had any vaccine-induced immunity, suggesting that behavioral modifications among men who have sex with men, not vaccination campaigns, had a dominant impact in stopping early transmission. </w:t>
      </w:r>
    </w:p>
    <w:p w14:paraId="274025D5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62F81506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 xml:space="preserve">Our work underlines the disappointing performance of global public health surveillance in response to the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epidemic. Despite the general advocacy for improved surveillance following the COVID-19 pandemic, we uncover cryptic local transmission and numerous introductions of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in the Americas and three European subregions prior to detection of the first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case. These conclusions should constitute a warning signal for public health jurisdictions to swiftly build and improve broad pathogen surveillance infrastructures </w:t>
      </w:r>
      <w:proofErr w:type="gramStart"/>
      <w:r w:rsidRPr="002509A7">
        <w:rPr>
          <w:rFonts w:ascii="Arial" w:eastAsia="Times New Roman" w:hAnsi="Arial" w:cs="Arial"/>
          <w:color w:val="000000"/>
        </w:rPr>
        <w:t>in order to</w:t>
      </w:r>
      <w:proofErr w:type="gramEnd"/>
      <w:r w:rsidRPr="002509A7">
        <w:rPr>
          <w:rFonts w:ascii="Arial" w:eastAsia="Times New Roman" w:hAnsi="Arial" w:cs="Arial"/>
          <w:color w:val="000000"/>
        </w:rPr>
        <w:t xml:space="preserve"> prepare for future outbreaks. Our work shows that rapid pathogen detection and subsequent behavioral change could be sufficient to curb epidemic spread, potentially impacting future global health policy. </w:t>
      </w:r>
    </w:p>
    <w:p w14:paraId="624B6D4E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02AD3948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 xml:space="preserve">Our findings are highly relevant for policymakers and scientists across a wide range of disciplines (including virology, epidemiology, evolutionary biology, and bioinformatics) in promoting broader routine specimen screening as a core tenant of pandemic preparedness. We believe our work to constitute a critical contribution to answering some of the outstanding questions regarding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transmission and control that were outlined in </w:t>
      </w:r>
      <w:r w:rsidRPr="002509A7">
        <w:rPr>
          <w:rFonts w:ascii="Arial" w:eastAsia="Times New Roman" w:hAnsi="Arial" w:cs="Arial"/>
          <w:i/>
          <w:iCs/>
          <w:color w:val="000000"/>
        </w:rPr>
        <w:t>Cell</w:t>
      </w:r>
      <w:r w:rsidRPr="002509A7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2509A7">
        <w:rPr>
          <w:rFonts w:ascii="Arial" w:eastAsia="Times New Roman" w:hAnsi="Arial" w:cs="Arial"/>
          <w:color w:val="000000"/>
        </w:rPr>
        <w:t>Rothenburg</w:t>
      </w:r>
      <w:proofErr w:type="spellEnd"/>
      <w:r w:rsidRPr="002509A7">
        <w:rPr>
          <w:rFonts w:ascii="Arial" w:eastAsia="Times New Roman" w:hAnsi="Arial" w:cs="Arial"/>
          <w:color w:val="000000"/>
        </w:rPr>
        <w:t xml:space="preserve"> et al. </w:t>
      </w:r>
      <w:hyperlink r:id="rId6" w:history="1">
        <w:r w:rsidRPr="002509A7">
          <w:rPr>
            <w:rFonts w:ascii="Arial" w:eastAsia="Times New Roman" w:hAnsi="Arial" w:cs="Arial"/>
            <w:color w:val="000000"/>
            <w:u w:val="single"/>
          </w:rPr>
          <w:t>(1)</w:t>
        </w:r>
      </w:hyperlink>
      <w:r w:rsidRPr="002509A7">
        <w:rPr>
          <w:rFonts w:ascii="Arial" w:eastAsia="Times New Roman" w:hAnsi="Arial" w:cs="Arial"/>
          <w:color w:val="000000"/>
        </w:rPr>
        <w:t xml:space="preserve">. This would also greatly contribute to </w:t>
      </w:r>
      <w:r w:rsidRPr="002509A7">
        <w:rPr>
          <w:rFonts w:ascii="Arial" w:eastAsia="Times New Roman" w:hAnsi="Arial" w:cs="Arial"/>
          <w:i/>
          <w:iCs/>
          <w:color w:val="000000"/>
        </w:rPr>
        <w:t xml:space="preserve">Cell’s </w:t>
      </w:r>
      <w:r w:rsidRPr="002509A7">
        <w:rPr>
          <w:rFonts w:ascii="Arial" w:eastAsia="Times New Roman" w:hAnsi="Arial" w:cs="Arial"/>
          <w:color w:val="000000"/>
        </w:rPr>
        <w:t xml:space="preserve">commitment to understanding global and regional infectious disease spread through new methods in genomic epidemiology </w:t>
      </w:r>
      <w:hyperlink r:id="rId7" w:history="1">
        <w:r w:rsidRPr="002509A7">
          <w:rPr>
            <w:rFonts w:ascii="Arial" w:eastAsia="Times New Roman" w:hAnsi="Arial" w:cs="Arial"/>
            <w:color w:val="000000"/>
            <w:u w:val="single"/>
          </w:rPr>
          <w:t>(such as in references 2–5)</w:t>
        </w:r>
      </w:hyperlink>
      <w:r w:rsidRPr="002509A7">
        <w:rPr>
          <w:rFonts w:ascii="Arial" w:eastAsia="Times New Roman" w:hAnsi="Arial" w:cs="Arial"/>
          <w:color w:val="000000"/>
        </w:rPr>
        <w:t>. </w:t>
      </w:r>
    </w:p>
    <w:p w14:paraId="4A7B40DE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757469F3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 xml:space="preserve">Given the significance of this work for the global public health and scientific community, and the marginalized populations impacted by </w:t>
      </w:r>
      <w:proofErr w:type="spellStart"/>
      <w:r w:rsidRPr="002509A7">
        <w:rPr>
          <w:rFonts w:ascii="Arial" w:eastAsia="Times New Roman" w:hAnsi="Arial" w:cs="Arial"/>
          <w:color w:val="000000"/>
        </w:rPr>
        <w:t>mpox</w:t>
      </w:r>
      <w:proofErr w:type="spellEnd"/>
      <w:r w:rsidRPr="002509A7">
        <w:rPr>
          <w:rFonts w:ascii="Arial" w:eastAsia="Times New Roman" w:hAnsi="Arial" w:cs="Arial"/>
          <w:color w:val="000000"/>
        </w:rPr>
        <w:t>, we thank you for your consideration.</w:t>
      </w:r>
    </w:p>
    <w:p w14:paraId="0E11964D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53BFC796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>Yours sincerely, </w:t>
      </w:r>
    </w:p>
    <w:p w14:paraId="7F58A77F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071EA375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t>Miguel Paredes and Trevor Bedford, on behalf of all authors. </w:t>
      </w:r>
    </w:p>
    <w:p w14:paraId="6B440D84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45F2C63C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  <w:color w:val="000000"/>
        </w:rPr>
        <w:lastRenderedPageBreak/>
        <w:t>References</w:t>
      </w:r>
    </w:p>
    <w:p w14:paraId="0DABB335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0F06AFB4" w14:textId="77777777" w:rsidR="002509A7" w:rsidRPr="002509A7" w:rsidRDefault="002509A7" w:rsidP="002509A7">
      <w:pPr>
        <w:widowControl/>
        <w:autoSpaceDE/>
        <w:autoSpaceDN/>
        <w:ind w:hanging="264"/>
        <w:rPr>
          <w:rFonts w:ascii="Arial" w:eastAsia="Times New Roman" w:hAnsi="Arial" w:cs="Arial"/>
        </w:rPr>
      </w:pPr>
      <w:hyperlink r:id="rId8" w:history="1">
        <w:r w:rsidRPr="002509A7">
          <w:rPr>
            <w:rFonts w:ascii="Arial" w:eastAsia="Times New Roman" w:hAnsi="Arial" w:cs="Arial"/>
            <w:color w:val="000000"/>
            <w:u w:val="single"/>
          </w:rPr>
          <w:t>1.</w:t>
        </w:r>
        <w:r w:rsidRPr="002509A7">
          <w:rPr>
            <w:rFonts w:ascii="Arial" w:eastAsia="Times New Roman" w:hAnsi="Arial" w:cs="Arial"/>
            <w:color w:val="000000"/>
          </w:rPr>
          <w:tab/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Rothenburg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S, Yang Z, Beard P, Sawyer SL,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Titanji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B, Gonsalves G, et al. Monkeypox emergency: Urgent questions and perspectives. Cell. 2022 Sep 1;185(18):3279–81.</w:t>
        </w:r>
      </w:hyperlink>
    </w:p>
    <w:p w14:paraId="0E8F4FC1" w14:textId="77777777" w:rsidR="002509A7" w:rsidRPr="002509A7" w:rsidRDefault="002509A7" w:rsidP="002509A7">
      <w:pPr>
        <w:widowControl/>
        <w:autoSpaceDE/>
        <w:autoSpaceDN/>
        <w:ind w:hanging="264"/>
        <w:rPr>
          <w:rFonts w:ascii="Arial" w:eastAsia="Times New Roman" w:hAnsi="Arial" w:cs="Arial"/>
        </w:rPr>
      </w:pPr>
      <w:hyperlink r:id="rId9" w:history="1">
        <w:r w:rsidRPr="002509A7">
          <w:rPr>
            <w:rFonts w:ascii="Arial" w:eastAsia="Times New Roman" w:hAnsi="Arial" w:cs="Arial"/>
            <w:color w:val="000000"/>
            <w:u w:val="single"/>
          </w:rPr>
          <w:t>2.</w:t>
        </w:r>
        <w:r w:rsidRPr="002509A7">
          <w:rPr>
            <w:rFonts w:ascii="Arial" w:eastAsia="Times New Roman" w:hAnsi="Arial" w:cs="Arial"/>
            <w:color w:val="000000"/>
          </w:rPr>
          <w:tab/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Tegally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H, Wilkinson E,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Tsui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JLH, Moir M, Martin D, Brito AF, et al. Dispersal patterns and influence of air travel during the global expansion of SARS-CoV-2 variants of concern. Cell. 2023 Jul 20;186(15):3277-3290.e16.</w:t>
        </w:r>
      </w:hyperlink>
    </w:p>
    <w:p w14:paraId="2AF35DE8" w14:textId="77777777" w:rsidR="002509A7" w:rsidRPr="002509A7" w:rsidRDefault="002509A7" w:rsidP="002509A7">
      <w:pPr>
        <w:widowControl/>
        <w:autoSpaceDE/>
        <w:autoSpaceDN/>
        <w:ind w:hanging="264"/>
        <w:rPr>
          <w:rFonts w:ascii="Arial" w:eastAsia="Times New Roman" w:hAnsi="Arial" w:cs="Arial"/>
        </w:rPr>
      </w:pPr>
      <w:hyperlink r:id="rId10" w:history="1">
        <w:r w:rsidRPr="002509A7">
          <w:rPr>
            <w:rFonts w:ascii="Arial" w:eastAsia="Times New Roman" w:hAnsi="Arial" w:cs="Arial"/>
            <w:color w:val="000000"/>
            <w:u w:val="single"/>
          </w:rPr>
          <w:t>3.</w:t>
        </w:r>
        <w:r w:rsidRPr="002509A7">
          <w:rPr>
            <w:rFonts w:ascii="Arial" w:eastAsia="Times New Roman" w:hAnsi="Arial" w:cs="Arial"/>
            <w:color w:val="000000"/>
          </w:rPr>
          <w:tab/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Siddle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KJ,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Krasilnikova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LA, Moreno GK, Schaffner SF, Vostok J, Fitzgerald NA, et al. Transmission from vaccinated individuals in a large SARS-CoV-2 Delta variant outbreak. Cell. 2022 Feb 3;185(3):485-492.e10.</w:t>
        </w:r>
      </w:hyperlink>
    </w:p>
    <w:p w14:paraId="55664900" w14:textId="77777777" w:rsidR="002509A7" w:rsidRPr="002509A7" w:rsidRDefault="002509A7" w:rsidP="002509A7">
      <w:pPr>
        <w:widowControl/>
        <w:autoSpaceDE/>
        <w:autoSpaceDN/>
        <w:ind w:hanging="264"/>
        <w:rPr>
          <w:rFonts w:ascii="Arial" w:eastAsia="Times New Roman" w:hAnsi="Arial" w:cs="Arial"/>
        </w:rPr>
      </w:pPr>
      <w:hyperlink r:id="rId11" w:history="1">
        <w:r w:rsidRPr="002509A7">
          <w:rPr>
            <w:rFonts w:ascii="Arial" w:eastAsia="Times New Roman" w:hAnsi="Arial" w:cs="Arial"/>
            <w:color w:val="000000"/>
            <w:u w:val="single"/>
          </w:rPr>
          <w:t>4.</w:t>
        </w:r>
        <w:r w:rsidRPr="002509A7">
          <w:rPr>
            <w:rFonts w:ascii="Arial" w:eastAsia="Times New Roman" w:hAnsi="Arial" w:cs="Arial"/>
            <w:color w:val="000000"/>
          </w:rPr>
          <w:tab/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Fauver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JR,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Petrone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ME,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Hodcroft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EB,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Shioda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K, Ehrlich HY, Watts AG, et al. Coast-to-Coast Spread of SARS-CoV-2 during the Early Epidemic in the United States. Cell. 2020 May 28;181(5):990-996.e5.</w:t>
        </w:r>
      </w:hyperlink>
    </w:p>
    <w:p w14:paraId="500B55EC" w14:textId="77777777" w:rsidR="002509A7" w:rsidRPr="002509A7" w:rsidRDefault="002509A7" w:rsidP="002509A7">
      <w:pPr>
        <w:widowControl/>
        <w:autoSpaceDE/>
        <w:autoSpaceDN/>
        <w:ind w:hanging="264"/>
        <w:rPr>
          <w:rFonts w:ascii="Arial" w:eastAsia="Times New Roman" w:hAnsi="Arial" w:cs="Arial"/>
        </w:rPr>
      </w:pPr>
      <w:hyperlink r:id="rId12" w:history="1">
        <w:r w:rsidRPr="002509A7">
          <w:rPr>
            <w:rFonts w:ascii="Arial" w:eastAsia="Times New Roman" w:hAnsi="Arial" w:cs="Arial"/>
            <w:color w:val="000000"/>
            <w:u w:val="single"/>
          </w:rPr>
          <w:t>5.</w:t>
        </w:r>
        <w:r w:rsidRPr="002509A7">
          <w:rPr>
            <w:rFonts w:ascii="Arial" w:eastAsia="Times New Roman" w:hAnsi="Arial" w:cs="Arial"/>
            <w:color w:val="000000"/>
          </w:rPr>
          <w:tab/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Grubaugh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ND, Saraf S,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Gangavarapu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K, Watts A, Tan AL, </w:t>
        </w:r>
        <w:proofErr w:type="spellStart"/>
        <w:r w:rsidRPr="002509A7">
          <w:rPr>
            <w:rFonts w:ascii="Arial" w:eastAsia="Times New Roman" w:hAnsi="Arial" w:cs="Arial"/>
            <w:color w:val="000000"/>
            <w:u w:val="single"/>
          </w:rPr>
          <w:t>Oidtman</w:t>
        </w:r>
        <w:proofErr w:type="spellEnd"/>
        <w:r w:rsidRPr="002509A7">
          <w:rPr>
            <w:rFonts w:ascii="Arial" w:eastAsia="Times New Roman" w:hAnsi="Arial" w:cs="Arial"/>
            <w:color w:val="000000"/>
            <w:u w:val="single"/>
          </w:rPr>
          <w:t xml:space="preserve"> RJ, et al. Travel Surveillance and Genomics Uncover a Hidden Zika Outbreak during the Waning Epidemic. Cell. 2019 Aug 22;178(5):1057-1071.e11.</w:t>
        </w:r>
      </w:hyperlink>
    </w:p>
    <w:p w14:paraId="5DEC1F2A" w14:textId="77777777" w:rsidR="002509A7" w:rsidRPr="002509A7" w:rsidRDefault="002509A7" w:rsidP="002509A7">
      <w:pPr>
        <w:widowControl/>
        <w:autoSpaceDE/>
        <w:autoSpaceDN/>
        <w:spacing w:after="240"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</w:rPr>
        <w:br/>
      </w:r>
      <w:r w:rsidRPr="002509A7">
        <w:rPr>
          <w:rFonts w:ascii="Arial" w:eastAsia="Times New Roman" w:hAnsi="Arial" w:cs="Arial"/>
        </w:rPr>
        <w:br/>
      </w:r>
      <w:r w:rsidRPr="002509A7">
        <w:rPr>
          <w:rFonts w:ascii="Arial" w:eastAsia="Times New Roman" w:hAnsi="Arial" w:cs="Arial"/>
        </w:rPr>
        <w:br/>
      </w:r>
      <w:r w:rsidRPr="002509A7">
        <w:rPr>
          <w:rFonts w:ascii="Arial" w:eastAsia="Times New Roman" w:hAnsi="Arial" w:cs="Arial"/>
        </w:rPr>
        <w:br/>
      </w:r>
    </w:p>
    <w:p w14:paraId="467485B2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05AB15F4" w14:textId="5966B80D" w:rsidR="009C0BA9" w:rsidRPr="00F70FAD" w:rsidRDefault="009C0BA9" w:rsidP="002509A7">
      <w:pPr>
        <w:rPr>
          <w:rFonts w:ascii="Arial" w:hAnsi="Arial" w:cs="Arial"/>
        </w:rPr>
      </w:pPr>
    </w:p>
    <w:sectPr w:rsidR="009C0BA9" w:rsidRPr="00F70FAD" w:rsidSect="00F70FAD">
      <w:footerReference w:type="even" r:id="rId13"/>
      <w:footerReference w:type="default" r:id="rId14"/>
      <w:headerReference w:type="first" r:id="rId15"/>
      <w:type w:val="continuous"/>
      <w:pgSz w:w="12240" w:h="15840"/>
      <w:pgMar w:top="1040" w:right="940" w:bottom="280" w:left="960" w:header="172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2C65" w14:textId="77777777" w:rsidR="002509A7" w:rsidRDefault="002509A7" w:rsidP="006A3331">
      <w:r>
        <w:separator/>
      </w:r>
    </w:p>
  </w:endnote>
  <w:endnote w:type="continuationSeparator" w:id="0">
    <w:p w14:paraId="40DEA949" w14:textId="77777777" w:rsidR="002509A7" w:rsidRDefault="002509A7" w:rsidP="006A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XX">
    <w:altName w:val="Calibri"/>
    <w:panose1 w:val="020B0604020202020204"/>
    <w:charset w:val="4D"/>
    <w:family w:val="swiss"/>
    <w:notTrueType/>
    <w:pitch w:val="variable"/>
    <w:sig w:usb0="A00000BF" w:usb1="5000E47B" w:usb2="00000008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9628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5BA4B9" w14:textId="77777777" w:rsidR="003737E8" w:rsidRDefault="003737E8" w:rsidP="001C09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B453F" w14:textId="77777777" w:rsidR="003737E8" w:rsidRDefault="003737E8" w:rsidP="003737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10000037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F6C33B" w14:textId="77777777" w:rsidR="003737E8" w:rsidRPr="003737E8" w:rsidRDefault="003737E8" w:rsidP="001C0926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6"/>
            <w:szCs w:val="16"/>
          </w:rPr>
        </w:pPr>
        <w:r w:rsidRPr="003737E8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3737E8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3737E8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3737E8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Pr="003737E8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5FACA08C" w14:textId="77777777" w:rsidR="003737E8" w:rsidRDefault="003737E8" w:rsidP="003737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D622" w14:textId="77777777" w:rsidR="002509A7" w:rsidRDefault="002509A7" w:rsidP="006A3331">
      <w:r>
        <w:separator/>
      </w:r>
    </w:p>
  </w:footnote>
  <w:footnote w:type="continuationSeparator" w:id="0">
    <w:p w14:paraId="63EBDD4B" w14:textId="77777777" w:rsidR="002509A7" w:rsidRDefault="002509A7" w:rsidP="006A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3E68" w14:textId="77777777" w:rsidR="009C0BA9" w:rsidRDefault="00474929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19737D43" wp14:editId="7E992337">
          <wp:simplePos x="0" y="0"/>
          <wp:positionH relativeFrom="page">
            <wp:posOffset>606425</wp:posOffset>
          </wp:positionH>
          <wp:positionV relativeFrom="page">
            <wp:posOffset>617855</wp:posOffset>
          </wp:positionV>
          <wp:extent cx="2313305" cy="50038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3305" cy="50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BA9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E8F7CE" wp14:editId="2B777939">
              <wp:simplePos x="0" y="0"/>
              <wp:positionH relativeFrom="page">
                <wp:posOffset>5014639</wp:posOffset>
              </wp:positionH>
              <wp:positionV relativeFrom="page">
                <wp:posOffset>588246</wp:posOffset>
              </wp:positionV>
              <wp:extent cx="2082800" cy="926048"/>
              <wp:effectExtent l="0" t="0" r="0" b="127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82800" cy="9260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23BF4" w14:textId="77777777" w:rsidR="009C0BA9" w:rsidRPr="00E677FB" w:rsidRDefault="009C0BA9" w:rsidP="009C0BA9">
                          <w:pPr>
                            <w:spacing w:before="38"/>
                            <w:ind w:left="20"/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z w:val="20"/>
                              <w:szCs w:val="20"/>
                            </w:rPr>
                            <w:t>Fred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z w:val="20"/>
                              <w:szCs w:val="20"/>
                            </w:rPr>
                            <w:t>Hutchinson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z w:val="20"/>
                              <w:szCs w:val="20"/>
                            </w:rPr>
                            <w:t>Cancer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2"/>
                              <w:sz w:val="20"/>
                              <w:szCs w:val="20"/>
                            </w:rPr>
                            <w:t>Center</w:t>
                          </w:r>
                        </w:p>
                        <w:p w14:paraId="3672B49E" w14:textId="77777777" w:rsidR="009C0BA9" w:rsidRPr="00E677FB" w:rsidRDefault="009C0BA9" w:rsidP="009C0BA9">
                          <w:pPr>
                            <w:spacing w:before="16" w:line="254" w:lineRule="auto"/>
                            <w:ind w:right="22"/>
                            <w:jc w:val="right"/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1100 Fairview Ave. N.</w:t>
                          </w:r>
                        </w:p>
                        <w:p w14:paraId="1B029B3F" w14:textId="77777777" w:rsidR="009C0BA9" w:rsidRPr="00E677FB" w:rsidRDefault="009C0BA9" w:rsidP="009C0BA9">
                          <w:pPr>
                            <w:spacing w:before="16" w:line="254" w:lineRule="auto"/>
                            <w:ind w:left="1486" w:right="22" w:hanging="180"/>
                            <w:jc w:val="right"/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Seattle,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pacing w:val="-1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WA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pacing w:val="-1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98109</w:t>
                          </w:r>
                        </w:p>
                        <w:p w14:paraId="4E0A6F3E" w14:textId="77777777" w:rsidR="009C0BA9" w:rsidRPr="00E677FB" w:rsidRDefault="009C0BA9" w:rsidP="009C0BA9">
                          <w:pPr>
                            <w:spacing w:before="16" w:line="254" w:lineRule="auto"/>
                            <w:ind w:left="1486" w:right="22" w:hanging="180"/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2"/>
                              <w:sz w:val="20"/>
                              <w:szCs w:val="20"/>
                            </w:rPr>
                            <w:t>FredHutch.org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8F7C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94.85pt;margin-top:46.3pt;width:164pt;height:7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" filled="f" stroked="f">
              <v:path arrowok="t"/>
              <v:textbox inset="0,0,0,0">
                <w:txbxContent>
                  <w:p w14:paraId="21723BF4" w14:textId="77777777" w:rsidR="009C0BA9" w:rsidRPr="00E677FB" w:rsidRDefault="009C0BA9" w:rsidP="009C0BA9">
                    <w:pPr>
                      <w:spacing w:before="38"/>
                      <w:ind w:left="20"/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b/>
                        <w:color w:val="231F20"/>
                        <w:sz w:val="20"/>
                        <w:szCs w:val="20"/>
                      </w:rPr>
                      <w:t>Fred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z w:val="20"/>
                        <w:szCs w:val="20"/>
                      </w:rPr>
                      <w:t>Hutchinson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z w:val="20"/>
                        <w:szCs w:val="20"/>
                      </w:rPr>
                      <w:t>Cancer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2"/>
                        <w:sz w:val="20"/>
                        <w:szCs w:val="20"/>
                      </w:rPr>
                      <w:t>Center</w:t>
                    </w:r>
                  </w:p>
                  <w:p w14:paraId="3672B49E" w14:textId="77777777" w:rsidR="009C0BA9" w:rsidRPr="00E677FB" w:rsidRDefault="009C0BA9" w:rsidP="009C0BA9">
                    <w:pPr>
                      <w:spacing w:before="16" w:line="254" w:lineRule="auto"/>
                      <w:ind w:right="22"/>
                      <w:jc w:val="right"/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1100 Fairview Ave. N.</w:t>
                    </w:r>
                  </w:p>
                  <w:p w14:paraId="1B029B3F" w14:textId="77777777" w:rsidR="009C0BA9" w:rsidRPr="00E677FB" w:rsidRDefault="009C0BA9" w:rsidP="009C0BA9">
                    <w:pPr>
                      <w:spacing w:before="16" w:line="254" w:lineRule="auto"/>
                      <w:ind w:left="1486" w:right="22" w:hanging="180"/>
                      <w:jc w:val="right"/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Seattle,</w:t>
                    </w:r>
                    <w:r w:rsidRPr="00E677FB">
                      <w:rPr>
                        <w:rFonts w:ascii="Arial" w:hAnsi="Arial" w:cs="Arial"/>
                        <w:color w:val="231F20"/>
                        <w:spacing w:val="-15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WA</w:t>
                    </w:r>
                    <w:r w:rsidRPr="00E677FB">
                      <w:rPr>
                        <w:rFonts w:ascii="Arial" w:hAnsi="Arial" w:cs="Arial"/>
                        <w:color w:val="231F2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98109</w:t>
                    </w:r>
                  </w:p>
                  <w:p w14:paraId="4E0A6F3E" w14:textId="77777777" w:rsidR="009C0BA9" w:rsidRPr="00E677FB" w:rsidRDefault="009C0BA9" w:rsidP="009C0BA9">
                    <w:pPr>
                      <w:spacing w:before="16" w:line="254" w:lineRule="auto"/>
                      <w:ind w:left="1486" w:right="22" w:hanging="180"/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2"/>
                        <w:sz w:val="20"/>
                        <w:szCs w:val="20"/>
                      </w:rPr>
                      <w:t>FredHutch.org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7"/>
    <w:rsid w:val="00022298"/>
    <w:rsid w:val="001F3F39"/>
    <w:rsid w:val="002509A7"/>
    <w:rsid w:val="002753E7"/>
    <w:rsid w:val="0028017B"/>
    <w:rsid w:val="002B4E24"/>
    <w:rsid w:val="003737E8"/>
    <w:rsid w:val="00474929"/>
    <w:rsid w:val="006A3331"/>
    <w:rsid w:val="006A665D"/>
    <w:rsid w:val="007379CA"/>
    <w:rsid w:val="00755668"/>
    <w:rsid w:val="00924108"/>
    <w:rsid w:val="009C0BA9"/>
    <w:rsid w:val="009E62DD"/>
    <w:rsid w:val="00C27688"/>
    <w:rsid w:val="00DE6324"/>
    <w:rsid w:val="00E12697"/>
    <w:rsid w:val="00E677FB"/>
    <w:rsid w:val="00F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8AED4"/>
  <w15:docId w15:val="{0138F510-ABA6-5A49-8C0A-C249E22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ircularXX" w:eastAsia="CircularXX" w:hAnsi="CircularXX" w:cs="CircularX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20"/>
    </w:pPr>
  </w:style>
  <w:style w:type="paragraph" w:styleId="Title">
    <w:name w:val="Title"/>
    <w:basedOn w:val="Normal"/>
    <w:uiPriority w:val="10"/>
    <w:qFormat/>
    <w:pPr>
      <w:spacing w:before="38"/>
      <w:ind w:left="2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31"/>
    <w:rPr>
      <w:rFonts w:ascii="CircularXX" w:eastAsia="CircularXX" w:hAnsi="CircularXX" w:cs="CircularXX"/>
    </w:rPr>
  </w:style>
  <w:style w:type="paragraph" w:styleId="Footer">
    <w:name w:val="footer"/>
    <w:basedOn w:val="Normal"/>
    <w:link w:val="FooterChar"/>
    <w:uiPriority w:val="99"/>
    <w:unhideWhenUsed/>
    <w:rsid w:val="006A3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31"/>
    <w:rPr>
      <w:rFonts w:ascii="CircularXX" w:eastAsia="CircularXX" w:hAnsi="CircularXX" w:cs="CircularXX"/>
    </w:rPr>
  </w:style>
  <w:style w:type="character" w:customStyle="1" w:styleId="BodyTextChar">
    <w:name w:val="Body Text Char"/>
    <w:basedOn w:val="DefaultParagraphFont"/>
    <w:link w:val="BodyText"/>
    <w:uiPriority w:val="1"/>
    <w:rsid w:val="006A3331"/>
    <w:rPr>
      <w:rFonts w:ascii="CircularXX" w:eastAsia="CircularXX" w:hAnsi="CircularXX" w:cs="CircularXX"/>
    </w:rPr>
  </w:style>
  <w:style w:type="character" w:styleId="PageNumber">
    <w:name w:val="page number"/>
    <w:basedOn w:val="DefaultParagraphFont"/>
    <w:uiPriority w:val="99"/>
    <w:semiHidden/>
    <w:unhideWhenUsed/>
    <w:rsid w:val="003737E8"/>
  </w:style>
  <w:style w:type="paragraph" w:styleId="NormalWeb">
    <w:name w:val="Normal (Web)"/>
    <w:basedOn w:val="Normal"/>
    <w:uiPriority w:val="99"/>
    <w:semiHidden/>
    <w:unhideWhenUsed/>
    <w:rsid w:val="002509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9A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5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google-docs/?GgKkc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zotero.org/google-docs/?pc6Fuo" TargetMode="External"/><Relationship Id="rId12" Type="http://schemas.openxmlformats.org/officeDocument/2006/relationships/hyperlink" Target="https://www.zotero.org/google-docs/?GgKkc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Geugli" TargetMode="External"/><Relationship Id="rId11" Type="http://schemas.openxmlformats.org/officeDocument/2006/relationships/hyperlink" Target="https://www.zotero.org/google-docs/?GgKkcT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zotero.org/google-docs/?GgKkc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GgKkc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paredes/Downloads/Fred-Hutch-Printable-Letterhead-Template_Resear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Fred-Hutch-Printable-Letterhead-Template_Research.dotx</Template>
  <TotalTime>30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Paredes, Miguel I</cp:lastModifiedBy>
  <cp:revision>3</cp:revision>
  <cp:lastPrinted>2023-10-04T23:07:00Z</cp:lastPrinted>
  <dcterms:created xsi:type="dcterms:W3CDTF">2023-10-04T23:07:00Z</dcterms:created>
  <dcterms:modified xsi:type="dcterms:W3CDTF">2023-10-05T19:31:00Z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Adobe InDesign 17.3 (Macintosh)</vt:lpwstr>
  </property>
  <property fmtid="{D5CDD505-2E9C-101B-9397-08002B2CF9AE}" pid="4" name="LastSaved">
    <vt:filetime>2022-09-27T00:00:00Z</vt:filetime>
  </property>
  <property fmtid="{D5CDD505-2E9C-101B-9397-08002B2CF9AE}" pid="5" name="Producer">
    <vt:lpwstr>Adobe PDF Library 16.0.7</vt:lpwstr>
  </property>
</Properties>
</file>