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0E551" w14:textId="229F9926" w:rsidR="005A2EF4" w:rsidRDefault="00E22BC7">
      <w:r>
        <w:t>Corrections:</w:t>
      </w:r>
    </w:p>
    <w:p w14:paraId="5FC30E96" w14:textId="59136AC8" w:rsidR="00E22BC7" w:rsidRDefault="00E22BC7"/>
    <w:p w14:paraId="58F44FC6" w14:textId="1650A05A" w:rsidR="00E22BC7" w:rsidRDefault="00E22BC7">
      <w:r>
        <w:t>Figure 6 legend:</w:t>
      </w:r>
    </w:p>
    <w:p w14:paraId="4DFAC93B" w14:textId="020427AD" w:rsidR="00E22BC7" w:rsidRPr="00E22BC7" w:rsidRDefault="00E22BC7" w:rsidP="00E22BC7">
      <w:pPr>
        <w:rPr>
          <w:rFonts w:ascii="Times New Roman" w:eastAsia="Times New Roman" w:hAnsi="Times New Roman" w:cs="Times New Roman"/>
        </w:rPr>
      </w:pPr>
      <w:r w:rsidRPr="00E22BC7">
        <w:rPr>
          <w:rFonts w:ascii="Noto Sans" w:eastAsia="Times New Roman" w:hAnsi="Noto Sans" w:cs="Noto Sans"/>
          <w:color w:val="212121"/>
          <w:sz w:val="20"/>
          <w:szCs w:val="20"/>
          <w:shd w:val="clear" w:color="auto" w:fill="FFFFFF"/>
        </w:rPr>
        <w:t>Comparison of adaptive substitutions per codon per year between measles (yellow), four influenza strains (A/H3N2, A/H1N1pdm, B/Vic, and B/Yam- shown in shades of red), OC43 lineage A (dark teal), OC43 lineage B (light teal), and 229E (dark blue). The polymerase, receptor-binding domain, and membrane fusion domain for influenza strains are PB1, HA1, and HA2. For both human coronaviruses (</w:t>
      </w:r>
      <w:proofErr w:type="spellStart"/>
      <w:r w:rsidRPr="00E22BC7">
        <w:rPr>
          <w:rFonts w:ascii="Noto Sans" w:eastAsia="Times New Roman" w:hAnsi="Noto Sans" w:cs="Noto Sans"/>
          <w:color w:val="212121"/>
          <w:sz w:val="20"/>
          <w:szCs w:val="20"/>
          <w:shd w:val="clear" w:color="auto" w:fill="FFFFFF"/>
        </w:rPr>
        <w:t>HCoVs</w:t>
      </w:r>
      <w:proofErr w:type="spellEnd"/>
      <w:r w:rsidRPr="00E22BC7">
        <w:rPr>
          <w:rFonts w:ascii="Noto Sans" w:eastAsia="Times New Roman" w:hAnsi="Noto Sans" w:cs="Noto Sans"/>
          <w:color w:val="212121"/>
          <w:sz w:val="20"/>
          <w:szCs w:val="20"/>
          <w:shd w:val="clear" w:color="auto" w:fill="FFFFFF"/>
        </w:rPr>
        <w:t xml:space="preserve">), they are </w:t>
      </w:r>
      <w:proofErr w:type="spellStart"/>
      <w:r w:rsidRPr="00E22BC7">
        <w:rPr>
          <w:rFonts w:ascii="Noto Sans" w:eastAsia="Times New Roman" w:hAnsi="Noto Sans" w:cs="Noto Sans"/>
          <w:color w:val="212121"/>
          <w:sz w:val="20"/>
          <w:szCs w:val="20"/>
          <w:shd w:val="clear" w:color="auto" w:fill="FFFFFF"/>
        </w:rPr>
        <w:t>RdRp</w:t>
      </w:r>
      <w:proofErr w:type="spellEnd"/>
      <w:r w:rsidRPr="00E22BC7">
        <w:rPr>
          <w:rFonts w:ascii="Noto Sans" w:eastAsia="Times New Roman" w:hAnsi="Noto Sans" w:cs="Noto Sans"/>
          <w:color w:val="212121"/>
          <w:sz w:val="20"/>
          <w:szCs w:val="20"/>
          <w:shd w:val="clear" w:color="auto" w:fill="FFFFFF"/>
        </w:rPr>
        <w:t xml:space="preserve">, S1, and S2, respectively. For measles, the polymerase is the </w:t>
      </w:r>
      <w:r>
        <w:rPr>
          <w:rFonts w:ascii="Noto Sans" w:eastAsia="Times New Roman" w:hAnsi="Noto Sans" w:cs="Noto Sans"/>
          <w:color w:val="212121"/>
          <w:sz w:val="20"/>
          <w:szCs w:val="20"/>
          <w:shd w:val="clear" w:color="auto" w:fill="FFFFFF"/>
        </w:rPr>
        <w:t>L</w:t>
      </w:r>
      <w:r w:rsidRPr="00E22BC7">
        <w:rPr>
          <w:rFonts w:ascii="Noto Sans" w:eastAsia="Times New Roman" w:hAnsi="Noto Sans" w:cs="Noto Sans"/>
          <w:color w:val="212121"/>
          <w:sz w:val="20"/>
          <w:szCs w:val="20"/>
          <w:shd w:val="clear" w:color="auto" w:fill="FFFFFF"/>
        </w:rPr>
        <w:t xml:space="preserve"> gene, the receptor-binding protein is the H gene, and the fusion protein is the F gene. Error bars show 95% bootstrap percentiles from 100 bootstrapped data sets.</w:t>
      </w:r>
    </w:p>
    <w:p w14:paraId="2E2465FA" w14:textId="77777777" w:rsidR="00E22BC7" w:rsidRDefault="00E22BC7"/>
    <w:sectPr w:rsidR="00E22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C7"/>
    <w:rsid w:val="005A2EF4"/>
    <w:rsid w:val="00E2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4BD7F"/>
  <w15:chartTrackingRefBased/>
  <w15:docId w15:val="{3AB9A852-04ED-A145-8F21-581C1828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Kistler, Katie</dc:creator>
  <cp:keywords/>
  <dc:description/>
  <cp:lastModifiedBy>Kistler, Katie</cp:lastModifiedBy>
  <cp:revision>1</cp:revision>
  <dcterms:created xsi:type="dcterms:W3CDTF">2022-08-01T21:35:00Z</dcterms:created>
  <dcterms:modified xsi:type="dcterms:W3CDTF">2022-08-01T21:36:00Z</dcterms:modified>
</cp:coreProperties>
</file>