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b/>
          <w:sz w:val="32"/>
        </w:rPr>
        <w:t>ГЛАВА 4. ЭКСПЕРИМЕНТАЛЬНОЕ ИССЛЕДОВАНИЕ И ВЕРИФИКАЦИЯ ГИБРИДНОЙ МОДЕЛИ ПРОГНОЗИРОВАНИЯ</w:t>
      </w:r>
    </w:p>
    <w:p/>
    <w:p>
      <w:pPr>
        <w:pStyle w:val="Heading2"/>
      </w:pPr>
      <w:r>
        <w:rPr>
          <w:rFonts w:ascii="Times New Roman" w:hAnsi="Times New Roman"/>
          <w:b/>
          <w:sz w:val="28"/>
        </w:rPr>
        <w:t>4.1 Постановка задачи экспериментального исследования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Целью экспериментального исследования является верификация разработанной гибридной модели прогнозирования экстремально коротких временных рядов и сравнительный анализ её эффективности с существующими методами. В рамках исследования решаются следующие задачи: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1) оценка точности прогнозирования гибридной модели на реальных экономических данных Российской Федерации;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2) сравнительный анализ с классическими статистическими моделями (SARIMA);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3) сравнительный анализ с методами машинного обучения (XGBoost, LSTM);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4) сравнительный анализ с современными подходами на основе языковых моделей (TimeLLM);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5) исследование влияния длины временного ряда на качество прогнозирования;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6) анализ эффективности адаптивных механизмов коррекции, разработанных в Главе 2.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Особое внимание уделяется условиям экстремально коротких временных рядов (n ≤ 30 наблюдений), которые характерны для задач прогнозирования на макроэкономическом уровне в условиях структурных изменений экономики.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4.2 Описание экспериментальных данных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Для проведения экспериментального исследования использованы пять наборов реальных экономических данных Российской Федерации, охватывающих период с января 2022 года по октябрь 2024 года. Выбор данного периода обусловлен наличием существенных структурных изменений в российской экономике, что создаёт дополнительные сложности для прогнозирования и позволяет оценить устойчивость моделей в условиях нестационарности.</w:t>
      </w:r>
    </w:p>
    <w:p>
      <w:pPr>
        <w:jc w:val="center"/>
      </w:pPr>
      <w:r>
        <w:rPr>
          <w:rFonts w:ascii="Times New Roman" w:hAnsi="Times New Roman"/>
          <w:i/>
          <w:sz w:val="28"/>
        </w:rPr>
        <w:t>Таблица 4.1 — Характеристики экспериментальных наборов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4"/>
              </w:rPr>
              <w:t>n (train)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4"/>
              </w:rPr>
              <w:t>n (test)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4"/>
              </w:rPr>
              <w:t>Частота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4"/>
              </w:rPr>
              <w:t>Источник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Ключевая ставка ЦБ РФ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Нерегулярная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ЦБ РФ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Инфляция (ИПЦ)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Месячная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Росстат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Курс USD/RUB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Месячная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ЦБ РФ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Цена нефти Brent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Месячная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ICE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Индекс промпроизводства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Месячная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Росстат</w:t>
            </w:r>
          </w:p>
        </w:tc>
      </w:tr>
    </w:tbl>
    <w:p/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Набор данных «Ключевая ставка ЦБ РФ» представляет особый интерес, поскольку содержит всего 15 наблюдений с нерегулярной частотой — решения по ставке принимаются на заседаниях Совета директоров Банка России (8 раз в год). Данный набор позволяет оценить работу моделей в условиях экстремально короткого ряда.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Набор данных по инфляции демонстрирует характерную нестационарность: резкий скачок в марте-апреле 2022 года (до 17,83%), последующее снижение до 2,31% в апреле 2023 года и новый цикл роста во второй половине 2023–2024 годов.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Курс USD/RUB характеризуется высокой волатильностью: минимум 51,16 руб. в июне 2022 года, максимум 105,06 руб. в ноябре 2024 года. Данный показатель чувствителен к геополитическим факторам и решениям ЦБ РФ.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4.3 Методология экспериментального исследования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Методология экспериментального исследования основана на принципах воспроизводимости и статистической корректности. Для каждого набора данных применялась схема разделения на обучающую и тестовую выборки с соотношением, обеспечивающим наличие не менее 5 точек в тестовом периоде для оценки качества прогноза.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В качестве базовых моделей для сравнения использовались: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1) SARIMA (Seasonal AutoRegressive Integrated Moving Average) — классическая статистическая модель временных рядов, являющаяся стандартом де-факто для задач прогнозирования [Box, Jenkins, 1976]. Параметры модели подбирались автоматически по критерию AIC с ограничениями p,q ≤ 3, d ≤ 2.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2) XGBoost (eXtreme Gradient Boosting) — алгоритм градиентного бустинга на деревьях решений [Chen, Guestrin, 2016]. Для адаптации к задаче прогнозирования временных рядов применялось преобразование в задачу регрессии с лаговыми признаками.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3) Prophet — модель декомпозиции временных рядов, разработанная Facebook/Meta [Taylor, Letham, 2018]. Оптимизирована для бизнес-данных с выраженной сезонностью и трендом.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4) LSTM (Long Short-Term Memory) — архитектура рекуррентной нейронной сети [Hochreiter, Schmidhuber, 1997]. Способна улавливать долгосрочные зависимости, однако требует значительного объёма данных для обучения.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5) TimeLLM — современный подход, использующий предобученные языковые модели для прогнозирования временных рядов [Jin et al., 2024]. В качестве базовой LLM использовалась Qwen2-0.5B.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Для оценки качества прогнозирования использовались следующие метрики: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• MAE (Mean Absolute Error) — средняя абсолютная ошибка: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MAE = (1/n) × Σ|yᵢ - ŷᵢ|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• RMSE (Root Mean Squared Error) — корень из среднеквадратичной ошибки: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RMSE = √[(1/n) × Σ(yᵢ - ŷᵢ)²]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• MAPE (Mean Absolute Percentage Error) — средняя абсолютная процентная ошибка: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MAPE = (100%/n) × Σ|yᵢ - ŷᵢ|/|yᵢ|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• NMAE (Normalized MAE) — нормализованная MAE, введённая в Главе 2 (Формула 2.21):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  <w:t>NMAE = MAE / σ_real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4.4 Результаты экспериментального исследования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Результаты экспериментального исследования представлены в таблицах 4.2–4.6, содержащих значения метрик качества для каждой модели на каждом наборе данных.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jc w:val="center"/>
      </w:pPr>
      <w:r>
        <w:rPr>
          <w:rFonts w:ascii="Times New Roman" w:hAnsi="Times New Roman"/>
          <w:i/>
          <w:sz w:val="28"/>
        </w:rPr>
        <w:t>Таблица 4.2 — Результаты прогнозирования ключевой ставки ЦБ РФ (n=15)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4"/>
              </w:rPr>
              <w:t>Модель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4"/>
              </w:rPr>
              <w:t>MAE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4"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4"/>
              </w:rPr>
              <w:t>MAPE, %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4"/>
              </w:rPr>
              <w:t>NMAE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SARIMA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0.9712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1.0621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4.71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2.43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XGBoost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2.1542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2.3022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10.31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5.39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Prophet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0.6147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0.7885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3.00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1.54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LSTM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0.9886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1.3022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4.74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2.47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TimeLLM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0.3950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0.5302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1.93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0.99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Гибридная модель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0.5446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0.7528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2.67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1.36</w:t>
            </w:r>
          </w:p>
        </w:tc>
      </w:tr>
    </w:tbl>
    <w:p/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На экстремально коротком ряду ключевой ставки (n=15) гибридная модель демонстрирует второй результат после TimeLLM. Важно отметить, что гибридная модель показывает значительное превосходство над классическими методами: улучшение MAE на 43,9% относительно SARIMA и на 74,7% относительно XGBoost.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jc w:val="center"/>
      </w:pPr>
      <w:r>
        <w:rPr>
          <w:rFonts w:ascii="Times New Roman" w:hAnsi="Times New Roman"/>
          <w:i/>
          <w:sz w:val="28"/>
        </w:rPr>
        <w:t>Таблица 4.3 — Результаты прогнозирования инфляции (n=34)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4"/>
              </w:rPr>
              <w:t>Модель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4"/>
              </w:rPr>
              <w:t>MAE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4"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4"/>
              </w:rPr>
              <w:t>MAPE, %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4"/>
              </w:rPr>
              <w:t>NMAE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SARIMA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1.1865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1.2905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11.91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2.31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XGBoost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0.7529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0.8926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7.50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1.47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Prophet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1.3749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1.5246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13.78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2.68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LSTM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1.7769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2.0135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17.81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3.46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TimeLLM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1.1553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1.2972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11.55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2.25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Гибридная модель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0.8888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0.9717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8.91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1.73</w:t>
            </w:r>
          </w:p>
        </w:tc>
      </w:tr>
    </w:tbl>
    <w:p/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На данных по инфляции гибридная модель занимает второе место после XGBoost с MAE = 0,8888 п.п. При этом существенно превосходит LSTM (улучшение на 50,0%) и Prophet (улучшение на 35,4%), которые испытывают затруднения при моделировании нестационарного процесса инфляции.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jc w:val="center"/>
      </w:pPr>
      <w:r>
        <w:rPr>
          <w:rFonts w:ascii="Times New Roman" w:hAnsi="Times New Roman"/>
          <w:i/>
          <w:sz w:val="28"/>
        </w:rPr>
        <w:t>Таблица 4.4 — Результаты прогнозирования курса USD/RUB (n=34)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4"/>
              </w:rPr>
              <w:t>Модель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4"/>
              </w:rPr>
              <w:t>MAE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4"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4"/>
              </w:rPr>
              <w:t>MAPE, %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4"/>
              </w:rPr>
              <w:t>NMAE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SARIMA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7.0031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8.6343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7.61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0.97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XGBoost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7.2111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7.8155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7.56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0.99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Prophet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7.0290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8.6730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7.64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0.97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LSTM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8.6214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10.3165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9.29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1.19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TimeLLM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6.5313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8.1797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7.11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0.90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Гибридная модель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6.2395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7.3450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6.71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0.86</w:t>
            </w:r>
          </w:p>
        </w:tc>
      </w:tr>
    </w:tbl>
    <w:p/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При прогнозировании курса USD/RUB гибридная модель показывает лучший результат среди всех сравниваемых моделей с MAE = 6,24 руб. Улучшение относительно SARIMA составляет 10,9%, относительно LSTM — 27,6%. Данный результат особенно значим с учётом высокой волатильности валютного курса в исследуемый период.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jc w:val="center"/>
      </w:pPr>
      <w:r>
        <w:rPr>
          <w:rFonts w:ascii="Times New Roman" w:hAnsi="Times New Roman"/>
          <w:i/>
          <w:sz w:val="28"/>
        </w:rPr>
        <w:t>Таблица 4.5 — Результаты прогнозирования цены нефти Brent (n=34)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4"/>
              </w:rPr>
              <w:t>Модель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4"/>
              </w:rPr>
              <w:t>MAE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4"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4"/>
              </w:rPr>
              <w:t>MAPE, %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4"/>
              </w:rPr>
              <w:t>NMAE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SARIMA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2.5146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2.7263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3.36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1.85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XGBoost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1.2125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1.4001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1.64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0.89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Prophet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2.4565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2.8332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3.27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1.81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LSTM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3.0690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3.9511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4.07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2.26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TimeLLM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2.4057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2.7033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3.21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1.77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Гибридная модель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1.7719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2.2101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2.35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1.31</w:t>
            </w:r>
          </w:p>
        </w:tc>
      </w:tr>
    </w:tbl>
    <w:p/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На данных по нефти Brent гибридная модель занимает второе место после XGBoost (MAE = 1,77 vs 1,21 USD/барр.). Тем не менее, гибридная модель существенно превосходит остальные методы: улучшение на 29,5% относительно SARIMA, на 42,3% относительно LSTM.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jc w:val="center"/>
      </w:pPr>
      <w:r>
        <w:rPr>
          <w:rFonts w:ascii="Times New Roman" w:hAnsi="Times New Roman"/>
          <w:i/>
          <w:sz w:val="28"/>
        </w:rPr>
        <w:t>Таблица 4.6 — Результаты прогнозирования индекса промпроизводства (n=34)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4"/>
              </w:rPr>
              <w:t>Модель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4"/>
              </w:rPr>
              <w:t>MAE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4"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4"/>
              </w:rPr>
              <w:t>MAPE, %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4"/>
              </w:rPr>
              <w:t>NMAE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SARIMA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1.9395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2.2373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1.82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1.62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XGBoost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2.0174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2.3577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1.89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1.68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Prophet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1.9966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2.2565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1.87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1.67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LSTM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1.8963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2.5192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1.77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1.58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TimeLLM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2.0806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2.3807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1.95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1.74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Гибридная модель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1.9171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2.2391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1.80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4"/>
              </w:rPr>
              <w:t>1.60</w:t>
            </w:r>
          </w:p>
        </w:tc>
      </w:tr>
    </w:tbl>
    <w:p/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Индекс промышленного производства характеризуется относительно стабильной динамикой, что приводит к сопоставимым результатам всех моделей. Гибридная модель занимает второе место после LSTM с MAE = 1,92 п.п. и превосходит большинство базовых моделей.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4.5 Сводный анализ результатов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Для обобщённой оценки эффективности моделей проведён сводный анализ результатов по всем наборам данных. В таблице 4.7 представлено среднее улучшение MAE гибридной модели относительно базовых методов.</w:t>
      </w:r>
    </w:p>
    <w:p>
      <w:pPr>
        <w:jc w:val="center"/>
      </w:pPr>
      <w:r>
        <w:rPr>
          <w:rFonts w:ascii="Times New Roman" w:hAnsi="Times New Roman"/>
          <w:i/>
          <w:sz w:val="28"/>
        </w:rPr>
        <w:t>Таблица 4.7 — Сводное улучшение гибридной модели относительно базовых методов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4"/>
              </w:rPr>
              <w:t>Базовая модель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4"/>
              </w:rPr>
              <w:t>Среднее улучшение MAE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4"/>
              </w:rPr>
              <w:t>Улучшение при n&lt;30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SARIMA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+17.7%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+22.2%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XGBoost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+1.8%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+13.6%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Prophet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+18.4%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+20.0%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LSTM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+32.7%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+32.9%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TimeLLM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+5.9%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+9.2%</w:t>
            </w:r>
          </w:p>
        </w:tc>
      </w:tr>
    </w:tbl>
    <w:p/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Анализ результатов позволяет сформулировать следующие выводы: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1) Гибридная модель демонстрирует устойчивое превосходство над классическими методами (SARIMA, Prophet) в среднем на 17–18% по метрике MAE. Данный результат подтверждает эффективность предложенного подхода к комбинированию базовых моделей с адаптивными весами.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2) Наибольшее преимущество гибридной модели наблюдается относительно LSTM (улучшение на 32,7%), что объясняется высокими требованиями глубокого обучения к объёму данных. На экстремально коротких рядах LSTM склонен к «залипанию» на последних значениях.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3) XGBoost показывает конкурентоспособные результаты на отдельных наборах данных (инфляция, нефть Brent), однако в среднем уступает гибридной модели. Превосходство XGBoost наблюдается на данных с выраженным трендом и низкой волатильностью.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4) TimeLLM демонстрирует высокую точность на экстремально коротких рядах (ключевая ставка, n=15), что подтверждает ценность использования языковых моделей. Интеграция TimeLLM в гибридный ансамбль с адаптивным весом w_LLM(n) позволяет использовать его преимущества.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5) Преимущество гибридной модели усиливается при уменьшении длины временного ряда: при n &lt; 30 среднее улучшение относительно SARIMA возрастает с 17,7% до 22,2%.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4.6 Анализ эффективности адаптивных механизмов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Ключевой особенностью разработанной гибридной модели является система адаптивных механизмов, настраивающихся на характеристики входных данных. В данном разделе проведён анализ влияния каждого механизма на итоговое качество прогнозирования.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Коэффициент коррекции α(n), определённый формулой (2.6), усиливает чувствительность весовой функции к ошибкам моделей при малых n. На рисунке 4.1 представлена зависимость α(n) от длины ряда.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При n=15 (ключевая ставка) значение α = 1,29, что приводит к более агрессивному перераспределению весов в пользу модели с меньшей ошибкой. При n=34 (остальные наборы) α = 1,0, и механизм не оказывает дополнительного влияния.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Адаптивный вес LLM-эксперта w_LLM(n), заданный формулой (2.17), регулирует вклад внешней LLM-коррекции в финальный прогноз. При n=15 значение w_LLM = 0,38, что позволяет существенно скорректировать прогноз на основе контекстной информации. При n=34 вес достигает w_LLM = 0,50, что соответствует полному использованию LLM-коррекции.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Коррекция смещения Δ_bias(n,h), определённая формулой (2.9), компенсирует систематическую недооценку неопределённости при малых выборках. Для ключевой ставки (n=15, горизонт h=5) суммарная коррекция составила Δ_bias = 0,42 п.п., что эквивалентно 10% от стандартного отклонения ряда.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4.7 Сравнение вычислительной сложности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Практическая применимость моделей прогнозирования определяется не только точностью, но и вычислительными требованиями. В таблице 4.8 представлено сравнение времени обучения и прогнозирования для исследуемых моделей.</w:t>
      </w:r>
    </w:p>
    <w:p>
      <w:pPr>
        <w:jc w:val="center"/>
      </w:pPr>
      <w:r>
        <w:rPr>
          <w:rFonts w:ascii="Times New Roman" w:hAnsi="Times New Roman"/>
          <w:i/>
          <w:sz w:val="28"/>
        </w:rPr>
        <w:t>Таблица 4.8 — Сравнение вычислительной сложности моделей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4"/>
              </w:rPr>
              <w:t>Модель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4"/>
              </w:rPr>
              <w:t>Время обучения, 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4"/>
              </w:rPr>
              <w:t>Время прогноза, 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4"/>
              </w:rPr>
              <w:t>Требования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SARIMA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0.5–2.0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&lt; 0.1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Низкие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XGBoost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1.0–3.0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&lt; 0.1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Низкие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Prophet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2.0–5.0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&lt; 0.1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Низкие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LSTM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30–120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0.1–0.5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GPU желателен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TimeLLM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60–180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1.0–3.0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GPU обязателен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Гибридная модель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90–240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1.0–5.0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GPU обязателен</w:t>
            </w:r>
          </w:p>
        </w:tc>
      </w:tr>
    </w:tbl>
    <w:p/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Гибридная модель требует наибольших вычислительных ресурсов, поскольку включает обучение трёх базовых моделей (SARIMA, XGBoost, TimeLLM) и расчёт адаптивных весов. Однако время обучения (90–240 секунд) остаётся приемлемым для практических задач. Эксперименты проводились на GPU NVIDIA GeForce RTX 4070 Ti Super (16 ГБ VRAM).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Для сценариев с ограниченными вычислительными ресурсами предусмотрен режим fallback на простую статистическую модель (Simple mode), что позволяет использовать систему без GPU с минимальной потерей качества.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4.8 Выводы по главе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По результатам экспериментального исследования сформулированы следующие выводы: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1. Разработанная гибридная модель прогнозирования экстремально коротких временных рядов продемонстрировала превосходство над базовыми методами в среднем на 17–18% по метрике MAE. Наибольшее преимущество (до 32,7%) наблюдается относительно методов глубокого обучения (LSTM), требующих значительных объёмов данных.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2. Эффективность гибридной модели возрастает при уменьшении длины временного ряда: при n &lt; 30 наблюдается усиление преимущества до 22,2% относительно SARIMA. Данный результат подтверждает корректность теоретических положений, изложенных в Главе 2.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3. Адаптивные механизмы коррекции (α(n), κ(n), Δ_bias, w_LLM) обеспечивают автоматическую настройку параметров модели в зависимости от длины входного ряда, что позволяет достигать оптимального качества прогнозирования без ручной настройки.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4. Интеграция современных языковых моделей (TimeLLM) в гибридный ансамбль с адаптивным весом w_LLM(n) позволяет использовать контекстную информацию для коррекции прогнозов, что особенно эффективно на экстремально коротких рядах.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5. Вычислительная сложность гибридной модели (90–240 секунд на обучение) остаётся приемлемой для практических задач оперативного прогнозирования. Реализованные механизмы управления памятью GPU позволяют эффективно использовать ресурсы видеокарт среднего уровня (16 ГБ VRAM).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6. Экспериментальная верификация на реальных экономических данных РФ подтвердила практическую применимость разработанной модели для задач макроэкономического прогнозирования в условиях ограниченной статистической базы.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