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/>
      </w:pPr>
      <w:bookmarkStart w:id="0" w:name="header"/>
      <w:bookmarkStart w:id="1" w:name="content"/>
      <w:bookmarkStart w:id="2" w:name="X148cc1142f3a5416bc747ad2576af2c5e04da2f"/>
      <w:bookmarkEnd w:id="0"/>
      <w:r>
        <w:rPr/>
        <w:t>Projekt systemu sesji TSR z wykorzystaniem modeli OpenAI i Gemini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3" w:name="X644da0e81b99baa24727f396c8ea5761beecda2"/>
      <w:bookmarkEnd w:id="3"/>
      <w:r>
        <w:rPr/>
        <w:t>Wybór modeli LLM: terapeuta vs. Supervisor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Proponowany podział ról:</w:t>
      </w:r>
    </w:p>
    <w:p>
      <w:pPr>
        <w:pStyle w:val="BodyTex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rola terapeuty: model OpenAI (np. GPT</w:t>
        <w:noBreakHyphen/>
        <w:t>4),</w:t>
      </w:r>
    </w:p>
    <w:p>
      <w:pPr>
        <w:pStyle w:val="BodyTex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rola supervisora: model Google Gemini.</w:t>
      </w:r>
    </w:p>
    <w:p>
      <w:pPr>
        <w:pStyle w:val="BodyText"/>
        <w:numPr>
          <w:ilvl w:val="0"/>
          <w:numId w:val="0"/>
        </w:numPr>
        <w:ind w:hanging="0" w:start="0"/>
        <w:rPr/>
      </w:pPr>
      <w:bookmarkStart w:id="4" w:name="X644da0e81b99baa24727f396c8ea5761beecda2"/>
      <w:bookmarkEnd w:id="4"/>
      <w:r>
        <w:rPr>
          <w:rStyle w:val="Strong"/>
          <w:sz w:val="21"/>
          <w:szCs w:val="21"/>
        </w:rPr>
        <w:t>Dlaczego tak: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sz w:val="21"/>
          <w:szCs w:val="21"/>
        </w:rPr>
        <w:t>jakość odpowiedzi</w:t>
      </w:r>
      <w:r>
        <w:rPr>
          <w:sz w:val="21"/>
          <w:szCs w:val="21"/>
        </w:rPr>
        <w:t>: GPT</w:t>
        <w:noBreakHyphen/>
        <w:t>4 tworzy spójne, naturalne, kontekstowo trafne wypowiedzi pełne empatii i wyczucia niuansów. W rozmowie terapeutycznej TSR taka jakość buduje relację i poczucie zrozumienia. Gemini radzi sobie świetnie w generowaniu tekstu i w zadaniach multimodalnych, jednak w subtelności języka i głębi dialogu często wygrywa GPT</w:t>
        <w:noBreakHyphen/>
      </w:r>
      <w:r>
        <w:rPr>
          <w:sz w:val="21"/>
          <w:szCs w:val="21"/>
        </w:rPr>
        <w:t>4</w:t>
      </w:r>
      <w:r>
        <w:rPr>
          <w:sz w:val="21"/>
          <w:szCs w:val="21"/>
        </w:rPr>
        <w:t>,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sz w:val="21"/>
          <w:szCs w:val="21"/>
        </w:rPr>
        <w:t>koszty</w:t>
      </w:r>
      <w:r>
        <w:rPr>
          <w:sz w:val="21"/>
          <w:szCs w:val="21"/>
        </w:rPr>
        <w:t>: API GPT</w:t>
        <w:noBreakHyphen/>
        <w:t xml:space="preserve">4 jest wyraźnie droższe niż Gemini. Google podaje, że Gemini Pro bywa nawet o rząd wielkości tańszy w przeliczeniu na token, a czasem dostępny bez opłat w pewnych limitach. W systemie terapeuta (LLM A) generuje wiele odpowiedzi, a supervisor (LLM B) sporadyczne podsumowania i oceny. </w:t>
      </w:r>
      <w:r>
        <w:rPr>
          <w:sz w:val="21"/>
          <w:szCs w:val="21"/>
        </w:rPr>
        <w:t xml:space="preserve">Przydzielamy </w:t>
      </w:r>
      <w:r>
        <w:rPr>
          <w:sz w:val="21"/>
          <w:szCs w:val="21"/>
        </w:rPr>
        <w:t xml:space="preserve">droższy model tam, gdzie liczy się najwyższa jakość (terapeuta), a tańszy do zadań analitycznych (supervisor). </w:t>
      </w:r>
      <w:r>
        <w:rPr>
          <w:sz w:val="21"/>
          <w:szCs w:val="21"/>
        </w:rPr>
        <w:t>Dziś dostepny jest GPT-5 – jest to najlepszy obecnie model. Najdroższy, najbardziej subtelny,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sz w:val="21"/>
          <w:szCs w:val="21"/>
        </w:rPr>
        <w:t>długość kontekstu</w:t>
      </w:r>
      <w:r>
        <w:rPr>
          <w:sz w:val="21"/>
          <w:szCs w:val="21"/>
        </w:rPr>
        <w:t>: Gemini Pro obsługuje ogromne konteksty – publicznie do ok. 128 tys. tokenów, wewnętrznie testowano nawet rzędu 10 mln. GPT</w:t>
        <w:noBreakHyphen/>
        <w:t>4 ma wariant 128K. Dla pojedynczej sesji TSR to i tak z zapasem. Jeśli jednak supervisor ma analizować długi zapis rozmowy i dodatkowe materiały, przewaga Gemini daje komfort. U terapeuty duży kontekst ma mniejsze znaczenie; bardziej liczy się pamiętanie kluczowych informacji między etapami, co zapewnimy krótkimi streszczeniami,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sz w:val="21"/>
          <w:szCs w:val="21"/>
        </w:rPr>
        <w:t>kontrola odpowiedzi</w:t>
      </w:r>
      <w:r>
        <w:rPr>
          <w:sz w:val="21"/>
          <w:szCs w:val="21"/>
        </w:rPr>
        <w:t>: supervisor ma zwracać ściśle sformatowany JSON i podejmować decyzje możliwie deterministycznie. Oba modele pozwalają wymusić format przez odpowiednie instrukcje i niską temperaturę. GPT</w:t>
        <w:noBreakHyphen/>
        <w:t>4 zwykle bardzo dobrze trzyma się formatu (np. czysty JSON bez komentarzy), Gemini również, zwłaszcza w środowisku Google Cloud. Dla supervisora ustawiamy niską temperaturę (</w:t>
      </w:r>
      <w:r>
        <w:rPr>
          <w:color w:val="FF0000"/>
          <w:sz w:val="21"/>
          <w:szCs w:val="21"/>
        </w:rPr>
        <w:t>blisko 0</w:t>
      </w:r>
      <w:r>
        <w:rPr>
          <w:sz w:val="21"/>
          <w:szCs w:val="21"/>
        </w:rPr>
        <w:t>), dla terapeuty umiarkowaną (</w:t>
      </w:r>
      <w:r>
        <w:rPr>
          <w:color w:val="FF0000"/>
          <w:sz w:val="21"/>
          <w:szCs w:val="21"/>
        </w:rPr>
        <w:t>ok. 0,7</w:t>
      </w:r>
      <w:r>
        <w:rPr>
          <w:sz w:val="21"/>
          <w:szCs w:val="21"/>
        </w:rPr>
        <w:t>), aby uzyskać naturalność i różnorodność wypowiedzi,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sz w:val="21"/>
          <w:szCs w:val="21"/>
        </w:rPr>
        <w:t>podsumowanie wyboru</w:t>
      </w:r>
      <w:r>
        <w:rPr>
          <w:sz w:val="21"/>
          <w:szCs w:val="21"/>
        </w:rPr>
        <w:t>: GPT</w:t>
        <w:noBreakHyphen/>
      </w:r>
      <w:r>
        <w:rPr>
          <w:sz w:val="21"/>
          <w:szCs w:val="21"/>
        </w:rPr>
        <w:t>5, GMT-</w:t>
      </w:r>
      <w:r>
        <w:rPr>
          <w:sz w:val="21"/>
          <w:szCs w:val="21"/>
        </w:rPr>
        <w:t>4 najlepiej sprawdza się jako empatyczny generator dialogu terapeutycznego, a Gemini – jako tańszy, „chłodniejszy” analityk z dużym kontekstem, który ocenia przebieg sesji i tworzy podsumowania. Taki duet zapewnia wysoką jakość interakcji przy rozsądnym budżecie i precyzyjnej kontroli formatu supervisora.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5" w:name="X444ce865efbadff694f41df0b9657e5e45bf8fc"/>
      <w:bookmarkEnd w:id="5"/>
      <w:r>
        <w:rPr/>
        <w:t>Workflow komunikacji między terapeutą a supervisorem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bookmarkStart w:id="6" w:name="X444ce865efbadff694f41df0b9657e5e45bf8fc"/>
      <w:bookmarkEnd w:id="6"/>
      <w:r>
        <w:rPr>
          <w:rStyle w:val="Strong"/>
          <w:sz w:val="21"/>
          <w:szCs w:val="21"/>
        </w:rPr>
        <w:t>Ogólna organizacja sesji:</w:t>
      </w:r>
      <w:r>
        <w:rPr>
          <w:sz w:val="21"/>
          <w:szCs w:val="21"/>
        </w:rPr>
        <w:t xml:space="preserve"> rozmowa z klientem dzieli się na 5 etapów TSR. Na każdym etapie LLM A (terapeuta) rozmawia z użytkownikiem, a LLM B (supervisor) czuwa nad realizacją celu etapu i decyduje o przejściu dalej. Komunikacja między modelami przebiega sekwencyjnie: po zakończeniu etapu terapeuta „oddaje głos” supervisorowi, który ocenia przebieg i przygotowuje kolejny etap.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Krok po kroku: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inicjacja etapu (wejście dla terapeuty)</w:t>
      </w:r>
      <w:r>
        <w:rPr>
          <w:sz w:val="21"/>
          <w:szCs w:val="21"/>
        </w:rPr>
        <w:t>: terapeuta dostaje zestaw kontekstów,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stały systemowy prompt terapeuty</w:t>
      </w:r>
      <w:r>
        <w:rPr>
          <w:sz w:val="21"/>
          <w:szCs w:val="21"/>
        </w:rPr>
        <w:t>: globalne instrukcje roli (TSR) i stylu rozmowy, obowiązujące przez całą sesję,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prompt etapowy</w:t>
      </w:r>
      <w:r>
        <w:rPr>
          <w:sz w:val="21"/>
          <w:szCs w:val="21"/>
        </w:rPr>
        <w:t>: dodatkowe wskazówki specyficzne dla bieżącego etapu (cel, strategia, styl),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podsumowanie poprzedniego etapu (stage summary)</w:t>
      </w:r>
      <w:r>
        <w:rPr>
          <w:sz w:val="21"/>
          <w:szCs w:val="21"/>
        </w:rPr>
        <w:t>: 2–3 zdania generowane przez supervisora po każdym etapie. Zawierają najważniejsze fakty do odniesienia w kolejnym kroku, np.: „Klient zauważył, że w sytuacjach gdy spędza czas z rodziną, jego nastrój się poprawia, co świadczy o ważnym zasobie wsparcia społecznego. Powiedział też, że kiedyś uprawianie sportu pomagało mu poczuć się lepiej.” – to trafia do kontekstu następnego etapu,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inne dane kontekstowe</w:t>
      </w:r>
      <w:r>
        <w:rPr>
          <w:sz w:val="21"/>
          <w:szCs w:val="21"/>
        </w:rPr>
        <w:t xml:space="preserve">: np. ustalona forma zwracania się (Pan/Pani vs. „ty”), przekazywana w JSON przez supervisora (pole </w:t>
      </w:r>
      <w:r>
        <w:rPr>
          <w:rStyle w:val="SourceText"/>
          <w:sz w:val="21"/>
          <w:szCs w:val="21"/>
        </w:rPr>
        <w:t>addressing</w:t>
      </w:r>
      <w:r>
        <w:rPr>
          <w:sz w:val="21"/>
          <w:szCs w:val="21"/>
        </w:rPr>
        <w:t xml:space="preserve">: </w:t>
      </w:r>
      <w:r>
        <w:rPr>
          <w:rStyle w:val="SourceText"/>
          <w:sz w:val="21"/>
          <w:szCs w:val="21"/>
        </w:rPr>
        <w:t>formal</w:t>
      </w:r>
      <w:r>
        <w:rPr>
          <w:sz w:val="21"/>
          <w:szCs w:val="21"/>
        </w:rPr>
        <w:t>/</w:t>
      </w:r>
      <w:r>
        <w:rPr>
          <w:rStyle w:val="SourceText"/>
          <w:sz w:val="21"/>
          <w:szCs w:val="21"/>
        </w:rPr>
        <w:t>informal</w:t>
      </w:r>
      <w:r>
        <w:rPr>
          <w:sz w:val="21"/>
          <w:szCs w:val="21"/>
        </w:rPr>
        <w:t>) i dodawana do promptu terapeuty. Domyślnie start formalny, po etapie 1 możliwa zmiana,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przebieg rozmowy w ramach etapu</w:t>
      </w:r>
      <w:r>
        <w:rPr>
          <w:sz w:val="21"/>
          <w:szCs w:val="21"/>
        </w:rPr>
        <w:t>: terapeuta prowadzi dialog zgodnie z celem etapu. Wymian może być kilka, aż do spełnienia kryteriów. Supervisor pozostaje w tle do momentu oceny. Możliwe są dwa tryby organizacji,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Style w:val="Strong"/>
          <w:sz w:val="21"/>
          <w:szCs w:val="21"/>
        </w:rPr>
        <w:t>z góry ustalona struktura</w:t>
      </w:r>
      <w:r>
        <w:rPr>
          <w:sz w:val="21"/>
          <w:szCs w:val="21"/>
        </w:rPr>
        <w:t>: każdy etap ma przewidziany zakres pytań (np. 1–3). Po ich wyczerpaniu następuje ocena. Terapeuta kończy etap krótkim podsumowaniem i czeka na decyzję supervisora,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Style w:val="Strong"/>
          <w:sz w:val="21"/>
          <w:szCs w:val="21"/>
        </w:rPr>
        <w:t>dynamiczne sprawdzanie kryteriów</w:t>
      </w:r>
      <w:r>
        <w:rPr>
          <w:sz w:val="21"/>
          <w:szCs w:val="21"/>
        </w:rPr>
        <w:t>: po każdej odpowiedzi klienta można wywoływać supervisora w trybie „sprawdź kryteria”. Gdy nie spełniono – rozmowa w etapie trwa dalej; gdy spełniono – zamknięcie etapu,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Praktyka projektu:</w:t>
      </w:r>
      <w:r>
        <w:rPr>
          <w:sz w:val="21"/>
          <w:szCs w:val="21"/>
        </w:rPr>
        <w:t xml:space="preserve"> stosujemy wersję </w:t>
      </w:r>
      <w:r>
        <w:rPr>
          <w:b/>
          <w:bCs/>
          <w:sz w:val="21"/>
          <w:szCs w:val="21"/>
        </w:rPr>
        <w:t>b</w:t>
      </w:r>
      <w:r>
        <w:rPr>
          <w:rStyle w:val="Strong"/>
          <w:sz w:val="21"/>
          <w:szCs w:val="21"/>
        </w:rPr>
        <w:t>)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Choć do rozważenia opcja a, gdzie </w:t>
      </w:r>
      <w:r>
        <w:rPr>
          <w:sz w:val="21"/>
          <w:szCs w:val="21"/>
        </w:rPr>
        <w:t>Supervisor wywoływany jest po sygnale zakończenia etapu przez terapeutę. Terapeuta zna kryteria i sam dąży do ich osiągnięcia. Przykład (etap 3 – skala): terapeuta zbiera ocenę na skali i krótką refleksję o +1, po czym zamyka etap i czeka na decyzję.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Analiza etapu przez supervisora: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wejście</w:t>
      </w:r>
      <w:r>
        <w:rPr>
          <w:sz w:val="21"/>
          <w:szCs w:val="21"/>
        </w:rPr>
        <w:t>: pełna transkrypcja rozmowy z bieżącego etapu, numer etapu, stan spełnienia wcześniejszych kryteriów (supervisor nie cofa zaliczonych etapów; wystarczy numer bieżącego etapu, by zakładać, że wcześniejsze są zaliczone),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zakres</w:t>
      </w:r>
      <w:r>
        <w:rPr>
          <w:sz w:val="21"/>
          <w:szCs w:val="21"/>
        </w:rPr>
        <w:t>: supervisor skupia się głównie na wypowiedziach klienta i ocenia, czy osiągnięto kryteria etapu (np. czy padł cel, wyjątek, liczba na skali, plan działania). Kontekst pytań terapeuty służy zrozumieniu odpowiedzi,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Decyzja supervisora – JSON: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format</w:t>
      </w:r>
      <w:r>
        <w:rPr>
          <w:sz w:val="21"/>
          <w:szCs w:val="21"/>
        </w:rPr>
        <w:t>: wyłącznie JSON o ustalonym schemacie,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pola</w:t>
      </w:r>
      <w:r>
        <w:rPr>
          <w:sz w:val="21"/>
          <w:szCs w:val="21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Style w:val="SourceText"/>
          <w:sz w:val="21"/>
          <w:szCs w:val="21"/>
        </w:rPr>
        <w:t>decision</w:t>
      </w:r>
      <w:r>
        <w:rPr>
          <w:sz w:val="21"/>
          <w:szCs w:val="21"/>
        </w:rPr>
        <w:t xml:space="preserve">: </w:t>
      </w:r>
      <w:r>
        <w:rPr>
          <w:rStyle w:val="SourceText"/>
          <w:sz w:val="21"/>
          <w:szCs w:val="21"/>
        </w:rPr>
        <w:t>advance</w:t>
      </w:r>
      <w:r>
        <w:rPr>
          <w:sz w:val="21"/>
          <w:szCs w:val="21"/>
        </w:rPr>
        <w:t xml:space="preserve"> lub </w:t>
      </w:r>
      <w:r>
        <w:rPr>
          <w:rStyle w:val="SourceText"/>
          <w:sz w:val="21"/>
          <w:szCs w:val="21"/>
        </w:rPr>
        <w:t>stay</w:t>
      </w:r>
      <w:r>
        <w:rPr>
          <w:sz w:val="21"/>
          <w:szCs w:val="21"/>
        </w:rPr>
        <w:t>,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Style w:val="SourceText"/>
          <w:sz w:val="21"/>
          <w:szCs w:val="21"/>
        </w:rPr>
        <w:t>summary</w:t>
      </w:r>
      <w:r>
        <w:rPr>
          <w:sz w:val="21"/>
          <w:szCs w:val="21"/>
        </w:rPr>
        <w:t>: 2–3 zdania neutralnego podsumowania etapu w trzeciej osobie, bez zwrotów do klienta,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Style w:val="SourceText"/>
          <w:sz w:val="21"/>
          <w:szCs w:val="21"/>
        </w:rPr>
        <w:t>addressing</w:t>
      </w:r>
      <w:r>
        <w:rPr>
          <w:sz w:val="21"/>
          <w:szCs w:val="21"/>
        </w:rPr>
        <w:t xml:space="preserve">: </w:t>
      </w:r>
      <w:r>
        <w:rPr>
          <w:rStyle w:val="SourceText"/>
          <w:sz w:val="21"/>
          <w:szCs w:val="21"/>
        </w:rPr>
        <w:t>formal</w:t>
      </w:r>
      <w:r>
        <w:rPr>
          <w:sz w:val="21"/>
          <w:szCs w:val="21"/>
        </w:rPr>
        <w:t xml:space="preserve"> lub </w:t>
      </w:r>
      <w:r>
        <w:rPr>
          <w:rStyle w:val="SourceText"/>
          <w:sz w:val="21"/>
          <w:szCs w:val="21"/>
        </w:rPr>
        <w:t>informal</w:t>
      </w:r>
      <w:r>
        <w:rPr>
          <w:sz w:val="21"/>
          <w:szCs w:val="21"/>
        </w:rPr>
        <w:t xml:space="preserve"> (ustalona forma zwracania się),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Style w:val="Strong"/>
          <w:sz w:val="21"/>
          <w:szCs w:val="21"/>
        </w:rPr>
        <w:t>przykład (po etapie 2)</w:t>
      </w:r>
      <w:r>
        <w:rPr>
          <w:sz w:val="21"/>
          <w:szCs w:val="21"/>
        </w:rPr>
        <w:t>:</w:t>
      </w:r>
    </w:p>
    <w:p>
      <w:pPr>
        <w:pStyle w:val="BodyText"/>
        <w:numPr>
          <w:ilvl w:val="0"/>
          <w:numId w:val="0"/>
        </w:numPr>
        <w:spacing w:before="180" w:after="0"/>
        <w:ind w:hanging="0" w:start="144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{</w:t>
      </w:r>
    </w:p>
    <w:p>
      <w:pPr>
        <w:pStyle w:val="BodyText"/>
        <w:numPr>
          <w:ilvl w:val="0"/>
          <w:numId w:val="0"/>
        </w:numPr>
        <w:spacing w:before="180" w:after="0"/>
        <w:ind w:hanging="0" w:start="21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"decision": "advance",</w:t>
      </w:r>
    </w:p>
    <w:p>
      <w:pPr>
        <w:pStyle w:val="BodyText"/>
        <w:numPr>
          <w:ilvl w:val="0"/>
          <w:numId w:val="0"/>
        </w:numPr>
        <w:spacing w:before="180" w:after="0"/>
        <w:ind w:hanging="0" w:start="21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"summary": "Klient przypomniał sobie sytuację, w której czuł się spokojniejszy - opisał wolny weekend jako wyjątek od stresu. Zidentyfikował też wsparcie ze strony żony jako ważny zasób w radzeniu sobie z problemem.",</w:t>
      </w:r>
    </w:p>
    <w:p>
      <w:pPr>
        <w:pStyle w:val="BodyText"/>
        <w:numPr>
          <w:ilvl w:val="0"/>
          <w:numId w:val="0"/>
        </w:numPr>
        <w:spacing w:before="180" w:after="0"/>
        <w:ind w:hanging="0" w:start="21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"addressing": "formal"</w:t>
      </w:r>
    </w:p>
    <w:p>
      <w:pPr>
        <w:pStyle w:val="BodyText"/>
        <w:numPr>
          <w:ilvl w:val="0"/>
          <w:numId w:val="0"/>
        </w:numPr>
        <w:ind w:hanging="0" w:start="144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}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Reakcja systemu (orkiestracja):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 xml:space="preserve">gdy </w:t>
      </w:r>
      <w:r>
        <w:rPr>
          <w:rStyle w:val="Strong"/>
          <w:sz w:val="21"/>
          <w:szCs w:val="21"/>
        </w:rPr>
        <w:t>decision = advance</w:t>
      </w:r>
      <w:r>
        <w:rPr>
          <w:sz w:val="21"/>
          <w:szCs w:val="21"/>
        </w:rPr>
        <w:t xml:space="preserve">: zwiększamy numer etapu, pobieramy kolejny prompt etapowy, przekazujemy terapeucie </w:t>
      </w:r>
      <w:r>
        <w:rPr>
          <w:rStyle w:val="SourceText"/>
          <w:sz w:val="21"/>
          <w:szCs w:val="21"/>
        </w:rPr>
        <w:t>stage_summary</w:t>
      </w:r>
      <w:r>
        <w:rPr>
          <w:sz w:val="21"/>
          <w:szCs w:val="21"/>
        </w:rPr>
        <w:t xml:space="preserve"> do kontekstu,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 xml:space="preserve">gdy </w:t>
      </w:r>
      <w:r>
        <w:rPr>
          <w:rStyle w:val="Strong"/>
          <w:sz w:val="21"/>
          <w:szCs w:val="21"/>
        </w:rPr>
        <w:t>decision = stay</w:t>
      </w:r>
      <w:r>
        <w:rPr>
          <w:sz w:val="21"/>
          <w:szCs w:val="21"/>
        </w:rPr>
        <w:t xml:space="preserve">: pozostajemy w etapie, terapeuta dostaje summary i ewentualne jawne wskazówki (opcjonalne pole typu </w:t>
      </w:r>
      <w:r>
        <w:rPr>
          <w:rStyle w:val="SourceText"/>
          <w:sz w:val="21"/>
          <w:szCs w:val="21"/>
        </w:rPr>
        <w:t>note</w:t>
      </w:r>
      <w:r>
        <w:rPr>
          <w:sz w:val="21"/>
          <w:szCs w:val="21"/>
        </w:rPr>
        <w:t>) lub po prostu kontynuuje rozmowę inną ścieżką. W naszym uproszczeniu „stay” oznacza, że trzeba popracować dalej bez nadmiernych instrukcji,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logowanie</w:t>
      </w:r>
      <w:r>
        <w:rPr>
          <w:sz w:val="21"/>
          <w:szCs w:val="21"/>
        </w:rPr>
        <w:t>: summary może posłużyć do końcowego raportu. JSON nie jest widoczny dla klienta – służy wewnętrznie do sterowania sesją,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przejście dalej</w:t>
      </w:r>
      <w:r>
        <w:rPr>
          <w:sz w:val="21"/>
          <w:szCs w:val="21"/>
        </w:rPr>
        <w:t>: po decyzji „advance” wracamy do inicjacji kolejnego etapu z nowym promptem etapowym i zaktualizowanym kontekstem,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zakończenie sesji (etap 5)</w:t>
      </w:r>
      <w:r>
        <w:rPr>
          <w:sz w:val="21"/>
          <w:szCs w:val="21"/>
        </w:rPr>
        <w:t xml:space="preserve">: supervisor zwraca JSON z </w:t>
      </w:r>
      <w:r>
        <w:rPr>
          <w:rStyle w:val="SourceText"/>
          <w:sz w:val="21"/>
          <w:szCs w:val="21"/>
        </w:rPr>
        <w:t>decision = advance</w:t>
      </w:r>
      <w:r>
        <w:rPr>
          <w:sz w:val="21"/>
          <w:szCs w:val="21"/>
        </w:rPr>
        <w:t>, co oznacza koniec rozmowy. Summary z etapu 5 stanowi końcowe podsumowanie sesji. Terapeuta zawiera podsumowanie w swojej ostatniej wypowiedzi, a JSON służy do wewnętrznego zapisu. W wyjątkowych sytuacjach supervisor może zasygnalizować pominięcie istotnego wątku (np. bezpieczeństwo) – to scenariusz rozszerzony.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Zakres analizy supervisora – uściślenie:</w:t>
      </w:r>
      <w:r>
        <w:rPr>
          <w:sz w:val="21"/>
          <w:szCs w:val="21"/>
        </w:rPr>
        <w:t xml:space="preserve"> supervisor ocenia treść etapu pod kątem kryteriów TSR, nie ingeruje w styl wypowiedzi terapeuty (poza formą zwracania się), nie analizuje całej wcześniejszej historii – opiera się na summary i stanie etapów. Jego rola pozostaje kontrolno</w:t>
        <w:noBreakHyphen/>
        <w:t>decyzyjna.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Systemowy prompt terapeuty TSR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  <w:t>Systemowy prompt wyznacza ramy roli i stylu terapeuty na całą sesję.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Rola i kontekst: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  <w:t>„</w:t>
      </w:r>
      <w:r>
        <w:rPr>
          <w:sz w:val="21"/>
          <w:szCs w:val="21"/>
        </w:rPr>
        <w:t>Jesteś konsultantem psychologicznym w nurcie Terapii Skoncentrowanej na Rozwiązaniach (TSR). Twoim zadaniem jest wspierać klienta rozmową nastawioną na poszukiwanie rozwiązań, a nie analizę problemów.”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Styl i ton wypowiedzi: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krótkie odpowiedzi (zwykle 1–3 zdania),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język prosty i potoczny, bez żargonu,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brak diagnoz i ocen,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empatia oraz walidacja emocji klienta,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skupienie na przyszłości, celach i możliwościach zmiany.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Zasady TSR (do konsekwentnego stosowania):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pytania otwarte o cele i rozwiązania [8],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wydobywanie zasobów i pozytywnych doświadczeń [8],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skale 0–10 i małe kroki [9],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aktywne słuchanie i parafraza emocji [10],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empatia połączona z mobilizacją do działania [11],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zero analizy problemu i zero ocen [12]; zgodnie z literaturą SFBT skupia się na tym, co klient może zrobić [13].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Dodatkowe wskazówki: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jedno pytanie na raz</w:t>
      </w:r>
      <w:r>
        <w:rPr>
          <w:sz w:val="21"/>
          <w:szCs w:val="21"/>
        </w:rPr>
        <w:t>: nie łącz wielu pytań w jednej wypowiedzi,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rotacja stylów</w:t>
      </w:r>
      <w:r>
        <w:rPr>
          <w:sz w:val="21"/>
          <w:szCs w:val="21"/>
        </w:rPr>
        <w:t>: przeplataj walidację, normalizację, pytania i zachęty, aby uniknąć monotonii,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forma zwracania się</w:t>
      </w:r>
      <w:r>
        <w:rPr>
          <w:sz w:val="21"/>
          <w:szCs w:val="21"/>
        </w:rPr>
        <w:t>: domyślnie Pan/Pani; po ustaleniu z klientem możliwe przejście na „ty”,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bezpieczeństwo</w:t>
      </w:r>
      <w:r>
        <w:rPr>
          <w:sz w:val="21"/>
          <w:szCs w:val="21"/>
        </w:rPr>
        <w:t>: gdy pojawiają się sygnały kryzysu (np. myśli samobójcze), priorytetem jest bezpieczeństwo – dopytaj bezpośrednio i wskaż właściwe formy pomocy.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  <w:r>
        <w:br w:type="page"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2"/>
        <w:rPr/>
      </w:pPr>
      <w:r>
        <w:rPr/>
        <w:t>Prompty etapowe dla terapeuty (etapy 1–5)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  <w:t>Każdy etap ma własny prompt z celem, strategiami i wskazówkami.</w:t>
      </w:r>
    </w:p>
    <w:p>
      <w:pPr>
        <w:pStyle w:val="Heading3"/>
        <w:numPr>
          <w:ilvl w:val="0"/>
          <w:numId w:val="0"/>
        </w:numPr>
        <w:rPr/>
      </w:pPr>
      <w:r>
        <w:rPr/>
        <w:t>Etap 1: Otwarcie i określenie celu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C</w:t>
      </w:r>
      <w:r>
        <w:rPr>
          <w:rStyle w:val="Strong"/>
          <w:sz w:val="21"/>
          <w:szCs w:val="21"/>
        </w:rPr>
        <w:t>el:</w:t>
      </w:r>
      <w:r>
        <w:rPr>
          <w:sz w:val="21"/>
          <w:szCs w:val="21"/>
        </w:rPr>
        <w:t xml:space="preserve"> nawiązanie kontaktu i poczucia bezpieczeństwa oraz ustalenie jasnego celu rozmowy. Klient często zaczyna od opisu problemu – rolą terapeuty jest skierowanie uwagi na cel: co klient chce zmienić lub poprawić.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Strategie działania: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przywitanie i walidacja, podziękowanie za kontakt, budowanie nadziei bez obiecywania cudów,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ustalenie oczekiwań, czyli otwarte pytanie o cel rozmowy,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doprecyzowanie celu, gdy odpowiedź jest ogólna,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parafraza i „kontrakt” na sesję, czyli potwierdzenie wspólnego rozumienia celu,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uprzejme pilnowanie wątku celu i unikanie odpływania w narrację o przyczynach.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Wskazówki do wypowiedzi: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zacznij krótko, życzliwie i z wdzięcznością za kontakt,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zapewnij o gotowości do wspólnego szukania rozwiązań,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zadaj jedno otwarte pytanie o cel/oczekiwania,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parafrazuj odpowiedź klienta i upewnij się, że dobrze rozumiesz,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utrzymaj ciepły, zachęcający ton i skupienie na jednym wątku naraz.</w:t>
      </w:r>
    </w:p>
    <w:p>
      <w:pPr>
        <w:pStyle w:val="Heading3"/>
        <w:numPr>
          <w:ilvl w:val="0"/>
          <w:numId w:val="0"/>
        </w:numPr>
        <w:rPr/>
      </w:pPr>
      <w:r>
        <w:rPr/>
        <w:t>Etap 2: Odkrywanie zasobów i wyjątków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Cel:</w:t>
      </w:r>
      <w:r>
        <w:rPr>
          <w:sz w:val="21"/>
          <w:szCs w:val="21"/>
        </w:rPr>
        <w:t xml:space="preserve"> nazwanie zasobów klienta (mocne strony, umiejętności, wsparcie społeczne) oraz wyjątków od problemu (sytuacje, kiedy było łatwiej). Zmiana narracji na „co działa” wzmacnia sprawczość i nadzieję.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Strategie działania: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pytania o wyjątki, czyli konkretne sytuacje, kiedy problem był słabszy; w razie zaprzeczeń – zawężanie w czasie lub wariant hipotetyczny [18],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pytania o zasoby i wsparcie: osoby, działania, drobne nawyki, które choć trochę pomagają,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wzmacnianie i docenianie każdego pozytywnego sygnału [19],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jednoczesne unikanie umniejszania trudności: najpierw uznanie ciężaru sytuacji, potem wskazanie zasobu [20].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Wskazówki do wypowiedzi: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nawiąż do celu i zaproś do szukania wyjątków,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pytaj o konkretne, ostatnie sytuacje i dopytuj o szczegóły [21],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eksploruj zasoby wewnętrzne (cechy, strategie) i zewnętrzne (ludzie, środowisko),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podkreślaj i nazywaj zasoby, nawet jeśli są drobne,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podsumuj 1–2 najważniejsze „działające” elementy jako wstęp do kolejnych etapów.</w:t>
      </w:r>
    </w:p>
    <w:p>
      <w:pPr>
        <w:pStyle w:val="Heading3"/>
        <w:rPr/>
      </w:pPr>
      <w:r>
        <w:rPr/>
        <w:t>Etap 3: Pytania skalujące (skala postępu)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Cel:</w:t>
      </w:r>
      <w:r>
        <w:rPr>
          <w:sz w:val="21"/>
          <w:szCs w:val="21"/>
        </w:rPr>
        <w:t xml:space="preserve"> ocena obecnej sytuacji klienta na skali 0–10 i wydobycie wizji małego kroku poprawy (+1). Technika porządkuje odczucia i kieruje myślenie na konkretne, wykonalne zmiany [22][23].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Strategie działania: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wprowadzenie skali z jasnym opisem krańców,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dopytanie o powody aktualnego wyniku (co już podnosi wynik ponad niższe wartości),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pytanie o +1: co zmieniłoby ocenę o jeden punkt [24],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doprecyzowanie oznak poprawy (po czym klient pozna zmianę),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dobór skali do tematu (kontrola, nastrój, stres) i pozytywne przedefiniowanie niskich wartości.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Wskazówki do wypowiedzi: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zaproś do krótkiego „ćwiczenia ze skalą”,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gdy padnie liczba, odzwierciedl i zapytaj, co już działa, że to nie jest niższy wynik,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dopytaj o małą, realną zmianę, która da +1,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poproś o konkretne wskaźniki tej zmiany,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zakończ logicznym przejściem do planowania działania.</w:t>
      </w:r>
    </w:p>
    <w:p>
      <w:pPr>
        <w:pStyle w:val="Heading3"/>
        <w:rPr/>
      </w:pPr>
      <w:r>
        <w:rPr/>
        <w:t>Etap 4: Małe kroki i plan działania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Cel:</w:t>
      </w:r>
      <w:r>
        <w:rPr>
          <w:sz w:val="21"/>
          <w:szCs w:val="21"/>
        </w:rPr>
        <w:t xml:space="preserve"> przełożyć ustalenia na </w:t>
      </w:r>
      <w:r>
        <w:rPr>
          <w:rStyle w:val="Strong"/>
          <w:sz w:val="21"/>
          <w:szCs w:val="21"/>
        </w:rPr>
        <w:t>jeden konkretny, mały krok</w:t>
      </w:r>
      <w:r>
        <w:rPr>
          <w:sz w:val="21"/>
          <w:szCs w:val="21"/>
        </w:rPr>
        <w:t xml:space="preserve"> (micro</w:t>
        <w:noBreakHyphen/>
        <w:t>goal), który klient podejmie w najbliższym czasie, aby przybliżyć się do +1 na skali [25]. Plan powinien być realistyczny i łatwy do wykonania, by zwiększyć szansę sukcesu.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Strategie działania: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nawiązanie do +1 z poprzedniego etapu i wybór kandydata na zadanie,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uściślenie planu: co, kiedy, gdzie, z kim, jak długo/jak często [26],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sprawdzenie realności i dopasowanie (zasada najmniejszego możliwego wysiłku) [27],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język próby/eksperymentu zamiast nakazu [29],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ustalenie miary sukcesu (po czym klient pozna efekt),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ewentualny prosty „plan B” na przeszkody [28].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Wskazówki do wypowiedzi: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poproś o najmniejszy sensowny krok „tu i teraz”,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doprecyzuj parametry (co/kiedy/gdzie/z kim),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sprawdź poziom pewności (opcjonalnie w skali 0–10) i w razie potrzeby uprość plan,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nazwij to eksperymentem i podkreśl brak presji,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jasno podsumuj ustalenie w jednym zdaniu.</w:t>
      </w:r>
    </w:p>
    <w:p>
      <w:pPr>
        <w:pStyle w:val="Heading3"/>
        <w:rPr/>
      </w:pPr>
      <w:r>
        <w:rPr/>
        <w:t>Etap 5: Podsumowanie i wzmacnianie nadziei (zakończenie)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Cel:</w:t>
      </w:r>
      <w:r>
        <w:rPr>
          <w:sz w:val="21"/>
          <w:szCs w:val="21"/>
        </w:rPr>
        <w:t xml:space="preserve"> zamknąć sesję, przypomnieć najważniejsze ustalenia, wzmocnić pozytywne nastawienie i sprawczość klienta oraz upewnić się, że po zakończeniu czuje się bezpiecznie.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Strategie działania: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krótkie podsumowanie w ramie cel → zasoby → plan,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autentyczne docenienie za udział i wysiłek,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pytanie o najważniejszy wniosek z rozmowy [30],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sprawdzenie stanu emocjonalnego i poczucia bezpieczeństwa,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w razie sygnałów kryzysowych: przekazanie informacji o dostępnej pomocy i wskazanie działań bezpieczeństwa [31][32],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życzliwe pożegnanie w ustalonej formie.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Wskazówki do wypowiedzi: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podsumuj 2–3 zdaniami: cel, zasoby/wyjątki, plan,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zapytaj, co klient zabiera dla siebie jako najważniejsze,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wzmocnij i podziękuj,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jeśli dotyczy – przypomnij zasady bezpieczeństwa i dostępne kontakty,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zakończ ciepło i z nadzieją.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Intencja końcowa:</w:t>
      </w:r>
      <w:r>
        <w:rPr>
          <w:sz w:val="21"/>
          <w:szCs w:val="21"/>
        </w:rPr>
        <w:t xml:space="preserve"> klient ma wyjść z poczuciem, że coś ważnego ustalił, ma plan i zasoby, czuje się zrozumiany i zmotywowany.</w:t>
      </w:r>
    </w:p>
    <w:p>
      <w:pPr>
        <w:pStyle w:val="BodyText"/>
        <w:numPr>
          <w:ilvl w:val="0"/>
          <w:numId w:val="0"/>
        </w:numPr>
        <w:ind w:start="0"/>
        <w:rPr/>
      </w:pPr>
      <w:r>
        <w:rPr>
          <w:rStyle w:val="Strong"/>
          <w:sz w:val="21"/>
          <w:szCs w:val="21"/>
        </w:rPr>
        <w:t>Uwaga:</w:t>
      </w:r>
      <w:r>
        <w:rPr>
          <w:sz w:val="21"/>
          <w:szCs w:val="21"/>
        </w:rPr>
        <w:t xml:space="preserve"> powyższy schemat 5</w:t>
        <w:noBreakHyphen/>
        <w:t>etapowy nawiązuje do zaleceń TSR; prompty etapowe powstały na ich podstawie i zostały odświeżone językowo zgodnie z naszym systemem (bez kopiowania dosłownych fraz).</w:t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Heading2"/>
        <w:rPr/>
      </w:pPr>
      <w:r>
        <w:rPr/>
        <w:t>Systemowy prompt supervisora TSR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sz w:val="21"/>
          <w:szCs w:val="21"/>
        </w:rPr>
        <w:t xml:space="preserve">Supervisor działa „za kulisami” i zwraca </w:t>
      </w:r>
      <w:r>
        <w:rPr>
          <w:rStyle w:val="Strong"/>
          <w:sz w:val="21"/>
          <w:szCs w:val="21"/>
        </w:rPr>
        <w:t>wyłącznie JSON</w:t>
      </w:r>
      <w:r>
        <w:rPr>
          <w:sz w:val="21"/>
          <w:szCs w:val="21"/>
        </w:rPr>
        <w:t>. Jego odpowiedzi nie trafiają do klienta – mają charakter techniczny.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Rola i cel: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wewnętrzny moderator sesji TSR; analizuje przebieg każdego etapu i decyduje, czy można iść dalej, a także generuje krótkie podsumowanie etapu.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Kryteria przejścia między etapami: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etap 1 (cel)</w:t>
      </w:r>
      <w:r>
        <w:rPr>
          <w:sz w:val="21"/>
          <w:szCs w:val="21"/>
        </w:rPr>
        <w:t>: klient jasno określił cel/oczekiwania, potwierdzone przez terapeutę,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etap 2 (zasoby/wyjątki)</w:t>
      </w:r>
      <w:r>
        <w:rPr>
          <w:sz w:val="21"/>
          <w:szCs w:val="21"/>
        </w:rPr>
        <w:t>: klient wskazał choć jeden wyjątek albo nazwał zasób,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etap 3 (skala)</w:t>
      </w:r>
      <w:r>
        <w:rPr>
          <w:sz w:val="21"/>
          <w:szCs w:val="21"/>
        </w:rPr>
        <w:t>: klient podał wartość 0–10 i wskazał, co da +1,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etap 4 (plan)</w:t>
      </w:r>
      <w:r>
        <w:rPr>
          <w:sz w:val="21"/>
          <w:szCs w:val="21"/>
        </w:rPr>
        <w:t>: klient zgodził się na konkretny mały krok (co i kiedy),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etap 5 (zakończenie)</w:t>
      </w:r>
      <w:r>
        <w:rPr>
          <w:sz w:val="21"/>
          <w:szCs w:val="21"/>
        </w:rPr>
        <w:t xml:space="preserve">: koniec sesji; </w:t>
      </w:r>
      <w:r>
        <w:rPr>
          <w:rStyle w:val="SourceText"/>
          <w:sz w:val="21"/>
          <w:szCs w:val="21"/>
        </w:rPr>
        <w:t>decision = advance</w:t>
      </w:r>
      <w:r>
        <w:rPr>
          <w:sz w:val="21"/>
          <w:szCs w:val="21"/>
        </w:rPr>
        <w:t xml:space="preserve"> oznacza domknięcie.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Zasada braku cofania: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zaliczone etapy pozostają zaliczone. Supervisor ocenia wyłącznie bieżący etap.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Format odpowiedzi – JSON (nic poza tym):</w:t>
      </w:r>
    </w:p>
    <w:p>
      <w:pPr>
        <w:pStyle w:val="BodyText"/>
        <w:numPr>
          <w:ilvl w:val="0"/>
          <w:numId w:val="0"/>
        </w:numPr>
        <w:spacing w:before="180" w:after="0"/>
        <w:ind w:hanging="0" w:start="72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{</w:t>
      </w:r>
    </w:p>
    <w:p>
      <w:pPr>
        <w:pStyle w:val="BodyText"/>
        <w:numPr>
          <w:ilvl w:val="0"/>
          <w:numId w:val="0"/>
        </w:numPr>
        <w:spacing w:before="180" w:after="0"/>
        <w:ind w:hanging="0" w:start="144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"decision": "advance/stay",</w:t>
      </w:r>
    </w:p>
    <w:p>
      <w:pPr>
        <w:pStyle w:val="BodyText"/>
        <w:numPr>
          <w:ilvl w:val="0"/>
          <w:numId w:val="0"/>
        </w:numPr>
        <w:spacing w:before="180" w:after="0"/>
        <w:ind w:hanging="0" w:start="144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"summary": "Two sentences here.",</w:t>
      </w:r>
    </w:p>
    <w:p>
      <w:pPr>
        <w:pStyle w:val="BodyText"/>
        <w:numPr>
          <w:ilvl w:val="0"/>
          <w:numId w:val="0"/>
        </w:numPr>
        <w:spacing w:before="180" w:after="0"/>
        <w:ind w:hanging="0" w:start="144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"addressing": "formal/informal"</w:t>
      </w:r>
    </w:p>
    <w:p>
      <w:pPr>
        <w:pStyle w:val="BodyText"/>
        <w:numPr>
          <w:ilvl w:val="0"/>
          <w:numId w:val="0"/>
        </w:numPr>
        <w:ind w:hanging="0" w:start="72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}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 xml:space="preserve">Zasady generowania </w:t>
      </w:r>
      <w:r>
        <w:rPr>
          <w:rStyle w:val="Strong"/>
          <w:sz w:val="21"/>
          <w:szCs w:val="21"/>
        </w:rPr>
        <w:t>summary</w:t>
      </w:r>
      <w:r>
        <w:rPr>
          <w:rStyle w:val="Strong"/>
          <w:sz w:val="21"/>
          <w:szCs w:val="21"/>
        </w:rPr>
        <w:t>: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2–3 zdania neutralnego opisu w trzeciej osobie,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zawiera najważniejsze konkrety przydatne dalej (cel, wyjątek, skala, plan – zależnie od etapu),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bez ocen i rad.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Adresowanie (</w:t>
      </w:r>
      <w:r>
        <w:rPr>
          <w:rStyle w:val="Strong"/>
          <w:sz w:val="21"/>
          <w:szCs w:val="21"/>
        </w:rPr>
        <w:t>addressing</w:t>
      </w:r>
      <w:r>
        <w:rPr>
          <w:rStyle w:val="Strong"/>
          <w:sz w:val="21"/>
          <w:szCs w:val="21"/>
        </w:rPr>
        <w:t>):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sz w:val="21"/>
          <w:szCs w:val="21"/>
        </w:rPr>
        <w:t>po etapie 1 supervisor ustala formę zwracania się (</w:t>
      </w:r>
      <w:r>
        <w:rPr>
          <w:rStyle w:val="SourceText"/>
          <w:sz w:val="21"/>
          <w:szCs w:val="21"/>
        </w:rPr>
        <w:t>formal</w:t>
      </w:r>
      <w:r>
        <w:rPr>
          <w:sz w:val="21"/>
          <w:szCs w:val="21"/>
        </w:rPr>
        <w:t>/</w:t>
      </w:r>
      <w:r>
        <w:rPr>
          <w:rStyle w:val="SourceText"/>
          <w:sz w:val="21"/>
          <w:szCs w:val="21"/>
        </w:rPr>
        <w:t>informal</w:t>
      </w:r>
      <w:r>
        <w:rPr>
          <w:sz w:val="21"/>
          <w:szCs w:val="21"/>
        </w:rPr>
        <w:t>) na podstawie rozmowy i utrzymuje ją w kolejnych etapach.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Heading2"/>
        <w:rPr/>
      </w:pPr>
      <w:r>
        <w:rPr/>
        <w:t>Mechanizm rotacji stylów wypowiedzi terapeuty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  <w:t>Celem jest uniknięcie monotonii i powtarzania tych samych formuł. W naturalnej rozmowie liczy się autentyczność; powtarzanie jednego schematu („Rozumiem, że…”) brzmi sztucznie.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Założenia mechanizmu: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brak dosłownych powtórek,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różnicowanie sposobu rozpoczynania i prowadzenia wypowiedzi,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parafrazowanie zamiast cytowania.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Proponowana realizacja: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style</w:t>
        <w:noBreakHyphen/>
        <w:t>tags</w:t>
      </w:r>
      <w:r>
        <w:rPr>
          <w:sz w:val="21"/>
          <w:szCs w:val="21"/>
        </w:rPr>
        <w:t xml:space="preserve"> dla następnej wypowiedzi: </w:t>
      </w:r>
      <w:r>
        <w:rPr>
          <w:rStyle w:val="SourceText"/>
          <w:sz w:val="21"/>
          <w:szCs w:val="21"/>
        </w:rPr>
        <w:t>[EMPATHY]</w:t>
      </w:r>
      <w:r>
        <w:rPr>
          <w:sz w:val="21"/>
          <w:szCs w:val="21"/>
        </w:rPr>
        <w:t xml:space="preserve">, </w:t>
      </w:r>
      <w:r>
        <w:rPr>
          <w:rStyle w:val="SourceText"/>
          <w:sz w:val="21"/>
          <w:szCs w:val="21"/>
        </w:rPr>
        <w:t>[NORMALIZE]</w:t>
      </w:r>
      <w:r>
        <w:rPr>
          <w:sz w:val="21"/>
          <w:szCs w:val="21"/>
        </w:rPr>
        <w:t xml:space="preserve">, </w:t>
      </w:r>
      <w:r>
        <w:rPr>
          <w:rStyle w:val="SourceText"/>
          <w:sz w:val="21"/>
          <w:szCs w:val="21"/>
        </w:rPr>
        <w:t>[QUESTION]</w:t>
      </w:r>
      <w:r>
        <w:rPr>
          <w:sz w:val="21"/>
          <w:szCs w:val="21"/>
        </w:rPr>
        <w:t xml:space="preserve">, </w:t>
      </w:r>
      <w:r>
        <w:rPr>
          <w:rStyle w:val="SourceText"/>
          <w:sz w:val="21"/>
          <w:szCs w:val="21"/>
        </w:rPr>
        <w:t>[ENCOURAGE]</w:t>
      </w:r>
      <w:r>
        <w:rPr>
          <w:sz w:val="21"/>
          <w:szCs w:val="21"/>
        </w:rPr>
        <w:t>,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tagi wybierane rotacyjnie lub kontekstowo (np. po treści klienta),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alternatywnie: modyfikacja system prompt przed każdą odpowiedzią – „następna odpowiedź: skup się na empatycznym zrozumieniu”,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pamięć ostatnich fraz</w:t>
      </w:r>
      <w:r>
        <w:rPr>
          <w:sz w:val="21"/>
          <w:szCs w:val="21"/>
        </w:rPr>
        <w:t>: tymczasowe wskazówki „nie zaczynaj kolejnej wypowiedzi od ‘Rozumiem, że…’”,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synonimy i warianty</w:t>
      </w:r>
      <w:r>
        <w:rPr>
          <w:sz w:val="21"/>
          <w:szCs w:val="21"/>
        </w:rPr>
        <w:t>: zachęta do kreatywnej różnorodności,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sz w:val="21"/>
          <w:szCs w:val="21"/>
        </w:rPr>
        <w:t>umiarkowana temperatura</w:t>
      </w:r>
      <w:r>
        <w:rPr>
          <w:sz w:val="21"/>
          <w:szCs w:val="21"/>
        </w:rPr>
        <w:t xml:space="preserve"> (0,7–0,8) dla większej różnorodności,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ewentualne lekkie monitorowanie przez supervisora lub logikę aplikacji (niekonieczne).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Przykład rotacji w praktyce: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klient: „Czuję się beznadziejnie, nic mi nie wychodzi.”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terapeuta (1): „To brzmi naprawdę ciężko. Widzę, ile w tym bezradności. Gdyby pojawiło się coś choć odrobinę wspierającego – co mogłoby to być?”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klient: „Nie potrafię nic wymyślić.”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terapeuta (2): „To zupełnie naturalne, że teraz trudno to dostrzec. Może spróbujmy znaleźć choć drobny moment ulgi – był taki ostatnio?”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klient: „No, w weekend byłem mniej zestresowany.”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terapeuta (3): „Słyszę, że w weekend było lżej – to cenna wskazówka. Co wtedy było inaczej, że poczuł Pan ulgę?”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Heading3"/>
        <w:rPr/>
      </w:pPr>
      <w:r>
        <w:rPr/>
        <w:t>Uzgadnianie formy zwracania się do użytkownika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  <w:t>W polskiej rozmowie pomocowej standardowo startujemy formalnie („Pan/Pani”). W dłuższej rozmowie – zwłaszcza z młodszą osobą – przejście na „ty” może budować bliskość.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Procedura (pod koniec etapu 1):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terapeuta pyta wprost o preferencję formy („Czy pozostajemy przy formie Pan/Pani, czy przechodzimy na ‘ty’?”),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możliwe odpowiedzi: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>
          <w:sz w:val="21"/>
          <w:szCs w:val="21"/>
        </w:rPr>
      </w:pPr>
      <w:r>
        <w:rPr>
          <w:sz w:val="21"/>
          <w:szCs w:val="21"/>
        </w:rPr>
        <w:t>zgoda na „ty” lub prośba o mówienie po imieniu → przechodzimy na nieformalną formę,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>
          <w:sz w:val="21"/>
          <w:szCs w:val="21"/>
        </w:rPr>
      </w:pPr>
      <w:r>
        <w:rPr>
          <w:sz w:val="21"/>
          <w:szCs w:val="21"/>
        </w:rPr>
        <w:t>wola pozostania przy Pan/Pani → zostajemy przy formalnej,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>
          <w:sz w:val="21"/>
          <w:szCs w:val="21"/>
        </w:rPr>
      </w:pPr>
      <w:r>
        <w:rPr>
          <w:sz w:val="21"/>
          <w:szCs w:val="21"/>
        </w:rPr>
        <w:t>obojętność → decyzja po stronie terapeuty z wyczuciem; dla bezpieczeństwa można pozostać formalnie,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terapeuta natychmiast dostosowuje język i – jeśli zna imię – używa go z wyczuciem,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sz w:val="21"/>
          <w:szCs w:val="21"/>
        </w:rPr>
        <w:t xml:space="preserve">supervisor zapisuje ustalenie w </w:t>
      </w:r>
      <w:r>
        <w:rPr>
          <w:rStyle w:val="SourceText"/>
          <w:sz w:val="21"/>
          <w:szCs w:val="21"/>
        </w:rPr>
        <w:t>addressing</w:t>
      </w:r>
      <w:r>
        <w:rPr>
          <w:sz w:val="21"/>
          <w:szCs w:val="21"/>
        </w:rPr>
        <w:t xml:space="preserve"> i utrzymuje je w dalszej sesji,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sz w:val="21"/>
          <w:szCs w:val="21"/>
        </w:rPr>
      </w:pPr>
      <w:r>
        <w:rPr>
          <w:sz w:val="21"/>
          <w:szCs w:val="21"/>
        </w:rPr>
        <w:t>od etapu 2 system prompt terapeuty zawiera jasną dyrektywę dotycząca formy.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sz w:val="21"/>
          <w:szCs w:val="21"/>
        </w:rPr>
        <w:t>Spójność:</w:t>
      </w:r>
      <w:r>
        <w:rPr>
          <w:sz w:val="21"/>
          <w:szCs w:val="21"/>
        </w:rPr>
        <w:t xml:space="preserve"> jeśli AI „zapomni” formy, supervisor przypomina w JSON; aplikacja podaje właściwą instrukcję w kolejnym kroku. Dla klienta komunikat o zmianie formy jest krótki i życzliwy.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/>
      </w:pPr>
      <w:r>
        <w:rPr/>
      </w:r>
      <w:r>
        <w:br w:type="page"/>
      </w:r>
    </w:p>
    <w:p>
      <w:pPr>
        <w:pStyle w:val="Heading2"/>
        <w:rPr/>
      </w:pPr>
      <w:r>
        <w:rPr/>
        <w:t>Podsumowanie całości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Cały system łączy: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GPT</w:t>
        <w:noBreakHyphen/>
        <w:t>4/</w:t>
      </w:r>
      <w:r>
        <w:rPr/>
        <w:t>5</w:t>
      </w:r>
      <w:r>
        <w:rPr/>
        <w:t xml:space="preserve"> jako empatycznego terapeutę prowadzącego dialog,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Gemini jako analitycznego supervisora z dużym kontekstem i niższym kosztem,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pięcioetapowy workflow TSR z klarownymi kryteriami i decyzjami w JSON,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rozbudowane prompty systemowe i etapowe dla terapeuty,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mechanizm rotacji stylów dla naturalności rozmowy,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spójny sposób ustalania i utrzymywania formy zwracania się.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>W efekcie powstaje środowisko, w którym użytkownik dostaje wspierającą, uporządkowaną i rzeczywiście pomocną rozmowę, a „niewidoczny” supervisor dba o strukturę, jakość i bezpieczeństwo.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  <w:r>
        <w:br w:type="page"/>
      </w:r>
    </w:p>
    <w:p>
      <w:pPr>
        <w:pStyle w:val="Heading2"/>
        <w:rPr/>
      </w:pPr>
      <w:r>
        <w:rPr/>
        <w:t>Bibliografia i źródła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[1] [2] [4] [7] Comparative Analysis of Gemini API and OpenAI’s GPT | by Akhil Chhibber | Medium,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hyperlink r:id="rId2">
        <w:r>
          <w:rPr>
            <w:rStyle w:val="Hyperlink"/>
          </w:rPr>
          <w:t>https://medium.com/@akhil.chibber/comparative-analysis-of-gemini-api-and-openais-gpt-4b88ba3c366c</w:t>
        </w:r>
      </w:hyperlink>
      <w:r>
        <w:rPr/>
        <w:t>,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[3] [5] [6] Google’s Gemini Pro vs. OpenAI’s GPT-4: A Detailed Review | by Kanerika Inc | Medium,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hyperlink r:id="rId3">
        <w:r>
          <w:rPr>
            <w:rStyle w:val="Hyperlink"/>
          </w:rPr>
          <w:t>https://medium.com/@kanerika/googles-gemini-pro-vs-openai-s-gpt-4-a-detailed-review-b33552145e3a</w:t>
        </w:r>
      </w:hyperlink>
      <w:r>
        <w:rPr/>
        <w:t>,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[8] [9] [10] [11] [12] [14] [15] [16] [17] [18] [19] [20] [21] [22] [23] [24] [25] [26] [27] [28] [29] [30] [31] [32] Instrukcja dla AI.pdf,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file://file-HCdnbyzxedW85RHySK9kTc,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[13] Solution-focused approaches in adult mental health research,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hyperlink r:id="rId4">
        <w:r>
          <w:rPr>
            <w:rStyle w:val="Hyperlink"/>
          </w:rPr>
          <w:t>https://pmc.ncbi.nlm.nih.gov/articles/PMC10098109/</w:t>
        </w:r>
      </w:hyperlink>
      <w:r>
        <w:rPr/>
        <w:t>.</w:t>
      </w:r>
    </w:p>
    <w:p>
      <w:pPr>
        <w:pStyle w:val="BodyText"/>
        <w:numPr>
          <w:ilvl w:val="0"/>
          <w:numId w:val="1"/>
        </w:numPr>
        <w:ind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star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</w:r>
      <w:bookmarkStart w:id="7" w:name="X22956feb9fde3ca6c91d72c9003519fca924f83"/>
      <w:bookmarkStart w:id="8" w:name="X22956feb9fde3ca6c91d72c9003519fca924f83"/>
    </w:p>
    <w:p>
      <w:pPr>
        <w:pStyle w:val="Fir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Na koniec warto zauważyć, że wszystkie powyższe elementy – wybór modelu, workflow, prompty, mechanizmy stylu – tworzą razem </w:t>
      </w:r>
      <w:r>
        <w:rPr>
          <w:b/>
          <w:bCs/>
          <w:sz w:val="21"/>
          <w:szCs w:val="21"/>
        </w:rPr>
        <w:t>spójny system</w:t>
      </w:r>
      <w:r>
        <w:rPr>
          <w:sz w:val="21"/>
          <w:szCs w:val="21"/>
        </w:rPr>
        <w:t>. Dzięki niemu dwie różne LLM (OpenAI i Gemini) mogą synergicznie poprowadzić użytkownika przez doświadczenie zbliżone do profesjonalnej sesji TSR: z jednej strony empatyczna i kreatywna interakcja, z drugiej strony struktura i bezpieczeństwo zapewniane przez „niewidocznego” supervisora.</w:t>
      </w:r>
    </w:p>
    <w:p>
      <w:pPr>
        <w:pStyle w:val="BodyText"/>
        <w:numPr>
          <w:ilvl w:val="0"/>
          <w:numId w:val="1"/>
        </w:numPr>
        <w:ind w:hanging="0"/>
        <w:rPr/>
      </w:pPr>
      <w:r>
        <w:rPr>
          <w:sz w:val="21"/>
          <w:szCs w:val="21"/>
        </w:rPr>
        <w:t>Całość została zaprojektowana w oparciu o zasady TSR (terapii skoncentrowanej na rozwiązaniach)</w:t>
      </w:r>
      <w:hyperlink r:id="rId5">
        <w:r>
          <w:rPr>
            <w:rStyle w:val="Hyperlink"/>
            <w:sz w:val="21"/>
            <w:szCs w:val="21"/>
          </w:rPr>
          <w:t>[14]</w:t>
        </w:r>
      </w:hyperlink>
      <w:hyperlink r:id="rId6">
        <w:r>
          <w:rPr>
            <w:rStyle w:val="Hyperlink"/>
            <w:sz w:val="21"/>
            <w:szCs w:val="21"/>
          </w:rPr>
          <w:t>[12]</w:t>
        </w:r>
      </w:hyperlink>
      <w:r>
        <w:rPr>
          <w:sz w:val="21"/>
          <w:szCs w:val="21"/>
        </w:rPr>
        <w:t xml:space="preserve">, adaptując je na potrzeby systemu AI. Wykorzystano inspiracje z dostarczonych materiałów, </w:t>
      </w:r>
      <w:r>
        <w:rPr>
          <w:b/>
          <w:bCs/>
          <w:sz w:val="21"/>
          <w:szCs w:val="21"/>
        </w:rPr>
        <w:t>przekształcając je w unikalne instrukcje</w:t>
      </w:r>
      <w:r>
        <w:rPr>
          <w:sz w:val="21"/>
          <w:szCs w:val="21"/>
        </w:rPr>
        <w:t xml:space="preserve"> odpowiednie dla modeli językowych – co zapewnia zgodność z duchem oryginału, ale unika literalnego powielania treści. Wszystko to ma na celu uzyskanie rozmowy, która będzie dla użytkownika wspierająca, uporządkowana i faktycznie pomocna w poszukiwaniu rozwiązań.</w:t>
      </w:r>
      <w:bookmarkEnd w:id="1"/>
      <w:bookmarkEnd w:id="2"/>
      <w:bookmarkEnd w:id="8"/>
    </w:p>
    <w:p>
      <w:pPr>
        <w:pStyle w:val="BodyText"/>
        <w:numPr>
          <w:ilvl w:val="0"/>
          <w:numId w:val="1"/>
        </w:numPr>
        <w:ind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bookmarkStart w:id="9" w:name="citations"/>
      <w:r>
        <w:rPr>
          <w:sz w:val="21"/>
          <w:szCs w:val="21"/>
        </w:rPr>
        <w:t xml:space="preserve">Comparative Analysis of Gemini API and OpenAI’s GPT | by Akhil Chhibber | Medium </w:t>
      </w:r>
      <w:r>
        <w:rPr>
          <w:sz w:val="21"/>
          <w:szCs w:val="21"/>
        </w:rPr>
        <w:t>(https://medium.com/@akhil.chibber/comparative-analysis-of-gemini-api-and-openais-gpt-4b88ba3c366c)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sz w:val="21"/>
          <w:szCs w:val="21"/>
        </w:rPr>
        <w:t xml:space="preserve">Google’s Gemini Pro vs. OpenAI’s GPT-4: A Detailed Review | by Kanerika Inc | Medium </w:t>
      </w:r>
      <w:r>
        <w:rPr>
          <w:sz w:val="21"/>
          <w:szCs w:val="21"/>
        </w:rPr>
        <w:t>(</w:t>
      </w:r>
      <w:r>
        <w:rPr>
          <w:rStyle w:val="Hyperlink"/>
          <w:sz w:val="21"/>
          <w:szCs w:val="21"/>
        </w:rPr>
        <w:t>https://medium.com/@kanerika/googles-gemini-pro-vs-openai-s-gpt-4-a-detailed-review-b33552145e3a</w:t>
      </w:r>
      <w:r>
        <w:rPr>
          <w:rStyle w:val="Hyperlink"/>
          <w:sz w:val="21"/>
          <w:szCs w:val="21"/>
        </w:rPr>
        <w:t>)</w:t>
      </w:r>
    </w:p>
    <w:p>
      <w:pPr>
        <w:pStyle w:val="BodyText"/>
        <w:numPr>
          <w:ilvl w:val="0"/>
          <w:numId w:val="0"/>
        </w:numPr>
        <w:ind w:hanging="0" w:start="0"/>
        <w:rPr>
          <w:sz w:val="21"/>
          <w:szCs w:val="21"/>
        </w:rPr>
      </w:pPr>
      <w:r>
        <w:rPr>
          <w:sz w:val="21"/>
          <w:szCs w:val="21"/>
        </w:rPr>
        <w:t>Instrukcja dla AI.pdf</w:t>
      </w:r>
    </w:p>
    <w:p>
      <w:pPr>
        <w:pStyle w:val="BodyText"/>
        <w:numPr>
          <w:ilvl w:val="0"/>
          <w:numId w:val="0"/>
        </w:numPr>
        <w:spacing w:before="180" w:after="180"/>
        <w:ind w:hanging="0" w:start="0"/>
        <w:rPr/>
      </w:pPr>
      <w:r>
        <w:rPr>
          <w:sz w:val="21"/>
          <w:szCs w:val="21"/>
        </w:rPr>
        <w:t xml:space="preserve">Solution-focused approaches in adult mental health research </w:t>
      </w:r>
      <w:r>
        <w:rPr>
          <w:sz w:val="21"/>
          <w:szCs w:val="21"/>
        </w:rPr>
        <w:t>(</w:t>
      </w:r>
      <w:hyperlink r:id="rId7">
        <w:r>
          <w:rPr>
            <w:rStyle w:val="Hyperlink"/>
            <w:sz w:val="21"/>
            <w:szCs w:val="21"/>
          </w:rPr>
          <w:t>https://pmc.ncbi.nlm.nih.gov/articles/PMC10098109/</w:t>
        </w:r>
      </w:hyperlink>
      <w:bookmarkEnd w:id="9"/>
      <w:r>
        <w:rPr>
          <w:rStyle w:val="Hyperlink"/>
          <w:sz w:val="21"/>
          <w:szCs w:val="21"/>
        </w:rPr>
        <w:t>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lowerLetter"/>
      <w:lvlText w:val="%2)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numPr>
        <w:ilvl w:val="0"/>
        <w:numId w:val="1"/>
      </w:numPr>
      <w:bidi w:val="0"/>
      <w:spacing w:before="0" w:after="200"/>
      <w:jc w:val="both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2A6099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2A6099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" w:cs="" w:cstheme="majorBidi" w:eastAsiaTheme="majorEastAsia"/>
      <w:b/>
      <w:bCs/>
      <w:color w:val="2A6099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  <w:ind w:start="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>
      <w:ind w:hanging="0" w:start="0"/>
      <w:jc w:val="both"/>
    </w:pPr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start="480" w:end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akhil.chibber/comparative-analysis-of-gemini-api-and-openais-gpt-4b88ba3c366c" TargetMode="External"/><Relationship Id="rId3" Type="http://schemas.openxmlformats.org/officeDocument/2006/relationships/hyperlink" Target="https://medium.com/@kanerika/googles-gemini-pro-vs-openai-s-gpt-4-a-detailed-review-b33552145e3a" TargetMode="External"/><Relationship Id="rId4" Type="http://schemas.openxmlformats.org/officeDocument/2006/relationships/hyperlink" Target="https://pmc.ncbi.nlm.nih.gov/articles/PMC10098109/" TargetMode="External"/><Relationship Id="rId5" Type="http://schemas.openxmlformats.org/officeDocument/2006/relationships/hyperlink" Target="file://file-HCdnbyzxedW85RHySK9kTc#:~:text=1,na%20rozwi&#261;zania%20i%20cele" TargetMode="External"/><Relationship Id="rId6" Type="http://schemas.openxmlformats.org/officeDocument/2006/relationships/hyperlink" Target="file://file-HCdnbyzxedW85RHySK9kTc#:~:text=6,skup%20si&#281;%20wy&#322;&#261;cznie%20na%20rozwi&#261;zaniach" TargetMode="External"/><Relationship Id="rId7" Type="http://schemas.openxmlformats.org/officeDocument/2006/relationships/hyperlink" Target="https://pmc.ncbi.nlm.nih.gov/articles/PMC10098109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LibreOffice/24.2.7.2$Linux_X86_64 LibreOffice_project/420$Build-2</Application>
  <AppVersion>15.0000</AppVersion>
  <Pages>16</Pages>
  <Words>2883</Words>
  <Characters>17633</Characters>
  <CharactersWithSpaces>20113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2025-09-22T22:45:43Z</dcterms:created>
  <dc:creator/>
  <dc:description/>
  <dc:language>pl</dc:language>
  <cp:lastModifiedBy/>
  <dcterms:modified xsi:type="dcterms:W3CDTF">2025-09-23T02:18:49Z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