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140"/>
        <w:ind w:hanging="0" w:left="0" w:right="0"/>
        <w:rPr/>
      </w:pPr>
      <w:bookmarkStart w:id="0" w:name="_GoBack"/>
      <w:bookmarkEnd w:id="0"/>
      <w:r>
        <w:rPr>
          <w:u w:val="none"/>
        </w:rPr>
        <w:br/>
        <w:t xml:space="preserve">In an increasingly urbanized world, peoples’ access to urban green spaces (UGS) is crucial. </w:t>
        <w:br/>
        <w:t>Former studies have mostly focused on determining whether urban dwellers have access to UGS or not.</w:t>
        <w:br/>
        <w:t xml:space="preserve">We used OpenStreetMap (OSM) and Urban Atlas (UA) data to analyze the walkable environment – the connecting area between green space demand and supply – of European cities. </w:t>
        <w:br/>
      </w:r>
      <w:r>
        <w:rPr>
          <w:strike w:val="false"/>
          <w:dstrike w:val="false"/>
          <w:u w:val="none"/>
          <w:effect w:val="none"/>
        </w:rPr>
        <w:t>In our research, we i.) developed a modeling approach that applies the Detour Index (DI) and Local Significance (LS) walkability indices.</w:t>
      </w:r>
      <w:r>
        <w:rPr>
          <w:u w:val="none"/>
        </w:rPr>
        <w:br/>
        <w:t>The DI is a proxy for barriers that urban dwellers might encounter on their trajectories to UGS by estimating the detours they have to take.</w:t>
        <w:br/>
        <w:t xml:space="preserve">The LS models recreational flows of people from their doorstep to the nearest UGS. Thus, the LS can represent e.g. potential crowdedness effects at UGS and the resulting </w:t>
      </w:r>
      <w:r>
        <w:rPr>
          <w:u w:val="none"/>
        </w:rPr>
        <w:t>impact on the</w:t>
      </w:r>
      <w:r>
        <w:rPr>
          <w:u w:val="none"/>
        </w:rPr>
        <w:t xml:space="preserve"> recreational value. </w:t>
        <w:br/>
      </w:r>
      <w:r>
        <w:rPr>
          <w:strike w:val="false"/>
          <w:dstrike w:val="false"/>
          <w:u w:val="none"/>
          <w:effect w:val="none"/>
        </w:rPr>
        <w:t>We compared both indices on a European scale, and implemented them by showing possible use cases for city planners in an example location.</w:t>
      </w:r>
      <w:r>
        <w:rPr>
          <w:u w:val="none"/>
        </w:rPr>
        <w:br/>
      </w:r>
      <w:r>
        <w:rPr>
          <w:strike w:val="false"/>
          <w:dstrike w:val="false"/>
          <w:u w:val="none"/>
          <w:effect w:val="none"/>
        </w:rPr>
        <w:t>By relying solely on publicly available and open source data, as well as providing our results on the online platform SIK-Hub, we aim to further open knowledge and support decision makers.</w:t>
      </w:r>
      <w:r>
        <w:rPr>
          <w:u w:val="none"/>
        </w:rPr>
        <w:t xml:space="preserve"> 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LibreOffice/24.2.4.2$Windows_X86_64 LibreOffice_project/51a6219feb6075d9a4c46691dcfe0cd9c4fff3c2</Application>
  <AppVersion>15.0000</AppVersion>
  <Pages>1</Pages>
  <Words>189</Words>
  <Characters>984</Characters>
  <CharactersWithSpaces>1179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2021-10-08T07:04:00Z</dcterms:created>
  <dc:creator>Labohm, Benjamin</dc:creator>
  <dc:description/>
  <dc:language>de-DE</dc:language>
  <cp:lastModifiedBy/>
  <dcterms:modified xsi:type="dcterms:W3CDTF">2024-06-24T14:40:23Z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