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7FFF" w14:textId="77777777" w:rsidR="00CD6026" w:rsidRDefault="007E5610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</w:t>
      </w:r>
      <w:commentRangeStart w:id="0"/>
      <w:r>
        <w:rPr>
          <w:b/>
          <w:bCs/>
          <w:szCs w:val="22"/>
          <w:lang w:val="en-US"/>
        </w:rPr>
        <w:t>ntroducti</w:t>
      </w:r>
      <w:commentRangeEnd w:id="0"/>
      <w:r>
        <w:commentReference w:id="0"/>
      </w:r>
      <w:r>
        <w:rPr>
          <w:b/>
          <w:bCs/>
          <w:szCs w:val="22"/>
          <w:lang w:val="en-US"/>
        </w:rPr>
        <w:t>on</w:t>
      </w:r>
    </w:p>
    <w:p w14:paraId="4CBD4E4C" w14:textId="35CD1BCC" w:rsidR="00CD6026" w:rsidRPr="00182018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commentRangeStart w:id="1"/>
      <w:r w:rsidR="007E5610">
        <w:rPr>
          <w:b/>
          <w:szCs w:val="22"/>
          <w:lang w:val="en-US"/>
        </w:rPr>
        <w:t>Part1</w:t>
      </w:r>
      <w:commentRangeEnd w:id="1"/>
      <w:r w:rsidR="007E5610">
        <w:commentReference w:id="1"/>
      </w:r>
      <w:r w:rsidR="007E5610">
        <w:rPr>
          <w:b/>
          <w:szCs w:val="22"/>
          <w:lang w:val="en-US"/>
        </w:rPr>
        <w:t>: Accessibility to UGS</w:t>
      </w:r>
    </w:p>
    <w:p w14:paraId="1571A390" w14:textId="3A210942" w:rsidR="00CD6026" w:rsidRDefault="007E5610" w:rsidP="00182018">
      <w:pPr>
        <w:ind w:left="720"/>
        <w:rPr>
          <w:szCs w:val="22"/>
          <w:lang w:val="en-US"/>
        </w:rPr>
      </w:pPr>
      <w:commentRangeStart w:id="2"/>
      <w:r>
        <w:rPr>
          <w:szCs w:val="22"/>
          <w:lang w:val="en-US"/>
        </w:rPr>
        <w:t>Urban population is growing worldwide. 55% of the global population were living in cities by 2018 and 68% are projected to do so in 2050 (UN</w:t>
      </w:r>
      <w:r w:rsidR="000D630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2019).</w:t>
      </w:r>
    </w:p>
    <w:p w14:paraId="38B526B3" w14:textId="607635F9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growing urban population means increased pressure on urban ecosystems.</w:t>
      </w:r>
      <w:commentRangeEnd w:id="2"/>
      <w:r w:rsidR="00933D1D">
        <w:rPr>
          <w:rStyle w:val="Kommentarzeichen"/>
          <w:rFonts w:cs="Mangal"/>
        </w:rPr>
        <w:commentReference w:id="2"/>
      </w:r>
    </w:p>
    <w:p w14:paraId="48547A41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Ecosystems supply ecosystem services (ES) which are critical to human well-being (Fisher et al. 2019). </w:t>
      </w:r>
    </w:p>
    <w:p w14:paraId="65A2715A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commentRangeStart w:id="3"/>
      <w:r>
        <w:rPr>
          <w:szCs w:val="22"/>
          <w:lang w:val="en-US"/>
        </w:rPr>
        <w:t>Living in proximity of urban green spaces (UGS) was found to have positive effects on mental health and physical activity as well as reduce mortality (Kabisch 2017?).</w:t>
      </w:r>
    </w:p>
    <w:p w14:paraId="03A870C5" w14:textId="5E947CDF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Thus, having access to UGS can enhance</w:t>
      </w:r>
      <w:r w:rsidR="006637F3">
        <w:rPr>
          <w:szCs w:val="22"/>
          <w:lang w:val="en-US"/>
        </w:rPr>
        <w:t xml:space="preserve"> urban</w:t>
      </w:r>
      <w:r>
        <w:rPr>
          <w:szCs w:val="22"/>
          <w:lang w:val="en-US"/>
        </w:rPr>
        <w:t xml:space="preserve"> inhabitants’ quality of life (EU 2018</w:t>
      </w:r>
      <w:r w:rsidR="0043328A">
        <w:rPr>
          <w:szCs w:val="22"/>
          <w:lang w:val="en-US"/>
        </w:rPr>
        <w:t xml:space="preserve">, </w:t>
      </w:r>
      <w:proofErr w:type="spellStart"/>
      <w:r w:rsidR="0043328A">
        <w:rPr>
          <w:szCs w:val="22"/>
          <w:lang w:val="en-US"/>
        </w:rPr>
        <w:t>Poelman</w:t>
      </w:r>
      <w:proofErr w:type="spellEnd"/>
      <w:r w:rsidR="0043328A">
        <w:rPr>
          <w:szCs w:val="22"/>
          <w:lang w:val="en-US"/>
        </w:rPr>
        <w:t xml:space="preserve"> 2018</w:t>
      </w:r>
      <w:r>
        <w:rPr>
          <w:szCs w:val="22"/>
          <w:lang w:val="en-US"/>
        </w:rPr>
        <w:t>).</w:t>
      </w:r>
      <w:commentRangeEnd w:id="3"/>
      <w:r w:rsidR="00933D1D">
        <w:rPr>
          <w:rStyle w:val="Kommentarzeichen"/>
          <w:rFonts w:cs="Mangal"/>
        </w:rPr>
        <w:commentReference w:id="3"/>
      </w:r>
    </w:p>
    <w:p w14:paraId="3610750D" w14:textId="423B67F4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Likewise,</w:t>
      </w:r>
      <w:r w:rsidRPr="00890573">
        <w:rPr>
          <w:szCs w:val="22"/>
          <w:lang w:val="en-US"/>
        </w:rPr>
        <w:t xml:space="preserve"> the United Nations have agreed to provide universal access to public green spaces by 2030</w:t>
      </w:r>
      <w:r>
        <w:rPr>
          <w:szCs w:val="22"/>
          <w:lang w:val="en-US"/>
        </w:rPr>
        <w:t xml:space="preserve"> in </w:t>
      </w:r>
      <w:r w:rsidRPr="00890573">
        <w:rPr>
          <w:szCs w:val="22"/>
          <w:lang w:val="en-US"/>
        </w:rPr>
        <w:t>the Sustainable Development Goal 11.7.</w:t>
      </w:r>
      <w:bookmarkStart w:id="4" w:name="move106354737"/>
      <w:bookmarkEnd w:id="4"/>
    </w:p>
    <w:p w14:paraId="0453AA0E" w14:textId="77777777" w:rsidR="006461B6" w:rsidRDefault="006461B6" w:rsidP="00182018">
      <w:pPr>
        <w:ind w:left="1080"/>
        <w:rPr>
          <w:szCs w:val="22"/>
          <w:lang w:val="en-US"/>
        </w:rPr>
      </w:pPr>
    </w:p>
    <w:p w14:paraId="61C44090" w14:textId="63D51052" w:rsidR="00455989" w:rsidRPr="006637F3" w:rsidRDefault="006637F3" w:rsidP="00182018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 2019).</w:t>
      </w:r>
    </w:p>
    <w:p w14:paraId="4F6ADC2E" w14:textId="7A0B3D66" w:rsidR="006637F3" w:rsidRDefault="006637F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Here, t</w:t>
      </w:r>
      <w:r w:rsidR="007E5610">
        <w:rPr>
          <w:szCs w:val="22"/>
          <w:lang w:val="en-US"/>
        </w:rPr>
        <w:t>he population pressure</w:t>
      </w:r>
      <w:r w:rsidR="00890573">
        <w:rPr>
          <w:szCs w:val="22"/>
          <w:lang w:val="en-US"/>
        </w:rPr>
        <w:t xml:space="preserve"> on UGS</w:t>
      </w:r>
      <w:r w:rsidR="007E5610">
        <w:rPr>
          <w:szCs w:val="22"/>
          <w:lang w:val="en-US"/>
        </w:rPr>
        <w:t xml:space="preserve"> might be amplified by the compact city paradigm, which is popular among European city planners: A more compact city can result in shorter traveling distances but also in more overcrowding effects (Commission of European Communities, 1990; Burton, 2003).</w:t>
      </w:r>
      <w:bookmarkStart w:id="5" w:name="move106354897"/>
      <w:bookmarkEnd w:id="5"/>
    </w:p>
    <w:p w14:paraId="1C3F6F90" w14:textId="5F6058F4" w:rsidR="00081E2E" w:rsidRDefault="00081E2E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Accordingly,</w:t>
      </w:r>
      <w:r w:rsidR="00F760F4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more people </w:t>
      </w:r>
      <w:r w:rsidR="002C4822">
        <w:rPr>
          <w:szCs w:val="22"/>
          <w:lang w:val="en-US"/>
        </w:rPr>
        <w:t xml:space="preserve">living in proximity to and </w:t>
      </w:r>
      <w:r>
        <w:rPr>
          <w:szCs w:val="22"/>
          <w:lang w:val="en-US"/>
        </w:rPr>
        <w:t xml:space="preserve">benefitting from an UGS </w:t>
      </w:r>
      <w:r w:rsidR="00F760F4">
        <w:rPr>
          <w:szCs w:val="22"/>
          <w:lang w:val="en-US"/>
        </w:rPr>
        <w:t xml:space="preserve">also </w:t>
      </w:r>
      <w:r>
        <w:rPr>
          <w:szCs w:val="22"/>
          <w:lang w:val="en-US"/>
        </w:rPr>
        <w:t>increase the pressure on its ecological functions (Wolff &amp; Haase, 2019).</w:t>
      </w:r>
    </w:p>
    <w:p w14:paraId="57F15877" w14:textId="486598B4" w:rsidR="003D2DCB" w:rsidRDefault="003D2DCB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order to detect </w:t>
      </w:r>
      <w:r w:rsidR="0003575D">
        <w:rPr>
          <w:szCs w:val="22"/>
          <w:lang w:val="en-US"/>
        </w:rPr>
        <w:t xml:space="preserve">such </w:t>
      </w:r>
      <w:r>
        <w:rPr>
          <w:szCs w:val="22"/>
          <w:lang w:val="en-US"/>
        </w:rPr>
        <w:t xml:space="preserve">mismatches in green space supply and demand and to provide equal access to UGS, mapping UGS accessibility is </w:t>
      </w:r>
      <w:r w:rsidR="007C6B32">
        <w:rPr>
          <w:szCs w:val="22"/>
          <w:lang w:val="en-US"/>
        </w:rPr>
        <w:t>key</w:t>
      </w:r>
      <w:r>
        <w:rPr>
          <w:szCs w:val="22"/>
          <w:lang w:val="en-US"/>
        </w:rPr>
        <w:t xml:space="preserve"> (Larondelle &amp; Haase 201</w:t>
      </w:r>
      <w:r w:rsidR="004A4E6D">
        <w:rPr>
          <w:szCs w:val="22"/>
          <w:lang w:val="en-US"/>
        </w:rPr>
        <w:t>3).</w:t>
      </w:r>
    </w:p>
    <w:p w14:paraId="0EEFE50F" w14:textId="77777777" w:rsidR="00F26A76" w:rsidRPr="002E3F65" w:rsidRDefault="00F26A76" w:rsidP="002E3F65">
      <w:pPr>
        <w:widowControl/>
        <w:suppressAutoHyphens w:val="0"/>
        <w:rPr>
          <w:szCs w:val="22"/>
          <w:lang w:val="en-US"/>
        </w:rPr>
      </w:pPr>
    </w:p>
    <w:p w14:paraId="243323ED" w14:textId="77777777" w:rsidR="00F26A7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 xml:space="preserve">The walkable environment – the space </w:t>
      </w:r>
      <w:r w:rsidRPr="00182018">
        <w:rPr>
          <w:i/>
          <w:iCs/>
          <w:szCs w:val="22"/>
          <w:lang w:val="en-US"/>
        </w:rPr>
        <w:t>in between</w:t>
      </w:r>
      <w:r w:rsidRPr="00182018">
        <w:rPr>
          <w:szCs w:val="22"/>
          <w:lang w:val="en-US"/>
        </w:rPr>
        <w:t xml:space="preserve"> urban dwellers and UGS – affects the quality of ES and, thus, the accessibility of UGS (Syrbe &amp; Walz 2012).</w:t>
      </w:r>
    </w:p>
    <w:p w14:paraId="1B36B111" w14:textId="04430D98" w:rsidR="006461B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>A proper modeling of UGS accessibility must, therefore, put emphasis on modeling the walkable environment of a city (Wolff 2021).</w:t>
      </w:r>
    </w:p>
    <w:p w14:paraId="1218EF7C" w14:textId="77777777" w:rsidR="00966D29" w:rsidRDefault="006551EA" w:rsidP="00182018">
      <w:pPr>
        <w:widowControl/>
        <w:suppressAutoHyphens w:val="0"/>
        <w:ind w:left="720"/>
        <w:rPr>
          <w:ins w:id="6" w:author="Haase, Dagmar" w:date="2022-06-27T15:24:00Z"/>
          <w:szCs w:val="22"/>
          <w:highlight w:val="yellow"/>
          <w:lang w:val="en-US"/>
        </w:rPr>
      </w:pPr>
      <w:r w:rsidRPr="006551EA">
        <w:rPr>
          <w:szCs w:val="22"/>
          <w:lang w:val="en-US"/>
        </w:rPr>
        <w:t>Yet, easy to use and open source tools for comparative</w:t>
      </w:r>
      <w:r w:rsidR="00291DF1">
        <w:rPr>
          <w:szCs w:val="22"/>
          <w:lang w:val="en-US"/>
        </w:rPr>
        <w:t>ly</w:t>
      </w:r>
      <w:r w:rsidRPr="006551EA">
        <w:rPr>
          <w:szCs w:val="22"/>
          <w:lang w:val="en-US"/>
        </w:rPr>
        <w:t xml:space="preserve"> modeling </w:t>
      </w:r>
      <w:r w:rsidR="00291DF1">
        <w:rPr>
          <w:szCs w:val="22"/>
          <w:lang w:val="en-US"/>
        </w:rPr>
        <w:t xml:space="preserve">the </w:t>
      </w:r>
      <w:r w:rsidRPr="006551EA">
        <w:rPr>
          <w:szCs w:val="22"/>
          <w:lang w:val="en-US"/>
        </w:rPr>
        <w:t>walkability</w:t>
      </w:r>
      <w:r w:rsidR="00291DF1">
        <w:rPr>
          <w:szCs w:val="22"/>
          <w:lang w:val="en-US"/>
        </w:rPr>
        <w:t xml:space="preserve"> of European cities</w:t>
      </w:r>
      <w:r w:rsidRPr="006551EA">
        <w:rPr>
          <w:szCs w:val="22"/>
          <w:lang w:val="en-US"/>
        </w:rPr>
        <w:t xml:space="preserve"> are </w:t>
      </w:r>
      <w:r w:rsidRPr="00C02A7B">
        <w:rPr>
          <w:szCs w:val="22"/>
          <w:highlight w:val="yellow"/>
          <w:lang w:val="en-US"/>
        </w:rPr>
        <w:t>lacking</w:t>
      </w:r>
      <w:r w:rsidR="005B2D1E" w:rsidRPr="00C02A7B">
        <w:rPr>
          <w:szCs w:val="22"/>
          <w:highlight w:val="yellow"/>
          <w:lang w:val="en-US"/>
        </w:rPr>
        <w:t xml:space="preserve"> (</w:t>
      </w:r>
      <w:r w:rsidR="00341D06">
        <w:rPr>
          <w:szCs w:val="22"/>
          <w:highlight w:val="yellow"/>
          <w:lang w:val="en-US"/>
        </w:rPr>
        <w:t>e</w:t>
      </w:r>
      <w:commentRangeStart w:id="7"/>
      <w:commentRangeStart w:id="8"/>
      <w:r w:rsidR="00341D06">
        <w:rPr>
          <w:szCs w:val="22"/>
          <w:highlight w:val="yellow"/>
          <w:lang w:val="en-US"/>
        </w:rPr>
        <w:t xml:space="preserve">.g. </w:t>
      </w:r>
      <w:r w:rsidR="005B2D1E" w:rsidRPr="00C02A7B">
        <w:rPr>
          <w:szCs w:val="22"/>
          <w:highlight w:val="yellow"/>
          <w:lang w:val="en-US"/>
        </w:rPr>
        <w:t>Kabisch et al. 2016,</w:t>
      </w:r>
      <w:r w:rsidR="00CD347B" w:rsidRPr="00C02A7B">
        <w:rPr>
          <w:szCs w:val="22"/>
          <w:highlight w:val="yellow"/>
          <w:lang w:val="en-US"/>
        </w:rPr>
        <w:t xml:space="preserve"> …)</w:t>
      </w:r>
      <w:r w:rsidRPr="00C02A7B">
        <w:rPr>
          <w:szCs w:val="22"/>
          <w:highlight w:val="yellow"/>
          <w:lang w:val="en-US"/>
        </w:rPr>
        <w:t>.</w:t>
      </w:r>
      <w:commentRangeEnd w:id="7"/>
      <w:r w:rsidR="009B2B57">
        <w:rPr>
          <w:rStyle w:val="Kommentarzeichen"/>
          <w:rFonts w:cs="Mangal"/>
        </w:rPr>
        <w:commentReference w:id="7"/>
      </w:r>
      <w:commentRangeEnd w:id="8"/>
    </w:p>
    <w:p w14:paraId="38277594" w14:textId="1101DAFE" w:rsidR="008E1619" w:rsidRPr="00966D29" w:rsidRDefault="00966D29" w:rsidP="00182018">
      <w:pPr>
        <w:widowControl/>
        <w:suppressAutoHyphens w:val="0"/>
        <w:ind w:left="720"/>
        <w:rPr>
          <w:b/>
          <w:szCs w:val="22"/>
          <w:rPrChange w:id="9" w:author="Haase, Dagmar" w:date="2022-06-27T15:24:00Z">
            <w:rPr>
              <w:b/>
              <w:szCs w:val="22"/>
              <w:lang w:val="en-US"/>
            </w:rPr>
          </w:rPrChange>
        </w:rPr>
      </w:pPr>
      <w:ins w:id="10" w:author="Haase, Dagmar" w:date="2022-06-27T15:24:00Z">
        <w:r w:rsidRPr="00966D29">
          <w:rPr>
            <w:b/>
            <w:szCs w:val="22"/>
            <w:rPrChange w:id="11" w:author="Haase, Dagmar" w:date="2022-06-27T15:24:00Z">
              <w:rPr>
                <w:b/>
                <w:szCs w:val="22"/>
                <w:lang w:val="en-US"/>
              </w:rPr>
            </w:rPrChange>
          </w:rPr>
          <w:t xml:space="preserve">Warum ist </w:t>
        </w:r>
        <w:proofErr w:type="spellStart"/>
        <w:r w:rsidRPr="00966D29">
          <w:rPr>
            <w:b/>
            <w:szCs w:val="22"/>
            <w:rPrChange w:id="12" w:author="Haase, Dagmar" w:date="2022-06-27T15:24:00Z">
              <w:rPr>
                <w:b/>
                <w:szCs w:val="22"/>
                <w:lang w:val="en-US"/>
              </w:rPr>
            </w:rPrChange>
          </w:rPr>
          <w:t>walking</w:t>
        </w:r>
        <w:proofErr w:type="spellEnd"/>
        <w:r w:rsidRPr="00966D29">
          <w:rPr>
            <w:b/>
            <w:szCs w:val="22"/>
            <w:rPrChange w:id="13" w:author="Haase, Dagmar" w:date="2022-06-27T15:24:00Z">
              <w:rPr>
                <w:b/>
                <w:szCs w:val="22"/>
                <w:lang w:val="en-US"/>
              </w:rPr>
            </w:rPrChange>
          </w:rPr>
          <w:t xml:space="preserve"> so wichtig?</w:t>
        </w:r>
        <w:r>
          <w:rPr>
            <w:b/>
            <w:szCs w:val="22"/>
          </w:rPr>
          <w:t xml:space="preserve"> Hier nochmal das Gesundheitsargument.</w:t>
        </w:r>
      </w:ins>
      <w:r>
        <w:rPr>
          <w:rStyle w:val="Kommentarzeichen"/>
          <w:rFonts w:cs="Mangal"/>
        </w:rPr>
        <w:commentReference w:id="8"/>
      </w:r>
    </w:p>
    <w:p w14:paraId="310306F8" w14:textId="77777777" w:rsidR="00C8669E" w:rsidRPr="00966D29" w:rsidRDefault="00C8669E">
      <w:pPr>
        <w:widowControl/>
        <w:suppressAutoHyphens w:val="0"/>
        <w:rPr>
          <w:szCs w:val="22"/>
          <w:rPrChange w:id="14" w:author="Haase, Dagmar" w:date="2022-06-27T15:24:00Z">
            <w:rPr>
              <w:szCs w:val="22"/>
              <w:lang w:val="en-US"/>
            </w:rPr>
          </w:rPrChange>
        </w:rPr>
      </w:pPr>
    </w:p>
    <w:p w14:paraId="6737A5D7" w14:textId="60C89CD1" w:rsidR="00CD6026" w:rsidRDefault="00182018">
      <w:pPr>
        <w:widowControl/>
        <w:suppressAutoHyphens w:val="0"/>
        <w:rPr>
          <w:b/>
          <w:szCs w:val="22"/>
          <w:shd w:val="clear" w:color="auto" w:fill="00A933"/>
          <w:lang w:val="en-US"/>
        </w:rPr>
      </w:pPr>
      <w:r>
        <w:rPr>
          <w:b/>
          <w:szCs w:val="22"/>
          <w:shd w:val="clear" w:color="auto" w:fill="00A933"/>
          <w:lang w:val="en-US"/>
        </w:rPr>
        <w:t>%</w:t>
      </w:r>
      <w:r w:rsidR="007E5610">
        <w:rPr>
          <w:b/>
          <w:szCs w:val="22"/>
          <w:shd w:val="clear" w:color="auto" w:fill="00A933"/>
          <w:lang w:val="en-US"/>
        </w:rPr>
        <w:t>Part 2: State of the art</w:t>
      </w:r>
    </w:p>
    <w:p w14:paraId="699161CD" w14:textId="7777777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commentRangeStart w:id="15"/>
      <w:commentRangeStart w:id="16"/>
      <w:r>
        <w:rPr>
          <w:szCs w:val="22"/>
          <w:lang w:val="en-US"/>
        </w:rPr>
        <w:t>Availability and accessibility of UGS in Europe have been analyzed and compared in multiple studies.</w:t>
      </w:r>
    </w:p>
    <w:p w14:paraId="0DE1421C" w14:textId="2C984293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their 2016 paper, Kabisch et al. carried out an assessment of green space availability in 299 EU cities. They used a population grid of 1 km² and land use data (urban atlas) to calculate the population within a buffer distance of UGS</w:t>
      </w:r>
      <w:r w:rsidR="00291DF1">
        <w:rPr>
          <w:szCs w:val="22"/>
          <w:lang w:val="en-US"/>
        </w:rPr>
        <w:t xml:space="preserve"> (Kabisch et al. 2016)</w:t>
      </w:r>
      <w:r>
        <w:rPr>
          <w:szCs w:val="22"/>
          <w:lang w:val="en-US"/>
        </w:rPr>
        <w:t>.</w:t>
      </w:r>
    </w:p>
    <w:p w14:paraId="6BCF96D3" w14:textId="7C1DD230" w:rsidR="00AC17CE" w:rsidRDefault="00AC17CE" w:rsidP="00AC17CE">
      <w:pPr>
        <w:pStyle w:val="Listenabsatz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u</w:t>
      </w:r>
      <w:r w:rsidRPr="00AD7454">
        <w:rPr>
          <w:szCs w:val="22"/>
          <w:lang w:val="en-US"/>
        </w:rPr>
        <w:t>s</w:t>
      </w:r>
      <w:r>
        <w:rPr>
          <w:szCs w:val="22"/>
          <w:lang w:val="en-US"/>
        </w:rPr>
        <w:t>e of</w:t>
      </w:r>
      <w:r w:rsidRPr="00AD7454">
        <w:rPr>
          <w:szCs w:val="22"/>
          <w:lang w:val="en-US"/>
        </w:rPr>
        <w:t xml:space="preserve"> Euclidean </w:t>
      </w:r>
      <w:r>
        <w:rPr>
          <w:szCs w:val="22"/>
          <w:lang w:val="en-US"/>
        </w:rPr>
        <w:t xml:space="preserve">(direct) </w:t>
      </w:r>
      <w:r w:rsidRPr="00AD7454">
        <w:rPr>
          <w:szCs w:val="22"/>
          <w:lang w:val="en-US"/>
        </w:rPr>
        <w:t xml:space="preserve">distance in </w:t>
      </w:r>
      <w:r>
        <w:rPr>
          <w:szCs w:val="22"/>
          <w:lang w:val="en-US"/>
        </w:rPr>
        <w:t>accessibility analysis</w:t>
      </w:r>
      <w:r w:rsidRPr="00AD7454">
        <w:rPr>
          <w:szCs w:val="22"/>
          <w:lang w:val="en-US"/>
        </w:rPr>
        <w:t xml:space="preserve"> has been found to underestimate spatial distances and to overestimate the provision of UGS in contrast to using network distance</w:t>
      </w:r>
      <w:r>
        <w:rPr>
          <w:szCs w:val="22"/>
          <w:lang w:val="en-US"/>
        </w:rPr>
        <w:t>, though</w:t>
      </w:r>
      <w:r w:rsidRPr="00AD7454">
        <w:rPr>
          <w:szCs w:val="22"/>
          <w:lang w:val="en-US"/>
        </w:rPr>
        <w:t xml:space="preserve"> (Moseley et al. 2013, Sander et al. 2010).</w:t>
      </w:r>
    </w:p>
    <w:p w14:paraId="64A6EBEC" w14:textId="46C80C53" w:rsidR="00CD6026" w:rsidRDefault="007E5610" w:rsidP="002E3F65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2016, the Joint Research Center (JRC) of the European Union developed an indicator for areas that are served by UGS in European cities. In their analysis, the authors used a 10 m² resolution land use data grid and a 100 m² population mosaic and a </w:t>
      </w:r>
      <w:r w:rsidR="00C8669E">
        <w:rPr>
          <w:szCs w:val="22"/>
          <w:lang w:val="en-US"/>
        </w:rPr>
        <w:t>network-based</w:t>
      </w:r>
      <w:r>
        <w:rPr>
          <w:szCs w:val="22"/>
          <w:lang w:val="en-US"/>
        </w:rPr>
        <w:t xml:space="preserve"> approach</w:t>
      </w:r>
      <w:r w:rsidR="00CD347B">
        <w:rPr>
          <w:szCs w:val="22"/>
          <w:lang w:val="en-US"/>
        </w:rPr>
        <w:t xml:space="preserve"> (European Commission 2016)</w:t>
      </w:r>
      <w:r>
        <w:rPr>
          <w:szCs w:val="22"/>
          <w:lang w:val="en-US"/>
        </w:rPr>
        <w:t>.</w:t>
      </w:r>
    </w:p>
    <w:p w14:paraId="3E103809" w14:textId="465466AB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another analysis from 2018, the JRC used urban atlas data and a street network to assess the area that</w:t>
      </w:r>
      <w:r w:rsidR="002E3F65">
        <w:rPr>
          <w:szCs w:val="22"/>
          <w:lang w:val="en-US"/>
        </w:rPr>
        <w:t xml:space="preserve"> urban dwellers can</w:t>
      </w:r>
      <w:r>
        <w:rPr>
          <w:szCs w:val="22"/>
          <w:lang w:val="en-US"/>
        </w:rPr>
        <w:t xml:space="preserve"> reach in a walking distance of 10 minutes.</w:t>
      </w:r>
      <w:r w:rsidR="002E3F6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Their analysis also result</w:t>
      </w:r>
      <w:r w:rsidR="002E3F65">
        <w:rPr>
          <w:szCs w:val="22"/>
          <w:lang w:val="en-US"/>
        </w:rPr>
        <w:t>ed</w:t>
      </w:r>
      <w:r>
        <w:rPr>
          <w:szCs w:val="22"/>
          <w:lang w:val="en-US"/>
        </w:rPr>
        <w:t xml:space="preserve"> in an area per population measure on a city level</w:t>
      </w:r>
      <w:r w:rsidR="00CD347B">
        <w:rPr>
          <w:szCs w:val="22"/>
          <w:lang w:val="en-US"/>
        </w:rPr>
        <w:t xml:space="preserve"> (</w:t>
      </w:r>
      <w:proofErr w:type="spellStart"/>
      <w:r w:rsidR="00CD347B">
        <w:rPr>
          <w:szCs w:val="22"/>
          <w:lang w:val="en-US"/>
        </w:rPr>
        <w:t>Poelmann</w:t>
      </w:r>
      <w:proofErr w:type="spellEnd"/>
      <w:r w:rsidR="00CD347B">
        <w:rPr>
          <w:szCs w:val="22"/>
          <w:lang w:val="en-US"/>
        </w:rPr>
        <w:t>, 2018)</w:t>
      </w:r>
      <w:r>
        <w:rPr>
          <w:szCs w:val="22"/>
          <w:lang w:val="en-US"/>
        </w:rPr>
        <w:t>.</w:t>
      </w:r>
      <w:commentRangeEnd w:id="16"/>
      <w:r w:rsidR="00966D29">
        <w:rPr>
          <w:rStyle w:val="Kommentarzeichen"/>
          <w:rFonts w:cs="Mangal"/>
        </w:rPr>
        <w:commentReference w:id="16"/>
      </w:r>
    </w:p>
    <w:p w14:paraId="41AF4129" w14:textId="77777777" w:rsidR="004B36C2" w:rsidRDefault="004B36C2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38FB0069" w14:textId="40FEF18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 2021 paper, Wolff coupled the population pressure and proximity perspectives by applying network characteristics.</w:t>
      </w:r>
      <w:r w:rsidR="002E3F6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In his analysis, he found two promising indicators, the Detour Index (DI) and the Local Significance (LS)</w:t>
      </w:r>
      <w:r w:rsidR="00714F78">
        <w:rPr>
          <w:szCs w:val="22"/>
          <w:lang w:val="en-US"/>
        </w:rPr>
        <w:t xml:space="preserve"> (Wolff 2021)</w:t>
      </w:r>
      <w:r>
        <w:rPr>
          <w:szCs w:val="22"/>
          <w:lang w:val="en-US"/>
        </w:rPr>
        <w:t>.</w:t>
      </w:r>
    </w:p>
    <w:p w14:paraId="688F213D" w14:textId="77777777" w:rsidR="00C877AA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DI is a measure of the efficiency of </w:t>
      </w:r>
      <w:r w:rsidR="002E3F65">
        <w:rPr>
          <w:szCs w:val="22"/>
          <w:lang w:val="en-US"/>
        </w:rPr>
        <w:t>a route</w:t>
      </w:r>
      <w:r w:rsidR="00C877AA">
        <w:rPr>
          <w:szCs w:val="22"/>
          <w:lang w:val="en-US"/>
        </w:rPr>
        <w:t xml:space="preserve"> taken to reach a goal (</w:t>
      </w:r>
      <w:proofErr w:type="spellStart"/>
      <w:r w:rsidR="00C877AA">
        <w:rPr>
          <w:szCs w:val="22"/>
          <w:lang w:val="en-US"/>
        </w:rPr>
        <w:t>Bathelmy</w:t>
      </w:r>
      <w:proofErr w:type="spellEnd"/>
      <w:r w:rsidR="00C877AA">
        <w:rPr>
          <w:szCs w:val="22"/>
          <w:lang w:val="en-US"/>
        </w:rPr>
        <w:t xml:space="preserve"> 2018).</w:t>
      </w:r>
    </w:p>
    <w:p w14:paraId="3CA94E88" w14:textId="113ABE17" w:rsidR="00CD6026" w:rsidRDefault="00FC694D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>Hence,</w:t>
      </w:r>
      <w:r w:rsidR="005B412D">
        <w:rPr>
          <w:szCs w:val="22"/>
          <w:lang w:val="en-US"/>
        </w:rPr>
        <w:t xml:space="preserve"> the DI</w:t>
      </w:r>
      <w:r>
        <w:rPr>
          <w:szCs w:val="22"/>
          <w:lang w:val="en-US"/>
        </w:rPr>
        <w:t xml:space="preserve"> can be used to model</w:t>
      </w:r>
      <w:r w:rsidR="007E5610">
        <w:rPr>
          <w:szCs w:val="22"/>
          <w:lang w:val="en-US"/>
        </w:rPr>
        <w:t xml:space="preserve"> barriers that people have to overcome on their way</w:t>
      </w:r>
      <w:r w:rsidR="00C877AA">
        <w:rPr>
          <w:szCs w:val="22"/>
          <w:lang w:val="en-US"/>
        </w:rPr>
        <w:t xml:space="preserve"> to UGS</w:t>
      </w:r>
      <w:r w:rsidR="007E5610">
        <w:rPr>
          <w:szCs w:val="22"/>
          <w:lang w:val="en-US"/>
        </w:rPr>
        <w:t xml:space="preserve"> </w:t>
      </w:r>
      <w:r w:rsidR="00C877AA">
        <w:rPr>
          <w:szCs w:val="22"/>
          <w:lang w:val="en-US"/>
        </w:rPr>
        <w:t>(Wolff 2021)</w:t>
      </w:r>
      <w:r w:rsidR="007E5610">
        <w:rPr>
          <w:szCs w:val="22"/>
          <w:lang w:val="en-US"/>
        </w:rPr>
        <w:t>.</w:t>
      </w:r>
    </w:p>
    <w:p w14:paraId="4636984A" w14:textId="7777777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LS is a simple measure to describe the relevance of different edges of a network (</w:t>
      </w:r>
      <w:proofErr w:type="spellStart"/>
      <w:r>
        <w:rPr>
          <w:szCs w:val="22"/>
          <w:lang w:val="en-US"/>
        </w:rPr>
        <w:t>Esch</w:t>
      </w:r>
      <w:proofErr w:type="spellEnd"/>
      <w:r>
        <w:rPr>
          <w:szCs w:val="22"/>
          <w:lang w:val="en-US"/>
        </w:rPr>
        <w:t xml:space="preserve"> 2014).</w:t>
      </w:r>
    </w:p>
    <w:p w14:paraId="56C3FC0F" w14:textId="4B29D6B7" w:rsidR="00CD6026" w:rsidRDefault="001878CA" w:rsidP="009D2155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With a little modification, the LS can be utilized t</w:t>
      </w:r>
      <w:r w:rsidR="007E5610">
        <w:rPr>
          <w:szCs w:val="22"/>
          <w:lang w:val="en-US"/>
        </w:rPr>
        <w:t>o model use-intensity of</w:t>
      </w:r>
      <w:r w:rsidR="003605BE">
        <w:rPr>
          <w:szCs w:val="22"/>
          <w:lang w:val="en-US"/>
        </w:rPr>
        <w:t xml:space="preserve"> those edges </w:t>
      </w:r>
      <w:del w:id="17" w:author="Wolff, Manuel" w:date="2022-06-27T12:53:00Z">
        <w:r w:rsidR="003605BE" w:rsidDel="009B2B57">
          <w:rPr>
            <w:szCs w:val="22"/>
            <w:lang w:val="en-US"/>
          </w:rPr>
          <w:delText xml:space="preserve">leading </w:delText>
        </w:r>
      </w:del>
      <w:ins w:id="18" w:author="Wolff, Manuel" w:date="2022-06-27T12:53:00Z">
        <w:r w:rsidR="009B2B57">
          <w:rPr>
            <w:szCs w:val="22"/>
            <w:lang w:val="en-US"/>
          </w:rPr>
          <w:t xml:space="preserve">connecting population demand </w:t>
        </w:r>
      </w:ins>
      <w:del w:id="19" w:author="Wolff, Manuel" w:date="2022-06-27T12:53:00Z">
        <w:r w:rsidR="003605BE" w:rsidDel="009B2B57">
          <w:rPr>
            <w:szCs w:val="22"/>
            <w:lang w:val="en-US"/>
          </w:rPr>
          <w:delText>to</w:delText>
        </w:r>
        <w:r w:rsidR="007E5610" w:rsidDel="009B2B57">
          <w:rPr>
            <w:szCs w:val="22"/>
            <w:lang w:val="en-US"/>
          </w:rPr>
          <w:delText xml:space="preserve"> </w:delText>
        </w:r>
      </w:del>
      <w:ins w:id="20" w:author="Wolff, Manuel" w:date="2022-06-27T12:53:00Z">
        <w:r w:rsidR="009B2B57">
          <w:rPr>
            <w:szCs w:val="22"/>
            <w:lang w:val="en-US"/>
          </w:rPr>
          <w:t xml:space="preserve">with </w:t>
        </w:r>
      </w:ins>
      <w:r w:rsidR="007E5610">
        <w:rPr>
          <w:szCs w:val="22"/>
          <w:lang w:val="en-US"/>
        </w:rPr>
        <w:t>UGS.</w:t>
      </w:r>
      <w:r w:rsidR="009D2155">
        <w:rPr>
          <w:szCs w:val="22"/>
          <w:lang w:val="en-US"/>
        </w:rPr>
        <w:t xml:space="preserve"> </w:t>
      </w:r>
      <w:r w:rsidR="007E5610">
        <w:rPr>
          <w:szCs w:val="22"/>
          <w:lang w:val="en-US"/>
        </w:rPr>
        <w:t xml:space="preserve">As a </w:t>
      </w:r>
      <w:r w:rsidR="00C8669E">
        <w:rPr>
          <w:szCs w:val="22"/>
          <w:lang w:val="en-US"/>
        </w:rPr>
        <w:t>consequence,</w:t>
      </w:r>
      <w:r w:rsidR="007E5610">
        <w:rPr>
          <w:szCs w:val="22"/>
          <w:lang w:val="en-US"/>
        </w:rPr>
        <w:t xml:space="preserve"> LS might serve as a spatial indicator for overuse of UGS</w:t>
      </w:r>
      <w:r w:rsidR="009D2155">
        <w:rPr>
          <w:szCs w:val="22"/>
          <w:lang w:val="en-US"/>
        </w:rPr>
        <w:t xml:space="preserve"> (Wolff 2021)</w:t>
      </w:r>
      <w:r w:rsidR="007E5610">
        <w:rPr>
          <w:szCs w:val="22"/>
          <w:lang w:val="en-US"/>
        </w:rPr>
        <w:t xml:space="preserve">. </w:t>
      </w:r>
    </w:p>
    <w:p w14:paraId="0B75B4CF" w14:textId="77777777" w:rsidR="006A2689" w:rsidRDefault="006A2689" w:rsidP="006A2689">
      <w:pPr>
        <w:widowControl/>
        <w:suppressAutoHyphens w:val="0"/>
        <w:rPr>
          <w:szCs w:val="22"/>
          <w:lang w:val="en-US"/>
        </w:rPr>
      </w:pPr>
    </w:p>
    <w:p w14:paraId="32153996" w14:textId="44913307" w:rsidR="006A2689" w:rsidRPr="00AD7454" w:rsidRDefault="006A2689" w:rsidP="006A26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Previous research did rarely account for the mutual dependencies of supply and demand, or did it put the focus on the walkable environment (Syrbe &amp; Grunewald 2017).</w:t>
      </w:r>
    </w:p>
    <w:p w14:paraId="31668224" w14:textId="3DA62152" w:rsidR="00C9468C" w:rsidRDefault="00B14E2D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Using</w:t>
      </w:r>
      <w:r w:rsidR="007E5610">
        <w:rPr>
          <w:szCs w:val="22"/>
          <w:lang w:val="en-US"/>
        </w:rPr>
        <w:t xml:space="preserve"> fixed distances </w:t>
      </w:r>
      <w:r w:rsidR="00E5309B">
        <w:rPr>
          <w:szCs w:val="22"/>
          <w:lang w:val="en-US"/>
        </w:rPr>
        <w:t>for</w:t>
      </w:r>
      <w:r>
        <w:rPr>
          <w:szCs w:val="22"/>
          <w:lang w:val="en-US"/>
        </w:rPr>
        <w:t xml:space="preserve"> assessing green space accessibility </w:t>
      </w:r>
      <w:r w:rsidR="00E5309B">
        <w:rPr>
          <w:szCs w:val="22"/>
          <w:lang w:val="en-US"/>
        </w:rPr>
        <w:t xml:space="preserve">might lead to </w:t>
      </w:r>
      <w:r w:rsidR="009C22B7">
        <w:rPr>
          <w:szCs w:val="22"/>
          <w:lang w:val="en-US"/>
        </w:rPr>
        <w:t>numerical quantities</w:t>
      </w:r>
      <w:r>
        <w:rPr>
          <w:szCs w:val="22"/>
          <w:lang w:val="en-US"/>
        </w:rPr>
        <w:t xml:space="preserve"> instead</w:t>
      </w:r>
      <w:r w:rsidR="00A95630">
        <w:rPr>
          <w:szCs w:val="22"/>
          <w:lang w:val="en-US"/>
        </w:rPr>
        <w:t xml:space="preserve"> of</w:t>
      </w:r>
      <w:r w:rsidR="00843305">
        <w:rPr>
          <w:szCs w:val="22"/>
          <w:lang w:val="en-US"/>
        </w:rPr>
        <w:t xml:space="preserve"> </w:t>
      </w:r>
      <w:r w:rsidR="009C22B7">
        <w:rPr>
          <w:szCs w:val="22"/>
          <w:lang w:val="en-US"/>
        </w:rPr>
        <w:t>focusing on the location of the mismatch between ES supply and demand</w:t>
      </w:r>
      <w:r w:rsidR="00843305">
        <w:rPr>
          <w:szCs w:val="22"/>
          <w:lang w:val="en-US"/>
        </w:rPr>
        <w:t xml:space="preserve"> (</w:t>
      </w:r>
      <w:r w:rsidR="009C22B7">
        <w:rPr>
          <w:szCs w:val="22"/>
          <w:lang w:val="en-US"/>
        </w:rPr>
        <w:t>Syrbe &amp; Grunewald 2017</w:t>
      </w:r>
      <w:r w:rsidR="00D21CA8">
        <w:rPr>
          <w:szCs w:val="22"/>
          <w:lang w:val="en-US"/>
        </w:rPr>
        <w:t>,</w:t>
      </w:r>
      <w:r w:rsidR="00170E93">
        <w:rPr>
          <w:szCs w:val="22"/>
          <w:lang w:val="en-US"/>
        </w:rPr>
        <w:t xml:space="preserve"> Higgs et al. 2012</w:t>
      </w:r>
      <w:r w:rsidR="001F0554">
        <w:rPr>
          <w:szCs w:val="22"/>
          <w:lang w:val="en-US"/>
        </w:rPr>
        <w:t>)</w:t>
      </w:r>
      <w:r w:rsidR="002C2041">
        <w:rPr>
          <w:szCs w:val="22"/>
          <w:lang w:val="en-US"/>
        </w:rPr>
        <w:t>.</w:t>
      </w:r>
    </w:p>
    <w:p w14:paraId="397E0759" w14:textId="685F1F25" w:rsidR="00CD6026" w:rsidRDefault="006A2689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Furthermore, we</w:t>
      </w:r>
      <w:r w:rsidR="007E5610">
        <w:rPr>
          <w:szCs w:val="22"/>
          <w:lang w:val="en-US"/>
        </w:rPr>
        <w:t xml:space="preserve"> saw mostly one perspective being used to assess green space accessibility (provision, </w:t>
      </w:r>
      <w:r>
        <w:rPr>
          <w:szCs w:val="22"/>
          <w:lang w:val="en-US"/>
        </w:rPr>
        <w:t xml:space="preserve">population </w:t>
      </w:r>
      <w:r w:rsidR="007E5610">
        <w:rPr>
          <w:szCs w:val="22"/>
          <w:lang w:val="en-US"/>
        </w:rPr>
        <w:t>pressure or proximity).</w:t>
      </w:r>
    </w:p>
    <w:p w14:paraId="0C7BAD63" w14:textId="7785FEEC" w:rsidR="00AC0DA9" w:rsidRDefault="006A2689" w:rsidP="00182018">
      <w:pPr>
        <w:widowControl/>
        <w:suppressAutoHyphens w:val="0"/>
        <w:ind w:left="720"/>
        <w:rPr>
          <w:szCs w:val="22"/>
          <w:lang w:val="en-GB"/>
        </w:rPr>
      </w:pPr>
      <w:r>
        <w:rPr>
          <w:szCs w:val="22"/>
          <w:lang w:val="en-GB"/>
        </w:rPr>
        <w:t>But a</w:t>
      </w:r>
      <w:r w:rsidR="006C5E7C">
        <w:rPr>
          <w:szCs w:val="22"/>
          <w:lang w:val="en-GB"/>
        </w:rPr>
        <w:t xml:space="preserve"> high provision</w:t>
      </w:r>
      <w:r w:rsidR="00AC0DA9">
        <w:rPr>
          <w:szCs w:val="22"/>
          <w:lang w:val="en-GB"/>
        </w:rPr>
        <w:t xml:space="preserve"> of UGS in a city</w:t>
      </w:r>
      <w:r w:rsidR="00A372CD">
        <w:rPr>
          <w:szCs w:val="22"/>
          <w:lang w:val="en-GB"/>
        </w:rPr>
        <w:t>, for example,</w:t>
      </w:r>
      <w:r w:rsidR="00AC0DA9">
        <w:rPr>
          <w:szCs w:val="22"/>
          <w:lang w:val="en-GB"/>
        </w:rPr>
        <w:t xml:space="preserve"> does not </w:t>
      </w:r>
      <w:r w:rsidR="006C5E7C">
        <w:rPr>
          <w:szCs w:val="22"/>
          <w:lang w:val="en-GB"/>
        </w:rPr>
        <w:t>necessarily indicate an equal</w:t>
      </w:r>
      <w:r w:rsidR="00AC0DA9">
        <w:rPr>
          <w:szCs w:val="22"/>
          <w:lang w:val="en-GB"/>
        </w:rPr>
        <w:t xml:space="preserve"> </w:t>
      </w:r>
      <w:r w:rsidR="006C5E7C">
        <w:rPr>
          <w:szCs w:val="22"/>
          <w:lang w:val="en-GB"/>
        </w:rPr>
        <w:t xml:space="preserve">or adequate </w:t>
      </w:r>
      <w:r w:rsidR="00AC0DA9">
        <w:rPr>
          <w:szCs w:val="22"/>
          <w:lang w:val="en-GB"/>
        </w:rPr>
        <w:t>distribution of UGS</w:t>
      </w:r>
      <w:r w:rsidR="006C5E7C">
        <w:rPr>
          <w:szCs w:val="22"/>
          <w:lang w:val="en-GB"/>
        </w:rPr>
        <w:t xml:space="preserve"> </w:t>
      </w:r>
      <w:r w:rsidR="00AC0DA9">
        <w:rPr>
          <w:szCs w:val="22"/>
          <w:lang w:val="en-GB"/>
        </w:rPr>
        <w:t>(Poelman 2018).</w:t>
      </w:r>
    </w:p>
    <w:p w14:paraId="1C584FE7" w14:textId="77777777" w:rsidR="00AD7454" w:rsidRPr="006A2689" w:rsidRDefault="00AD7454" w:rsidP="00182018">
      <w:pPr>
        <w:widowControl/>
        <w:suppressAutoHyphens w:val="0"/>
        <w:ind w:left="720"/>
        <w:rPr>
          <w:szCs w:val="22"/>
          <w:lang w:val="en-GB"/>
        </w:rPr>
      </w:pPr>
    </w:p>
    <w:p w14:paraId="7B020534" w14:textId="074E3D12" w:rsidR="00A2776C" w:rsidRDefault="007E5610" w:rsidP="00A2776C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addition to the previous points, the mentioned studies, if on a larger scale, were carried out on a coarse resolution</w:t>
      </w:r>
      <w:r w:rsidR="00AF3D7B">
        <w:rPr>
          <w:szCs w:val="22"/>
          <w:lang w:val="en-US"/>
        </w:rPr>
        <w:t xml:space="preserve"> (Kabisch et al. 2016, European Commission 2016)</w:t>
      </w:r>
      <w:r>
        <w:rPr>
          <w:szCs w:val="22"/>
          <w:lang w:val="en-US"/>
        </w:rPr>
        <w:t>.</w:t>
      </w:r>
    </w:p>
    <w:p w14:paraId="413A9390" w14:textId="04B18F01" w:rsidR="00CD6026" w:rsidRDefault="007E5610" w:rsidP="00A61E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 </w:t>
      </w:r>
      <w:r w:rsidR="00A61E89">
        <w:rPr>
          <w:szCs w:val="22"/>
          <w:lang w:val="en-US"/>
        </w:rPr>
        <w:t>higher</w:t>
      </w:r>
      <w:r>
        <w:rPr>
          <w:szCs w:val="22"/>
          <w:lang w:val="en-US"/>
        </w:rPr>
        <w:t xml:space="preserve"> resolution can reveal spatial patterns at a finer scale enabling targeted intervention</w:t>
      </w:r>
      <w:r w:rsidR="00A61E89">
        <w:rPr>
          <w:szCs w:val="22"/>
          <w:lang w:val="en-US"/>
        </w:rPr>
        <w:t xml:space="preserve"> while</w:t>
      </w:r>
      <w:r>
        <w:rPr>
          <w:szCs w:val="22"/>
          <w:lang w:val="en-US"/>
        </w:rPr>
        <w:t xml:space="preserve"> also reduc</w:t>
      </w:r>
      <w:r w:rsidR="00A61E89">
        <w:rPr>
          <w:szCs w:val="22"/>
          <w:lang w:val="en-US"/>
        </w:rPr>
        <w:t>ing</w:t>
      </w:r>
      <w:r>
        <w:rPr>
          <w:szCs w:val="22"/>
          <w:lang w:val="en-US"/>
        </w:rPr>
        <w:t xml:space="preserve"> uncertaint</w:t>
      </w:r>
      <w:r w:rsidR="00D41A1C">
        <w:rPr>
          <w:szCs w:val="22"/>
          <w:lang w:val="en-US"/>
        </w:rPr>
        <w:t>ies</w:t>
      </w:r>
      <w:r>
        <w:rPr>
          <w:szCs w:val="22"/>
          <w:lang w:val="en-US"/>
        </w:rPr>
        <w:t xml:space="preserve"> that </w:t>
      </w:r>
      <w:r w:rsidR="00D41A1C">
        <w:rPr>
          <w:szCs w:val="22"/>
          <w:lang w:val="en-US"/>
        </w:rPr>
        <w:t>are</w:t>
      </w:r>
      <w:r>
        <w:rPr>
          <w:szCs w:val="22"/>
          <w:lang w:val="en-US"/>
        </w:rPr>
        <w:t xml:space="preserve"> introduced </w:t>
      </w:r>
      <w:r w:rsidR="00D41A1C">
        <w:rPr>
          <w:szCs w:val="22"/>
          <w:lang w:val="en-US"/>
        </w:rPr>
        <w:t>by</w:t>
      </w:r>
      <w:r>
        <w:rPr>
          <w:szCs w:val="22"/>
          <w:lang w:val="en-US"/>
        </w:rPr>
        <w:t xml:space="preserve"> e.g. a </w:t>
      </w:r>
      <w:r w:rsidR="00D41A1C">
        <w:rPr>
          <w:szCs w:val="22"/>
          <w:lang w:val="en-US"/>
        </w:rPr>
        <w:t xml:space="preserve">population </w:t>
      </w:r>
      <w:r>
        <w:rPr>
          <w:szCs w:val="22"/>
          <w:lang w:val="en-US"/>
        </w:rPr>
        <w:t xml:space="preserve">grid or a city block aggregation </w:t>
      </w:r>
      <w:r w:rsidR="00D41A1C">
        <w:rPr>
          <w:szCs w:val="22"/>
          <w:lang w:val="en-US"/>
        </w:rPr>
        <w:t>a</w:t>
      </w:r>
      <w:r>
        <w:rPr>
          <w:szCs w:val="22"/>
          <w:lang w:val="en-US"/>
        </w:rPr>
        <w:t>s in urban atlas data</w:t>
      </w:r>
      <w:r w:rsidR="00126622">
        <w:rPr>
          <w:szCs w:val="22"/>
          <w:lang w:val="en-US"/>
        </w:rPr>
        <w:t xml:space="preserve"> (</w:t>
      </w:r>
      <w:proofErr w:type="spellStart"/>
      <w:r w:rsidR="00126622">
        <w:rPr>
          <w:szCs w:val="22"/>
          <w:lang w:val="en-US"/>
        </w:rPr>
        <w:t>Bathelmy</w:t>
      </w:r>
      <w:proofErr w:type="spellEnd"/>
      <w:r w:rsidR="00126622">
        <w:rPr>
          <w:szCs w:val="22"/>
          <w:lang w:val="en-US"/>
        </w:rPr>
        <w:t xml:space="preserve"> 2018, </w:t>
      </w:r>
      <w:proofErr w:type="spellStart"/>
      <w:r w:rsidR="00082FD2">
        <w:rPr>
          <w:szCs w:val="22"/>
          <w:lang w:val="en-US"/>
        </w:rPr>
        <w:t>Esch</w:t>
      </w:r>
      <w:proofErr w:type="spellEnd"/>
      <w:r w:rsidR="00082FD2">
        <w:rPr>
          <w:szCs w:val="22"/>
          <w:lang w:val="en-US"/>
        </w:rPr>
        <w:t xml:space="preserve"> et al. 2014</w:t>
      </w:r>
      <w:r w:rsidR="003777C6">
        <w:rPr>
          <w:szCs w:val="22"/>
          <w:lang w:val="en-US"/>
        </w:rPr>
        <w:t>)</w:t>
      </w:r>
      <w:r>
        <w:rPr>
          <w:szCs w:val="22"/>
          <w:lang w:val="en-US"/>
        </w:rPr>
        <w:t>.</w:t>
      </w:r>
      <w:commentRangeEnd w:id="15"/>
      <w:r>
        <w:commentReference w:id="15"/>
      </w:r>
    </w:p>
    <w:p w14:paraId="2AC7D42F" w14:textId="581DEE9A" w:rsidR="000E3DF8" w:rsidRDefault="000E3DF8" w:rsidP="00A61E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Achieving a high </w:t>
      </w:r>
      <w:r w:rsidR="00CA56CD">
        <w:rPr>
          <w:szCs w:val="22"/>
          <w:lang w:val="en-US"/>
        </w:rPr>
        <w:t>resolutio</w:t>
      </w:r>
      <w:r>
        <w:rPr>
          <w:szCs w:val="22"/>
          <w:lang w:val="en-US"/>
        </w:rPr>
        <w:t>n</w:t>
      </w:r>
      <w:r w:rsidR="00CA56CD">
        <w:rPr>
          <w:szCs w:val="22"/>
          <w:lang w:val="en-US"/>
        </w:rPr>
        <w:t xml:space="preserve"> on a large scale</w:t>
      </w:r>
      <w:r>
        <w:rPr>
          <w:szCs w:val="22"/>
          <w:lang w:val="en-US"/>
        </w:rPr>
        <w:t xml:space="preserve"> can be challenging,</w:t>
      </w:r>
      <w:r w:rsidR="00CA56CD">
        <w:rPr>
          <w:szCs w:val="22"/>
          <w:lang w:val="en-US"/>
        </w:rPr>
        <w:t xml:space="preserve"> though,</w:t>
      </w:r>
      <w:r>
        <w:rPr>
          <w:szCs w:val="22"/>
          <w:lang w:val="en-US"/>
        </w:rPr>
        <w:t xml:space="preserve"> since free</w:t>
      </w:r>
      <w:r w:rsidR="00CA56CD">
        <w:rPr>
          <w:szCs w:val="22"/>
          <w:lang w:val="en-US"/>
        </w:rPr>
        <w:t>ly available and comparable datasets are scarce (</w:t>
      </w:r>
      <w:proofErr w:type="spellStart"/>
      <w:r w:rsidR="00CA56CD">
        <w:rPr>
          <w:szCs w:val="22"/>
          <w:lang w:val="en-US"/>
        </w:rPr>
        <w:t>Feltynowski</w:t>
      </w:r>
      <w:proofErr w:type="spellEnd"/>
      <w:r w:rsidR="00CA56CD">
        <w:rPr>
          <w:szCs w:val="22"/>
          <w:lang w:val="en-US"/>
        </w:rPr>
        <w:t>, 2018</w:t>
      </w:r>
      <w:r w:rsidR="00C02A7B">
        <w:rPr>
          <w:szCs w:val="22"/>
          <w:lang w:val="en-US"/>
        </w:rPr>
        <w:t>, Dumitru &amp; Wendling 2021</w:t>
      </w:r>
      <w:r w:rsidR="00CA56CD">
        <w:rPr>
          <w:szCs w:val="22"/>
          <w:lang w:val="en-US"/>
        </w:rPr>
        <w:t>).</w:t>
      </w:r>
    </w:p>
    <w:p w14:paraId="7F3BD932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4F1AE2BF" w14:textId="50FB7B4C" w:rsidR="00972A37" w:rsidRDefault="007E5610" w:rsidP="00D04695">
      <w:pPr>
        <w:widowControl/>
        <w:suppressAutoHyphens w:val="0"/>
        <w:ind w:left="720"/>
        <w:rPr>
          <w:szCs w:val="22"/>
          <w:lang w:val="en-US"/>
        </w:rPr>
      </w:pPr>
      <w:commentRangeStart w:id="21"/>
      <w:r w:rsidRPr="00D04695">
        <w:rPr>
          <w:szCs w:val="22"/>
          <w:lang w:val="en-US"/>
        </w:rPr>
        <w:t>All things considered, knowledge about green space accessibility is important for planning and decision making</w:t>
      </w:r>
      <w:r w:rsidR="00D04695" w:rsidRPr="00D04695">
        <w:rPr>
          <w:szCs w:val="22"/>
          <w:lang w:val="en-US"/>
        </w:rPr>
        <w:t xml:space="preserve"> and m</w:t>
      </w:r>
      <w:r w:rsidR="00972A37" w:rsidRPr="00D04695">
        <w:rPr>
          <w:szCs w:val="22"/>
          <w:lang w:val="en-US"/>
        </w:rPr>
        <w:t xml:space="preserve">apping </w:t>
      </w:r>
      <w:r w:rsidR="00D04695">
        <w:rPr>
          <w:szCs w:val="22"/>
          <w:lang w:val="en-US"/>
        </w:rPr>
        <w:t xml:space="preserve">the </w:t>
      </w:r>
      <w:r w:rsidR="00972A37" w:rsidRPr="00D04695">
        <w:rPr>
          <w:szCs w:val="22"/>
          <w:lang w:val="en-US"/>
        </w:rPr>
        <w:t xml:space="preserve">capacity, flow and demand of ES in urban areas has been </w:t>
      </w:r>
      <w:r w:rsidR="00972A37" w:rsidRPr="00AD7454">
        <w:rPr>
          <w:szCs w:val="22"/>
          <w:lang w:val="en-US"/>
        </w:rPr>
        <w:t>found to facilitate urban planning (Baró et al, 2016).</w:t>
      </w:r>
    </w:p>
    <w:p w14:paraId="593D729D" w14:textId="79275622" w:rsidR="00CD6026" w:rsidRPr="00D04695" w:rsidRDefault="00D04695" w:rsidP="00182018">
      <w:pPr>
        <w:widowControl/>
        <w:suppressAutoHyphens w:val="0"/>
        <w:ind w:left="720"/>
        <w:rPr>
          <w:szCs w:val="22"/>
          <w:lang w:val="en-US"/>
        </w:rPr>
      </w:pPr>
      <w:r w:rsidRPr="00D04695">
        <w:rPr>
          <w:szCs w:val="22"/>
          <w:lang w:val="en-US"/>
        </w:rPr>
        <w:t>Improving the m</w:t>
      </w:r>
      <w:r w:rsidR="000F16DF" w:rsidRPr="00D04695">
        <w:rPr>
          <w:szCs w:val="22"/>
          <w:lang w:val="en-US"/>
        </w:rPr>
        <w:t>odeling of the walkable environment with a</w:t>
      </w:r>
      <w:r w:rsidR="007E5610" w:rsidRPr="00D04695">
        <w:rPr>
          <w:szCs w:val="22"/>
          <w:lang w:val="en-US"/>
        </w:rPr>
        <w:t xml:space="preserve"> combination of </w:t>
      </w:r>
      <w:r w:rsidR="00C8669E" w:rsidRPr="00D04695">
        <w:rPr>
          <w:szCs w:val="22"/>
          <w:lang w:val="en-US"/>
        </w:rPr>
        <w:t>population</w:t>
      </w:r>
      <w:r w:rsidR="007E5610" w:rsidRPr="00D04695">
        <w:rPr>
          <w:szCs w:val="22"/>
          <w:lang w:val="en-US"/>
        </w:rPr>
        <w:t xml:space="preserve"> pressure and proximity aspects of green space accessibility might prove promising to detect mismatch</w:t>
      </w:r>
      <w:r w:rsidR="00F152E6" w:rsidRPr="00D04695">
        <w:rPr>
          <w:szCs w:val="22"/>
          <w:lang w:val="en-US"/>
        </w:rPr>
        <w:t>es</w:t>
      </w:r>
      <w:r w:rsidR="007E5610" w:rsidRPr="00D04695">
        <w:rPr>
          <w:szCs w:val="22"/>
          <w:lang w:val="en-US"/>
        </w:rPr>
        <w:t xml:space="preserve"> between </w:t>
      </w:r>
      <w:r w:rsidR="00F152E6" w:rsidRPr="00D04695">
        <w:rPr>
          <w:szCs w:val="22"/>
          <w:lang w:val="en-US"/>
        </w:rPr>
        <w:t xml:space="preserve">UGS </w:t>
      </w:r>
      <w:r w:rsidR="007E5610" w:rsidRPr="00D04695">
        <w:rPr>
          <w:szCs w:val="22"/>
          <w:lang w:val="en-US"/>
        </w:rPr>
        <w:t>supply and demand.</w:t>
      </w:r>
      <w:commentRangeEnd w:id="21"/>
      <w:r w:rsidR="008203AF">
        <w:rPr>
          <w:rStyle w:val="Kommentarzeichen"/>
          <w:rFonts w:cs="Mangal"/>
        </w:rPr>
        <w:commentReference w:id="21"/>
      </w:r>
    </w:p>
    <w:p w14:paraId="629CD1D6" w14:textId="1C872EA2" w:rsidR="00D04695" w:rsidRPr="00D04695" w:rsidRDefault="00D04695" w:rsidP="00D04695">
      <w:pPr>
        <w:widowControl/>
        <w:suppressAutoHyphens w:val="0"/>
        <w:ind w:left="720"/>
        <w:rPr>
          <w:szCs w:val="22"/>
          <w:lang w:val="en-US"/>
        </w:rPr>
      </w:pPr>
      <w:commentRangeStart w:id="22"/>
      <w:r w:rsidRPr="00D04695">
        <w:rPr>
          <w:szCs w:val="22"/>
          <w:lang w:val="en-US"/>
        </w:rPr>
        <w:t>Finally, there is yet n</w:t>
      </w:r>
      <w:r w:rsidR="007E5610" w:rsidRPr="00D04695">
        <w:rPr>
          <w:szCs w:val="22"/>
          <w:lang w:val="en-US"/>
        </w:rPr>
        <w:t xml:space="preserve">o </w:t>
      </w:r>
      <w:r w:rsidRPr="00D04695">
        <w:rPr>
          <w:szCs w:val="22"/>
          <w:lang w:val="en-US"/>
        </w:rPr>
        <w:t xml:space="preserve">easy-to-handle and </w:t>
      </w:r>
      <w:r w:rsidR="007E5610" w:rsidRPr="00D04695">
        <w:rPr>
          <w:szCs w:val="22"/>
          <w:lang w:val="en-US"/>
        </w:rPr>
        <w:t>comparable</w:t>
      </w:r>
      <w:r w:rsidRPr="00D04695">
        <w:rPr>
          <w:szCs w:val="22"/>
          <w:lang w:val="en-US"/>
        </w:rPr>
        <w:t xml:space="preserve"> tool</w:t>
      </w:r>
      <w:r w:rsidR="007E5610" w:rsidRPr="00D04695">
        <w:rPr>
          <w:szCs w:val="22"/>
          <w:lang w:val="en-US"/>
        </w:rPr>
        <w:t xml:space="preserve"> using a </w:t>
      </w:r>
      <w:r w:rsidRPr="00D04695">
        <w:rPr>
          <w:szCs w:val="22"/>
          <w:lang w:val="en-US"/>
        </w:rPr>
        <w:t>high resolution</w:t>
      </w:r>
      <w:r w:rsidR="007E5610" w:rsidRPr="00D04695">
        <w:rPr>
          <w:szCs w:val="22"/>
          <w:lang w:val="en-US"/>
        </w:rPr>
        <w:t xml:space="preserve"> on a European scale</w:t>
      </w:r>
      <w:r w:rsidRPr="00D04695">
        <w:rPr>
          <w:szCs w:val="22"/>
          <w:lang w:val="en-US"/>
        </w:rPr>
        <w:t xml:space="preserve"> with publicly available data and software</w:t>
      </w:r>
      <w:r>
        <w:rPr>
          <w:szCs w:val="22"/>
          <w:lang w:val="en-US"/>
        </w:rPr>
        <w:t>.</w:t>
      </w:r>
      <w:commentRangeEnd w:id="22"/>
      <w:r w:rsidR="008203AF">
        <w:rPr>
          <w:rStyle w:val="Kommentarzeichen"/>
          <w:rFonts w:cs="Mangal"/>
        </w:rPr>
        <w:commentReference w:id="22"/>
      </w:r>
    </w:p>
    <w:p w14:paraId="5A0AE52D" w14:textId="7FE4D0D1" w:rsidR="00CD6026" w:rsidRPr="00D04695" w:rsidRDefault="00CD6026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72EDE1C5" w14:textId="771C895B" w:rsidR="00CD6026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r w:rsidR="007E5610">
        <w:rPr>
          <w:b/>
          <w:szCs w:val="22"/>
          <w:lang w:val="en-US"/>
        </w:rPr>
        <w:t>Part 3: Objectives</w:t>
      </w:r>
    </w:p>
    <w:p w14:paraId="02AAE36C" w14:textId="77777777" w:rsidR="00CD6026" w:rsidRDefault="007E5610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European cities by including the three perspectives mentioned above and using a network characteristics approach.</w:t>
      </w:r>
    </w:p>
    <w:p w14:paraId="70E361BA" w14:textId="77777777" w:rsidR="00CD6026" w:rsidRDefault="007E5610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We want to answer the questions:</w:t>
      </w:r>
    </w:p>
    <w:p w14:paraId="5E28FEF4" w14:textId="6949871E" w:rsidR="00CD6026" w:rsidRDefault="007E5610" w:rsidP="00DE1673">
      <w:pPr>
        <w:pStyle w:val="Kommentartext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does a modeling approach look like that estimates the walkability between green space supply and demand in cities</w:t>
      </w:r>
      <w:r w:rsidR="00FC4FB3">
        <w:rPr>
          <w:sz w:val="22"/>
          <w:szCs w:val="22"/>
          <w:lang w:val="en-US"/>
        </w:rPr>
        <w:t xml:space="preserve"> </w:t>
      </w:r>
      <w:del w:id="23" w:author="Wolff, Manuel" w:date="2022-06-27T12:55:00Z">
        <w:r w:rsidR="00FC4FB3" w:rsidDel="00D77DE7">
          <w:rPr>
            <w:sz w:val="22"/>
            <w:szCs w:val="22"/>
            <w:lang w:val="en-US"/>
          </w:rPr>
          <w:delText xml:space="preserve">with </w:delText>
        </w:r>
      </w:del>
      <w:ins w:id="24" w:author="Wolff, Manuel" w:date="2022-06-27T12:55:00Z">
        <w:r w:rsidR="00D77DE7">
          <w:rPr>
            <w:sz w:val="22"/>
            <w:szCs w:val="22"/>
            <w:lang w:val="en-US"/>
          </w:rPr>
          <w:t xml:space="preserve">based on </w:t>
        </w:r>
      </w:ins>
      <w:del w:id="25" w:author="Wolff, Manuel" w:date="2022-06-27T12:55:00Z">
        <w:r w:rsidR="00FC4FB3" w:rsidDel="00D77DE7">
          <w:rPr>
            <w:sz w:val="22"/>
            <w:szCs w:val="22"/>
            <w:lang w:val="en-US"/>
          </w:rPr>
          <w:delText xml:space="preserve">a </w:delText>
        </w:r>
      </w:del>
      <w:r w:rsidR="00FC4FB3">
        <w:rPr>
          <w:sz w:val="22"/>
          <w:szCs w:val="22"/>
          <w:lang w:val="en-US"/>
        </w:rPr>
        <w:t>high resolution</w:t>
      </w:r>
      <w:ins w:id="26" w:author="Wolff, Manuel" w:date="2022-06-27T12:55:00Z">
        <w:r w:rsidR="00D77DE7">
          <w:rPr>
            <w:sz w:val="22"/>
            <w:szCs w:val="22"/>
            <w:lang w:val="en-US"/>
          </w:rPr>
          <w:t xml:space="preserve"> data</w:t>
        </w:r>
      </w:ins>
      <w:r>
        <w:rPr>
          <w:sz w:val="22"/>
          <w:szCs w:val="22"/>
          <w:lang w:val="en-US"/>
        </w:rPr>
        <w:t xml:space="preserve">? </w:t>
      </w:r>
    </w:p>
    <w:p w14:paraId="65C9B413" w14:textId="6A7A85C5" w:rsidR="00CD6026" w:rsidRDefault="007E5610" w:rsidP="00DE1673">
      <w:pPr>
        <w:pStyle w:val="Kommentartext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and ii.) comparative approaches covering a large sample of cities</w:t>
      </w:r>
      <w:r w:rsidR="00CB116A">
        <w:rPr>
          <w:sz w:val="22"/>
          <w:szCs w:val="22"/>
          <w:lang w:val="en-US"/>
        </w:rPr>
        <w:t>.</w:t>
      </w:r>
    </w:p>
    <w:p w14:paraId="060E2A27" w14:textId="3D6D07F3" w:rsidR="00CD6026" w:rsidRPr="00DE1673" w:rsidRDefault="007E5610" w:rsidP="00DE1673">
      <w:pPr>
        <w:pStyle w:val="Listenabsatz"/>
        <w:widowControl/>
        <w:numPr>
          <w:ilvl w:val="0"/>
          <w:numId w:val="6"/>
        </w:numPr>
        <w:suppressAutoHyphens w:val="0"/>
        <w:rPr>
          <w:szCs w:val="22"/>
          <w:lang w:val="en-US"/>
        </w:rPr>
      </w:pPr>
      <w:r w:rsidRPr="00DE1673">
        <w:rPr>
          <w:szCs w:val="22"/>
          <w:lang w:val="en-US"/>
        </w:rPr>
        <w:t>How can easily understandable and applicable indicators be used in order to support urban planning in detecting mismatches between demand and supply?</w:t>
      </w:r>
      <w:bookmarkStart w:id="27" w:name="page8R_mcid5"/>
      <w:bookmarkEnd w:id="27"/>
    </w:p>
    <w:p w14:paraId="6873C733" w14:textId="37BBF95E" w:rsidR="00CD6026" w:rsidRDefault="00DE1673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</w:t>
      </w:r>
      <w:r w:rsidR="007E5610">
        <w:rPr>
          <w:szCs w:val="22"/>
          <w:lang w:val="en-US"/>
        </w:rPr>
        <w:t xml:space="preserve"> objectives </w:t>
      </w:r>
      <w:r>
        <w:rPr>
          <w:szCs w:val="22"/>
          <w:lang w:val="en-US"/>
        </w:rPr>
        <w:t xml:space="preserve">that we derived from these questions </w:t>
      </w:r>
      <w:r w:rsidR="007E5610">
        <w:rPr>
          <w:szCs w:val="22"/>
          <w:lang w:val="en-US"/>
        </w:rPr>
        <w:t xml:space="preserve">are </w:t>
      </w:r>
      <w:r w:rsidR="00EF192A">
        <w:rPr>
          <w:szCs w:val="22"/>
          <w:lang w:val="en-US"/>
        </w:rPr>
        <w:t xml:space="preserve">i.)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 xml:space="preserve">develop </w:t>
      </w:r>
      <w:r w:rsidR="00EF192A">
        <w:rPr>
          <w:szCs w:val="22"/>
          <w:lang w:val="en-US"/>
        </w:rPr>
        <w:t xml:space="preserve">a </w:t>
      </w:r>
      <w:r w:rsidR="007E5610">
        <w:rPr>
          <w:szCs w:val="22"/>
          <w:lang w:val="en-US"/>
        </w:rPr>
        <w:t xml:space="preserve">modeling approach that applies walkability indices, </w:t>
      </w:r>
      <w:r w:rsidR="00EF192A">
        <w:rPr>
          <w:szCs w:val="22"/>
          <w:lang w:val="en-US"/>
        </w:rPr>
        <w:t>ii.)</w:t>
      </w:r>
      <w:r w:rsidR="007E5610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>compar</w:t>
      </w:r>
      <w:r w:rsidR="00EF192A">
        <w:rPr>
          <w:szCs w:val="22"/>
          <w:lang w:val="en-US"/>
        </w:rPr>
        <w:t>e</w:t>
      </w:r>
      <w:r w:rsidR="007E5610">
        <w:rPr>
          <w:szCs w:val="22"/>
          <w:lang w:val="en-US"/>
        </w:rPr>
        <w:t xml:space="preserve"> the results on a European scale</w:t>
      </w:r>
      <w:r>
        <w:rPr>
          <w:szCs w:val="22"/>
          <w:lang w:val="en-US"/>
        </w:rPr>
        <w:t>,</w:t>
      </w:r>
      <w:r w:rsidR="007E5610">
        <w:rPr>
          <w:szCs w:val="22"/>
          <w:lang w:val="en-US"/>
        </w:rPr>
        <w:t xml:space="preserve"> and </w:t>
      </w:r>
      <w:r w:rsidR="00EF192A">
        <w:rPr>
          <w:szCs w:val="22"/>
          <w:lang w:val="en-US"/>
        </w:rPr>
        <w:t xml:space="preserve">iii.)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>implement the indices by showing possible use cases for city planners.</w:t>
      </w:r>
    </w:p>
    <w:p w14:paraId="29072623" w14:textId="77777777" w:rsidR="00CD6026" w:rsidRDefault="00CD6026" w:rsidP="00C8669E">
      <w:pPr>
        <w:widowControl/>
        <w:suppressAutoHyphens w:val="0"/>
        <w:rPr>
          <w:szCs w:val="22"/>
          <w:lang w:val="en-US"/>
        </w:rPr>
      </w:pPr>
    </w:p>
    <w:p w14:paraId="45132E6E" w14:textId="2C93B90E" w:rsidR="00235B84" w:rsidRPr="00235B84" w:rsidRDefault="007E5610" w:rsidP="00235B84">
      <w:pPr>
        <w:rPr>
          <w:b/>
          <w:szCs w:val="22"/>
          <w:lang w:val="en-US"/>
        </w:rPr>
      </w:pPr>
      <w:commentRangeStart w:id="28"/>
      <w:r>
        <w:rPr>
          <w:b/>
          <w:szCs w:val="22"/>
          <w:lang w:val="en-US"/>
        </w:rPr>
        <w:t>Co</w:t>
      </w:r>
      <w:commentRangeStart w:id="29"/>
      <w:r>
        <w:rPr>
          <w:b/>
          <w:szCs w:val="22"/>
          <w:lang w:val="en-US"/>
        </w:rPr>
        <w:t>nceptua</w:t>
      </w:r>
      <w:commentRangeEnd w:id="29"/>
      <w:r w:rsidR="009B5624">
        <w:rPr>
          <w:rStyle w:val="Kommentarzeichen"/>
          <w:rFonts w:cs="Mangal"/>
        </w:rPr>
        <w:commentReference w:id="29"/>
      </w:r>
      <w:r>
        <w:rPr>
          <w:b/>
          <w:szCs w:val="22"/>
          <w:lang w:val="en-US"/>
        </w:rPr>
        <w:t>lization</w:t>
      </w:r>
      <w:commentRangeEnd w:id="28"/>
      <w:r>
        <w:commentReference w:id="28"/>
      </w:r>
    </w:p>
    <w:p w14:paraId="6B3D5F0D" w14:textId="5C0A17C0" w:rsidR="00CD6026" w:rsidRDefault="007E5610" w:rsidP="00235B84">
      <w:pPr>
        <w:pStyle w:val="Listenabsatz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availability of UGS can be defined by the “amount of green area in a defined distance to where urban residents live” (Kabisch et al. 2016).</w:t>
      </w:r>
    </w:p>
    <w:p w14:paraId="2C746EE2" w14:textId="77777777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Having actual access to UGS might be limited by additional factors, though. </w:t>
      </w:r>
    </w:p>
    <w:p w14:paraId="09CEA301" w14:textId="1C685F1C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physical accessibility, for example, can be limited by fences, opening hours of an UGS, or the detours people have to take to reach them. </w:t>
      </w:r>
    </w:p>
    <w:p w14:paraId="57501B1A" w14:textId="77777777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Additionally, accessibility may be limited by perceived overcrowding effects through population pressure (Kabisch et al 2016, </w:t>
      </w:r>
      <w:proofErr w:type="spellStart"/>
      <w:r>
        <w:rPr>
          <w:szCs w:val="22"/>
          <w:lang w:val="en-US"/>
        </w:rPr>
        <w:t>Wollf</w:t>
      </w:r>
      <w:proofErr w:type="spellEnd"/>
      <w:r>
        <w:rPr>
          <w:szCs w:val="22"/>
          <w:lang w:val="en-US"/>
        </w:rPr>
        <w:t xml:space="preserve"> et al. 2020).</w:t>
      </w:r>
    </w:p>
    <w:p w14:paraId="372CA80F" w14:textId="3B2D112A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 xml:space="preserve">As </w:t>
      </w:r>
      <w:commentRangeStart w:id="30"/>
      <w:r w:rsidRPr="00B300A1">
        <w:rPr>
          <w:szCs w:val="22"/>
          <w:lang w:val="en-US"/>
        </w:rPr>
        <w:t xml:space="preserve">use intensity </w:t>
      </w:r>
      <w:commentRangeEnd w:id="30"/>
      <w:r>
        <w:commentReference w:id="30"/>
      </w:r>
      <w:r w:rsidRPr="00B300A1">
        <w:rPr>
          <w:szCs w:val="22"/>
          <w:lang w:val="en-US"/>
        </w:rPr>
        <w:t xml:space="preserve">can influence ES, it can create a mismatch between supply and demand (Syrbe &amp; Grunewald 2017). </w:t>
      </w:r>
    </w:p>
    <w:p w14:paraId="47382BB4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59EBD0C7" w14:textId="3A544798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commentRangeStart w:id="31"/>
      <w:r>
        <w:rPr>
          <w:szCs w:val="22"/>
          <w:lang w:val="en-US"/>
        </w:rPr>
        <w:t>Since ES are rarely consumed by humans at the same place where they are produced by the ecosystem, we distinguish service p</w:t>
      </w:r>
      <w:r w:rsidR="00437426">
        <w:rPr>
          <w:szCs w:val="22"/>
          <w:lang w:val="en-US"/>
        </w:rPr>
        <w:t>roviding</w:t>
      </w:r>
      <w:r>
        <w:rPr>
          <w:szCs w:val="22"/>
          <w:lang w:val="en-US"/>
        </w:rPr>
        <w:t xml:space="preserve"> areas (SPA) and service </w:t>
      </w:r>
      <w:r w:rsidR="00437426">
        <w:rPr>
          <w:szCs w:val="22"/>
          <w:lang w:val="en-US"/>
        </w:rPr>
        <w:t>demanding</w:t>
      </w:r>
      <w:r>
        <w:rPr>
          <w:szCs w:val="22"/>
          <w:lang w:val="en-US"/>
        </w:rPr>
        <w:t xml:space="preserve"> areas (S</w:t>
      </w:r>
      <w:r w:rsidR="00437426">
        <w:rPr>
          <w:szCs w:val="22"/>
          <w:lang w:val="en-US"/>
        </w:rPr>
        <w:t>D</w:t>
      </w:r>
      <w:r>
        <w:rPr>
          <w:szCs w:val="22"/>
          <w:lang w:val="en-US"/>
        </w:rPr>
        <w:t>A)</w:t>
      </w:r>
      <w:r w:rsidR="006F2124">
        <w:rPr>
          <w:szCs w:val="22"/>
          <w:lang w:val="en-US"/>
        </w:rPr>
        <w:t>.</w:t>
      </w:r>
      <w:r>
        <w:rPr>
          <w:szCs w:val="22"/>
          <w:lang w:val="en-US"/>
        </w:rPr>
        <w:t xml:space="preserve"> </w:t>
      </w:r>
    </w:p>
    <w:p w14:paraId="46B53E3B" w14:textId="4E90342E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>Service providing areas (SPA) represent the supplying side, the spatial unit where the ES are generated</w:t>
      </w:r>
      <w:r w:rsidR="006F2124">
        <w:rPr>
          <w:szCs w:val="22"/>
          <w:lang w:val="en-US"/>
        </w:rPr>
        <w:t xml:space="preserve"> (Fisher et al. 2009, </w:t>
      </w:r>
      <w:proofErr w:type="spellStart"/>
      <w:r w:rsidR="006F2124">
        <w:rPr>
          <w:szCs w:val="22"/>
          <w:lang w:val="en-US"/>
        </w:rPr>
        <w:t>Syrbe</w:t>
      </w:r>
      <w:proofErr w:type="spellEnd"/>
      <w:r w:rsidR="006F2124">
        <w:rPr>
          <w:szCs w:val="22"/>
          <w:lang w:val="en-US"/>
        </w:rPr>
        <w:t xml:space="preserve"> and Walz, 2012, </w:t>
      </w:r>
      <w:proofErr w:type="spellStart"/>
      <w:r w:rsidR="006F2124">
        <w:rPr>
          <w:szCs w:val="22"/>
          <w:lang w:val="en-US"/>
        </w:rPr>
        <w:t>Dworczyk</w:t>
      </w:r>
      <w:proofErr w:type="spellEnd"/>
      <w:r w:rsidR="006F2124">
        <w:rPr>
          <w:szCs w:val="22"/>
          <w:lang w:val="en-US"/>
        </w:rPr>
        <w:t xml:space="preserve"> &amp; Burkhard 2021).</w:t>
      </w:r>
    </w:p>
    <w:p w14:paraId="14952D4F" w14:textId="229AA3F0" w:rsidR="00364FDA" w:rsidRPr="00B300A1" w:rsidRDefault="00364FDA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>In cities, UGS supply</w:t>
      </w:r>
      <w:r w:rsidR="00590E67">
        <w:rPr>
          <w:szCs w:val="22"/>
          <w:lang w:val="en-US"/>
        </w:rPr>
        <w:t xml:space="preserve"> for example</w:t>
      </w:r>
      <w:r w:rsidRPr="00B300A1">
        <w:rPr>
          <w:szCs w:val="22"/>
          <w:lang w:val="en-US"/>
        </w:rPr>
        <w:t xml:space="preserve"> the </w:t>
      </w:r>
      <w:r w:rsidR="00741C31">
        <w:rPr>
          <w:szCs w:val="22"/>
          <w:lang w:val="en-US"/>
        </w:rPr>
        <w:t xml:space="preserve">cultural </w:t>
      </w:r>
      <w:r w:rsidRPr="00B300A1">
        <w:rPr>
          <w:szCs w:val="22"/>
          <w:lang w:val="en-US"/>
        </w:rPr>
        <w:t xml:space="preserve">ES of recreation for residents </w:t>
      </w:r>
      <w:r w:rsidR="00CA2C17">
        <w:rPr>
          <w:szCs w:val="22"/>
          <w:lang w:val="en-US"/>
        </w:rPr>
        <w:t>(Dickinson &amp; Hobbs 2017</w:t>
      </w:r>
      <w:r w:rsidRPr="00B300A1">
        <w:rPr>
          <w:szCs w:val="22"/>
          <w:lang w:val="en-US"/>
        </w:rPr>
        <w:t>).</w:t>
      </w:r>
      <w:bookmarkStart w:id="32" w:name="_GoBack"/>
      <w:bookmarkEnd w:id="32"/>
    </w:p>
    <w:p w14:paraId="5310BDF1" w14:textId="7B507AC3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 xml:space="preserve">Service </w:t>
      </w:r>
      <w:r w:rsidR="00437426" w:rsidRPr="00B300A1">
        <w:rPr>
          <w:szCs w:val="22"/>
          <w:lang w:val="en-US"/>
        </w:rPr>
        <w:t>demanding</w:t>
      </w:r>
      <w:r w:rsidRPr="00B300A1">
        <w:rPr>
          <w:szCs w:val="22"/>
          <w:lang w:val="en-US"/>
        </w:rPr>
        <w:t xml:space="preserve"> areas (S</w:t>
      </w:r>
      <w:r w:rsidR="00437426" w:rsidRPr="00B300A1">
        <w:rPr>
          <w:szCs w:val="22"/>
          <w:lang w:val="en-US"/>
        </w:rPr>
        <w:t>D</w:t>
      </w:r>
      <w:r w:rsidRPr="00B300A1">
        <w:rPr>
          <w:szCs w:val="22"/>
          <w:lang w:val="en-US"/>
        </w:rPr>
        <w:t>A) embody the</w:t>
      </w:r>
      <w:r w:rsidR="00B95A86">
        <w:rPr>
          <w:szCs w:val="22"/>
          <w:lang w:val="en-US"/>
        </w:rPr>
        <w:t xml:space="preserve"> places where</w:t>
      </w:r>
      <w:r w:rsidRPr="00B300A1">
        <w:rPr>
          <w:szCs w:val="22"/>
          <w:lang w:val="en-US"/>
        </w:rPr>
        <w:t xml:space="preserve"> demand </w:t>
      </w:r>
      <w:r w:rsidR="00B95A86">
        <w:rPr>
          <w:szCs w:val="22"/>
          <w:lang w:val="en-US"/>
        </w:rPr>
        <w:t>for ES arises</w:t>
      </w:r>
      <w:r w:rsidRPr="00B300A1">
        <w:rPr>
          <w:szCs w:val="22"/>
          <w:lang w:val="en-US"/>
        </w:rPr>
        <w:t xml:space="preserve">, </w:t>
      </w:r>
      <w:r w:rsidR="001539B5" w:rsidRPr="00B300A1">
        <w:rPr>
          <w:szCs w:val="22"/>
          <w:lang w:val="en-US"/>
        </w:rPr>
        <w:t>e.g. the place</w:t>
      </w:r>
      <w:r w:rsidR="005B437D">
        <w:rPr>
          <w:szCs w:val="22"/>
          <w:lang w:val="en-US"/>
        </w:rPr>
        <w:t>s</w:t>
      </w:r>
      <w:r w:rsidR="001539B5" w:rsidRPr="00B300A1">
        <w:rPr>
          <w:szCs w:val="22"/>
          <w:lang w:val="en-US"/>
        </w:rPr>
        <w:t xml:space="preserve"> where people live</w:t>
      </w:r>
      <w:r w:rsidR="005B437D">
        <w:rPr>
          <w:szCs w:val="22"/>
          <w:lang w:val="en-US"/>
        </w:rPr>
        <w:t>.</w:t>
      </w:r>
      <w:r w:rsidR="00B96BFA">
        <w:rPr>
          <w:szCs w:val="22"/>
          <w:lang w:val="en-US"/>
        </w:rPr>
        <w:t xml:space="preserve"> </w:t>
      </w:r>
      <w:r w:rsidRPr="00B300A1">
        <w:rPr>
          <w:szCs w:val="22"/>
          <w:lang w:val="en-US"/>
        </w:rPr>
        <w:t xml:space="preserve">In the case of UGS in an urban environment, residential areas or buildings are </w:t>
      </w:r>
      <w:r w:rsidR="006147DE">
        <w:rPr>
          <w:szCs w:val="22"/>
          <w:lang w:val="en-US"/>
        </w:rPr>
        <w:t>an example for</w:t>
      </w:r>
      <w:r w:rsidRPr="00B300A1">
        <w:rPr>
          <w:szCs w:val="22"/>
          <w:lang w:val="en-US"/>
        </w:rPr>
        <w:t xml:space="preserve"> S</w:t>
      </w:r>
      <w:r w:rsidR="00BA5386" w:rsidRPr="00B300A1">
        <w:rPr>
          <w:szCs w:val="22"/>
          <w:lang w:val="en-US"/>
        </w:rPr>
        <w:t>D</w:t>
      </w:r>
      <w:r w:rsidRPr="00B300A1">
        <w:rPr>
          <w:szCs w:val="22"/>
          <w:lang w:val="en-US"/>
        </w:rPr>
        <w:t>A</w:t>
      </w:r>
      <w:r w:rsidR="005B437D" w:rsidRPr="00B300A1">
        <w:rPr>
          <w:szCs w:val="22"/>
          <w:lang w:val="en-US"/>
        </w:rPr>
        <w:t xml:space="preserve"> (</w:t>
      </w:r>
      <w:proofErr w:type="spellStart"/>
      <w:r w:rsidR="005B437D" w:rsidRPr="00B300A1">
        <w:rPr>
          <w:szCs w:val="22"/>
          <w:lang w:val="en-US"/>
        </w:rPr>
        <w:t>Dworczyk</w:t>
      </w:r>
      <w:proofErr w:type="spellEnd"/>
      <w:r w:rsidR="005B437D" w:rsidRPr="00B300A1">
        <w:rPr>
          <w:szCs w:val="22"/>
          <w:lang w:val="en-US"/>
        </w:rPr>
        <w:t xml:space="preserve"> &amp; Burkhard 2021).</w:t>
      </w:r>
    </w:p>
    <w:p w14:paraId="4453A2CA" w14:textId="77777777" w:rsidR="00CD6026" w:rsidRDefault="00CD6026">
      <w:pPr>
        <w:widowControl/>
        <w:suppressAutoHyphens w:val="0"/>
        <w:ind w:left="1080"/>
        <w:rPr>
          <w:szCs w:val="22"/>
          <w:lang w:val="en-US"/>
        </w:rPr>
      </w:pPr>
    </w:p>
    <w:p w14:paraId="20508BE5" w14:textId="4E6E106E" w:rsidR="00CD6026" w:rsidRDefault="007E5610" w:rsidP="00696FC6">
      <w:pPr>
        <w:widowControl/>
        <w:suppressAutoHyphens w:val="0"/>
        <w:ind w:left="720"/>
        <w:rPr>
          <w:szCs w:val="22"/>
          <w:lang w:val="en-US"/>
        </w:rPr>
      </w:pPr>
      <w:r w:rsidRPr="00696FC6">
        <w:rPr>
          <w:szCs w:val="22"/>
          <w:lang w:val="en-US"/>
        </w:rPr>
        <w:t>In order to account for physical and perceived barriers to green space access,</w:t>
      </w:r>
      <w:r w:rsidR="00366E9D" w:rsidRPr="00696FC6">
        <w:rPr>
          <w:szCs w:val="22"/>
          <w:lang w:val="en-US"/>
        </w:rPr>
        <w:t xml:space="preserve"> we have to </w:t>
      </w:r>
      <w:r w:rsidRPr="00696FC6">
        <w:rPr>
          <w:szCs w:val="22"/>
          <w:lang w:val="en-US"/>
        </w:rPr>
        <w:t>take a look at the space between SPA and S</w:t>
      </w:r>
      <w:r w:rsidR="009A7120" w:rsidRPr="00696FC6">
        <w:rPr>
          <w:szCs w:val="22"/>
          <w:lang w:val="en-US"/>
        </w:rPr>
        <w:t>D</w:t>
      </w:r>
      <w:r w:rsidRPr="00696FC6">
        <w:rPr>
          <w:szCs w:val="22"/>
          <w:lang w:val="en-US"/>
        </w:rPr>
        <w:t>A</w:t>
      </w:r>
      <w:r w:rsidR="001F7568">
        <w:rPr>
          <w:szCs w:val="22"/>
          <w:lang w:val="en-US"/>
        </w:rPr>
        <w:t xml:space="preserve">, </w:t>
      </w:r>
      <w:r w:rsidR="001F7568" w:rsidRPr="00696FC6">
        <w:rPr>
          <w:szCs w:val="22"/>
          <w:lang w:val="en-US"/>
        </w:rPr>
        <w:t>the service connecting areas (SCA)</w:t>
      </w:r>
      <w:r w:rsidRPr="00696FC6">
        <w:rPr>
          <w:szCs w:val="22"/>
          <w:lang w:val="en-US"/>
        </w:rPr>
        <w:t>.</w:t>
      </w:r>
    </w:p>
    <w:p w14:paraId="797C1B38" w14:textId="1931EAEE" w:rsidR="00BE0676" w:rsidRPr="00696FC6" w:rsidRDefault="00BE0676" w:rsidP="00696FC6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SCA can be used to show the flow of ES between SPA and SDA areas (</w:t>
      </w:r>
      <w:proofErr w:type="spellStart"/>
      <w:r w:rsidRPr="00696FC6">
        <w:rPr>
          <w:szCs w:val="22"/>
          <w:lang w:val="en-US"/>
        </w:rPr>
        <w:t>Dworczyk</w:t>
      </w:r>
      <w:proofErr w:type="spellEnd"/>
      <w:r w:rsidRPr="00696FC6">
        <w:rPr>
          <w:szCs w:val="22"/>
          <w:lang w:val="en-US"/>
        </w:rPr>
        <w:t xml:space="preserve"> &amp; Burkhard 2021</w:t>
      </w:r>
      <w:r>
        <w:rPr>
          <w:szCs w:val="22"/>
          <w:lang w:val="en-US"/>
        </w:rPr>
        <w:t xml:space="preserve">, </w:t>
      </w:r>
      <w:commentRangeStart w:id="33"/>
      <w:r w:rsidRPr="00696FC6">
        <w:rPr>
          <w:szCs w:val="22"/>
          <w:lang w:val="en-US"/>
        </w:rPr>
        <w:t>Syrbe &amp; Walz 2012</w:t>
      </w:r>
      <w:commentRangeEnd w:id="33"/>
      <w:r>
        <w:commentReference w:id="33"/>
      </w:r>
      <w:r>
        <w:rPr>
          <w:szCs w:val="22"/>
          <w:lang w:val="en-US"/>
        </w:rPr>
        <w:t>)</w:t>
      </w:r>
    </w:p>
    <w:p w14:paraId="7D513E96" w14:textId="7A66C911" w:rsidR="00CD6026" w:rsidRPr="00696FC6" w:rsidRDefault="001F7568" w:rsidP="00696FC6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Regarding the scenario of UGS in cities, SCA are t</w:t>
      </w:r>
      <w:r w:rsidR="00ED791D" w:rsidRPr="00696FC6">
        <w:rPr>
          <w:szCs w:val="22"/>
          <w:lang w:val="en-US"/>
        </w:rPr>
        <w:t xml:space="preserve">he walkable environment, </w:t>
      </w:r>
      <w:r>
        <w:rPr>
          <w:szCs w:val="22"/>
          <w:lang w:val="en-US"/>
        </w:rPr>
        <w:t xml:space="preserve">i.e. </w:t>
      </w:r>
      <w:r w:rsidR="00ED791D" w:rsidRPr="00696FC6">
        <w:rPr>
          <w:szCs w:val="22"/>
          <w:lang w:val="en-US"/>
        </w:rPr>
        <w:t>the routes residents take to benefit from the ES in their neighborhood</w:t>
      </w:r>
      <w:r w:rsidR="00B330F1">
        <w:rPr>
          <w:szCs w:val="22"/>
          <w:lang w:val="en-US"/>
        </w:rPr>
        <w:t xml:space="preserve"> (Syrbe &amp; Grunewald 2017)</w:t>
      </w:r>
      <w:r w:rsidR="00ED791D" w:rsidRPr="00696FC6">
        <w:rPr>
          <w:szCs w:val="22"/>
          <w:lang w:val="en-US"/>
        </w:rPr>
        <w:t>.</w:t>
      </w:r>
    </w:p>
    <w:p w14:paraId="7C14EAE0" w14:textId="2F188466" w:rsidR="0099772D" w:rsidRPr="00696FC6" w:rsidRDefault="0099772D" w:rsidP="00696FC6">
      <w:pPr>
        <w:widowControl/>
        <w:suppressAutoHyphens w:val="0"/>
        <w:ind w:left="720"/>
        <w:rPr>
          <w:szCs w:val="22"/>
          <w:lang w:val="en-US"/>
        </w:rPr>
      </w:pPr>
      <w:r w:rsidRPr="00696FC6">
        <w:rPr>
          <w:szCs w:val="22"/>
          <w:lang w:val="en-US"/>
        </w:rPr>
        <w:t>Consequently, the SCA in this case are the</w:t>
      </w:r>
      <w:r w:rsidR="00B80FAD">
        <w:rPr>
          <w:szCs w:val="22"/>
          <w:lang w:val="en-US"/>
        </w:rPr>
        <w:t xml:space="preserve"> walkable</w:t>
      </w:r>
      <w:r w:rsidRPr="00696FC6">
        <w:rPr>
          <w:szCs w:val="22"/>
          <w:lang w:val="en-US"/>
        </w:rPr>
        <w:t xml:space="preserve"> street network of a city.</w:t>
      </w:r>
      <w:commentRangeEnd w:id="31"/>
      <w:r w:rsidR="00964747">
        <w:rPr>
          <w:rStyle w:val="Kommentarzeichen"/>
          <w:rFonts w:cs="Mangal"/>
        </w:rPr>
        <w:commentReference w:id="31"/>
      </w:r>
    </w:p>
    <w:p w14:paraId="1EFFB1AD" w14:textId="77777777" w:rsidR="00EE45EA" w:rsidRDefault="00EE45EA" w:rsidP="004653D2">
      <w:pPr>
        <w:widowControl/>
        <w:suppressAutoHyphens w:val="0"/>
        <w:ind w:left="720"/>
        <w:rPr>
          <w:szCs w:val="22"/>
          <w:lang w:val="en-US"/>
        </w:rPr>
      </w:pPr>
    </w:p>
    <w:p w14:paraId="5B40DAC3" w14:textId="7487F645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commentRangeStart w:id="34"/>
      <w:commentRangeStart w:id="35"/>
      <w:commentRangeStart w:id="36"/>
      <w:r>
        <w:rPr>
          <w:szCs w:val="22"/>
          <w:lang w:val="en-US"/>
        </w:rPr>
        <w:t>Three perspectives have been used in past studies to model the availability and accessibility of UGS:</w:t>
      </w:r>
    </w:p>
    <w:p w14:paraId="621548CC" w14:textId="77777777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provision perspective looks at the flow from green area to buildings, thus, focusing on UGS provision (area / person).</w:t>
      </w:r>
    </w:p>
    <w:p w14:paraId="6596B1C5" w14:textId="260D4526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Secondly, the</w:t>
      </w:r>
      <w:r w:rsidR="0056510B">
        <w:rPr>
          <w:szCs w:val="22"/>
          <w:lang w:val="en-US"/>
        </w:rPr>
        <w:t xml:space="preserve"> population</w:t>
      </w:r>
      <w:r>
        <w:rPr>
          <w:szCs w:val="22"/>
          <w:lang w:val="en-US"/>
        </w:rPr>
        <w:t xml:space="preserve"> pressure perspective describes the flow from residential buildings (i.e. the population) to the UGS.</w:t>
      </w:r>
    </w:p>
    <w:p w14:paraId="612EAF7A" w14:textId="3165DE7C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focus here </w:t>
      </w:r>
      <w:r w:rsidR="009B453C">
        <w:rPr>
          <w:szCs w:val="22"/>
          <w:lang w:val="en-US"/>
        </w:rPr>
        <w:t xml:space="preserve">is </w:t>
      </w:r>
      <w:r>
        <w:rPr>
          <w:szCs w:val="22"/>
          <w:lang w:val="en-US"/>
        </w:rPr>
        <w:t xml:space="preserve">on the pressure </w:t>
      </w:r>
      <w:r w:rsidR="00A67F3D">
        <w:rPr>
          <w:szCs w:val="22"/>
          <w:lang w:val="en-US"/>
        </w:rPr>
        <w:t>o</w:t>
      </w:r>
      <w:r w:rsidR="004653D2">
        <w:rPr>
          <w:szCs w:val="22"/>
          <w:lang w:val="en-US"/>
        </w:rPr>
        <w:t>f</w:t>
      </w:r>
      <w:r w:rsidR="00A67F3D">
        <w:rPr>
          <w:szCs w:val="22"/>
          <w:lang w:val="en-US"/>
        </w:rPr>
        <w:t xml:space="preserve"> the</w:t>
      </w:r>
      <w:r w:rsidR="004653D2">
        <w:rPr>
          <w:szCs w:val="22"/>
          <w:lang w:val="en-US"/>
        </w:rPr>
        <w:t xml:space="preserve"> residents on an UGS</w:t>
      </w:r>
      <w:r>
        <w:rPr>
          <w:szCs w:val="22"/>
          <w:lang w:val="en-US"/>
        </w:rPr>
        <w:t xml:space="preserve"> or the</w:t>
      </w:r>
      <w:r w:rsidR="004653D2">
        <w:rPr>
          <w:szCs w:val="22"/>
          <w:lang w:val="en-US"/>
        </w:rPr>
        <w:t>ir</w:t>
      </w:r>
      <w:r>
        <w:rPr>
          <w:szCs w:val="22"/>
          <w:lang w:val="en-US"/>
        </w:rPr>
        <w:t xml:space="preserve"> demand for green areas (person / area)</w:t>
      </w:r>
      <w:r w:rsidR="00A70265" w:rsidRPr="00A70265">
        <w:rPr>
          <w:szCs w:val="22"/>
          <w:lang w:val="en-US"/>
        </w:rPr>
        <w:t xml:space="preserve"> </w:t>
      </w:r>
      <w:r w:rsidR="00A70265">
        <w:rPr>
          <w:szCs w:val="22"/>
          <w:lang w:val="en-US"/>
        </w:rPr>
        <w:t>(</w:t>
      </w:r>
      <w:proofErr w:type="spellStart"/>
      <w:r w:rsidR="00A70265">
        <w:rPr>
          <w:szCs w:val="22"/>
          <w:lang w:val="en-US"/>
        </w:rPr>
        <w:t>Kimpton</w:t>
      </w:r>
      <w:proofErr w:type="spellEnd"/>
      <w:r w:rsidR="00A70265">
        <w:rPr>
          <w:szCs w:val="22"/>
          <w:lang w:val="en-US"/>
        </w:rPr>
        <w:t xml:space="preserve"> 2017)</w:t>
      </w:r>
      <w:r>
        <w:rPr>
          <w:szCs w:val="22"/>
          <w:lang w:val="en-US"/>
        </w:rPr>
        <w:t>.</w:t>
      </w:r>
    </w:p>
    <w:p w14:paraId="1E4601BB" w14:textId="4B6E9B12" w:rsidR="00DE3CCD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Lastly, </w:t>
      </w:r>
      <w:commentRangeStart w:id="37"/>
      <w:r>
        <w:rPr>
          <w:szCs w:val="22"/>
          <w:lang w:val="en-US"/>
        </w:rPr>
        <w:t xml:space="preserve">the proximity </w:t>
      </w:r>
      <w:commentRangeEnd w:id="37"/>
      <w:r>
        <w:commentReference w:id="37"/>
      </w:r>
      <w:r>
        <w:rPr>
          <w:szCs w:val="22"/>
          <w:lang w:val="en-US"/>
        </w:rPr>
        <w:t xml:space="preserve">perspective </w:t>
      </w:r>
      <w:r w:rsidR="002E3F65">
        <w:rPr>
          <w:szCs w:val="22"/>
          <w:lang w:val="en-US"/>
        </w:rPr>
        <w:t>considers</w:t>
      </w:r>
      <w:r>
        <w:rPr>
          <w:szCs w:val="22"/>
          <w:lang w:val="en-US"/>
        </w:rPr>
        <w:t xml:space="preserve"> the space between supply and demand</w:t>
      </w:r>
      <w:r w:rsidR="0046550B">
        <w:rPr>
          <w:szCs w:val="22"/>
          <w:lang w:val="en-US"/>
        </w:rPr>
        <w:t>, highlighting the SCA</w:t>
      </w:r>
      <w:r>
        <w:rPr>
          <w:szCs w:val="22"/>
          <w:lang w:val="en-US"/>
        </w:rPr>
        <w:t>.</w:t>
      </w:r>
      <w:r w:rsidR="0046550B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 proximity perspective is necessary to account for barriers and</w:t>
      </w:r>
      <w:r w:rsidR="00DE3CCD">
        <w:rPr>
          <w:szCs w:val="22"/>
          <w:lang w:val="en-US"/>
        </w:rPr>
        <w:t xml:space="preserve"> characteristics of the</w:t>
      </w:r>
      <w:r>
        <w:rPr>
          <w:szCs w:val="22"/>
          <w:lang w:val="en-US"/>
        </w:rPr>
        <w:t xml:space="preserve"> network. (</w:t>
      </w:r>
      <w:r w:rsidR="00A70265">
        <w:rPr>
          <w:szCs w:val="22"/>
          <w:lang w:val="en-US"/>
        </w:rPr>
        <w:t>Higgs et al. 2012</w:t>
      </w:r>
      <w:r w:rsidR="004D043A">
        <w:rPr>
          <w:szCs w:val="22"/>
          <w:lang w:val="en-US"/>
        </w:rPr>
        <w:t>, Wolff 2021</w:t>
      </w:r>
      <w:r>
        <w:rPr>
          <w:szCs w:val="22"/>
          <w:lang w:val="en-US"/>
        </w:rPr>
        <w:t>).</w:t>
      </w:r>
    </w:p>
    <w:p w14:paraId="23570AC3" w14:textId="536F077A" w:rsidR="00AD7454" w:rsidRDefault="00DE3CCD" w:rsidP="004653D2">
      <w:pPr>
        <w:widowControl/>
        <w:suppressAutoHyphens w:val="0"/>
        <w:ind w:left="720"/>
        <w:rPr>
          <w:szCs w:val="22"/>
          <w:lang w:val="en-US"/>
        </w:rPr>
      </w:pPr>
      <w:r w:rsidRPr="00DE3CCD">
        <w:rPr>
          <w:szCs w:val="22"/>
          <w:lang w:val="en-US"/>
        </w:rPr>
        <w:t>G</w:t>
      </w:r>
      <w:r w:rsidR="00AD7454" w:rsidRPr="00DE3CCD">
        <w:rPr>
          <w:szCs w:val="22"/>
          <w:lang w:val="en-US"/>
        </w:rPr>
        <w:t>reen space proximity measures have been found to be among the most important factors influencing perceived accessibility, especially for minority groups (Wang et al. 2015, Ibes, 2015).</w:t>
      </w:r>
      <w:commentRangeEnd w:id="34"/>
      <w:r w:rsidR="00D04695">
        <w:rPr>
          <w:rStyle w:val="Kommentarzeichen"/>
          <w:rFonts w:cs="Mangal"/>
        </w:rPr>
        <w:commentReference w:id="34"/>
      </w:r>
      <w:commentRangeEnd w:id="35"/>
      <w:r w:rsidR="00D77DE7">
        <w:rPr>
          <w:rStyle w:val="Kommentarzeichen"/>
          <w:rFonts w:cs="Mangal"/>
        </w:rPr>
        <w:commentReference w:id="35"/>
      </w:r>
      <w:commentRangeEnd w:id="36"/>
      <w:r w:rsidR="00964747">
        <w:rPr>
          <w:rStyle w:val="Kommentarzeichen"/>
          <w:rFonts w:cs="Mangal"/>
        </w:rPr>
        <w:commentReference w:id="36"/>
      </w:r>
    </w:p>
    <w:p w14:paraId="657EAAE9" w14:textId="77777777" w:rsidR="0049068F" w:rsidRPr="00DE3CCD" w:rsidRDefault="0049068F" w:rsidP="004653D2">
      <w:pPr>
        <w:widowControl/>
        <w:suppressAutoHyphens w:val="0"/>
        <w:ind w:left="720"/>
        <w:rPr>
          <w:szCs w:val="22"/>
          <w:lang w:val="en-US"/>
        </w:rPr>
      </w:pPr>
    </w:p>
    <w:p w14:paraId="78866D83" w14:textId="77777777" w:rsidR="00AD7454" w:rsidRPr="00AD7454" w:rsidRDefault="00AD7454" w:rsidP="00633D7F">
      <w:pPr>
        <w:pStyle w:val="Listenabsatz"/>
        <w:widowControl/>
        <w:suppressAutoHyphens w:val="0"/>
        <w:rPr>
          <w:szCs w:val="22"/>
          <w:lang w:val="en-US"/>
        </w:rPr>
      </w:pPr>
    </w:p>
    <w:p w14:paraId="6BA1A80C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sectPr w:rsidR="00CD6026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lff, Manuel" w:date="2022-06-17T10:34:00Z" w:initials="WM">
    <w:p w14:paraId="2C178EA0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Erstmal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einführung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accessibility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green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spaces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poleman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kabisch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etc.) und zu dessen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benefits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ecosystem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services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)</w:t>
      </w:r>
    </w:p>
  </w:comment>
  <w:comment w:id="1" w:author="Wolff, Manuel" w:date="2022-06-17T10:37:00Z" w:initials="WM">
    <w:p w14:paraId="1EC76BFD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Nur didaktische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überschriften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sollten nicht im finalen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auftauchen</w:t>
      </w:r>
    </w:p>
  </w:comment>
  <w:comment w:id="2" w:author="Haase, Dagmar" w:date="2022-06-27T15:20:00Z" w:initials="HD">
    <w:p w14:paraId="686E40E1" w14:textId="77777777" w:rsidR="00933D1D" w:rsidRDefault="00933D1D">
      <w:pPr>
        <w:pStyle w:val="Kommentartext"/>
      </w:pPr>
      <w:r>
        <w:rPr>
          <w:rStyle w:val="Kommentarzeichen"/>
        </w:rPr>
        <w:annotationRef/>
      </w:r>
      <w:r>
        <w:t>Schöne Quelle:</w:t>
      </w:r>
    </w:p>
    <w:p w14:paraId="090AA4F1" w14:textId="77777777" w:rsidR="00933D1D" w:rsidRDefault="00933D1D">
      <w:pPr>
        <w:pStyle w:val="Kommentartext"/>
      </w:pPr>
    </w:p>
    <w:p w14:paraId="78665BBB" w14:textId="77777777" w:rsidR="00933D1D" w:rsidRPr="003F1AA2" w:rsidRDefault="00933D1D" w:rsidP="00933D1D">
      <w:pPr>
        <w:pStyle w:val="Textrechts"/>
        <w:spacing w:afterLines="50" w:after="120" w:line="240" w:lineRule="auto"/>
        <w:ind w:left="363" w:hanging="363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GB"/>
        </w:rPr>
      </w:pP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Elmqvist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T, Andersson E,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McPhearson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T, Bai X, Bettencourt L,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Brondizio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E,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Colding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J, Daily G, Folke C, Grimm N, Haase D,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Ospina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D, Parnell S,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Polasky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S, Seto K C, Van Der </w:t>
      </w:r>
      <w:proofErr w:type="spellStart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>Leeuw</w:t>
      </w:r>
      <w:proofErr w:type="spellEnd"/>
      <w:r w:rsidRPr="00933D1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S. 2021. </w:t>
      </w:r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 xml:space="preserve">Urbanization </w:t>
      </w:r>
      <w:proofErr w:type="gramStart"/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>In</w:t>
      </w:r>
      <w:proofErr w:type="gramEnd"/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 xml:space="preserve"> And For The Anthropocene. </w:t>
      </w:r>
      <w:proofErr w:type="spellStart"/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>npj</w:t>
      </w:r>
      <w:proofErr w:type="spellEnd"/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 xml:space="preserve"> Urban Sustain 1, 6. </w:t>
      </w:r>
      <w:hyperlink r:id="rId1" w:history="1">
        <w:r w:rsidRPr="003F1AA2">
          <w:rPr>
            <w:rStyle w:val="Hyperlink"/>
            <w:rFonts w:asciiTheme="minorHAnsi" w:hAnsiTheme="minorHAnsi" w:cstheme="minorHAnsi"/>
            <w:color w:val="000000" w:themeColor="text1"/>
            <w:sz w:val="16"/>
            <w:szCs w:val="16"/>
            <w:lang w:val="en-GB"/>
          </w:rPr>
          <w:t>https://doi.org/10.1038/s42949-021-00018-w</w:t>
        </w:r>
      </w:hyperlink>
      <w:r w:rsidRPr="003F1AA2">
        <w:rPr>
          <w:rFonts w:asciiTheme="minorHAnsi" w:hAnsiTheme="minorHAnsi" w:cstheme="minorHAnsi"/>
          <w:color w:val="000000" w:themeColor="text1"/>
          <w:sz w:val="16"/>
          <w:szCs w:val="16"/>
          <w:lang w:val="en-GB"/>
        </w:rPr>
        <w:t>.</w:t>
      </w:r>
    </w:p>
    <w:p w14:paraId="0655CC6E" w14:textId="68BBD5EC" w:rsidR="00933D1D" w:rsidRPr="00933D1D" w:rsidRDefault="00933D1D">
      <w:pPr>
        <w:pStyle w:val="Kommentartext"/>
        <w:rPr>
          <w:lang w:val="en-GB"/>
        </w:rPr>
      </w:pPr>
    </w:p>
  </w:comment>
  <w:comment w:id="3" w:author="Haase, Dagmar" w:date="2022-06-27T15:18:00Z" w:initials="HD">
    <w:p w14:paraId="49D24F66" w14:textId="77777777" w:rsidR="00933D1D" w:rsidRDefault="00933D1D">
      <w:pPr>
        <w:pStyle w:val="Kommentartext"/>
      </w:pPr>
      <w:r>
        <w:rPr>
          <w:rStyle w:val="Kommentarzeichen"/>
        </w:rPr>
        <w:annotationRef/>
      </w:r>
      <w:r>
        <w:t>Schöne Quellen:</w:t>
      </w:r>
    </w:p>
    <w:p w14:paraId="795E516E" w14:textId="77777777" w:rsidR="00933D1D" w:rsidRPr="00726C4E" w:rsidRDefault="00933D1D" w:rsidP="00933D1D">
      <w:pPr>
        <w:spacing w:afterLines="50" w:after="120"/>
        <w:ind w:left="363" w:hanging="363"/>
        <w:jc w:val="both"/>
        <w:rPr>
          <w:rFonts w:cstheme="minorHAnsi"/>
          <w:sz w:val="16"/>
          <w:szCs w:val="16"/>
          <w:lang w:val="en-GB"/>
        </w:rPr>
      </w:pPr>
      <w:r w:rsidRPr="00F62183">
        <w:rPr>
          <w:rFonts w:cstheme="minorHAnsi"/>
          <w:sz w:val="16"/>
          <w:szCs w:val="16"/>
        </w:rPr>
        <w:t xml:space="preserve">Kabisch N, R. Kraemer, M. E. </w:t>
      </w:r>
      <w:proofErr w:type="spellStart"/>
      <w:r w:rsidRPr="00F62183">
        <w:rPr>
          <w:rFonts w:cstheme="minorHAnsi"/>
          <w:sz w:val="16"/>
          <w:szCs w:val="16"/>
        </w:rPr>
        <w:t>Brenck</w:t>
      </w:r>
      <w:proofErr w:type="spellEnd"/>
      <w:r w:rsidRPr="00F62183">
        <w:rPr>
          <w:rFonts w:cstheme="minorHAnsi"/>
          <w:sz w:val="16"/>
          <w:szCs w:val="16"/>
        </w:rPr>
        <w:t xml:space="preserve">, D. Haase, A. Lausch, M. L. </w:t>
      </w:r>
      <w:proofErr w:type="spellStart"/>
      <w:r w:rsidRPr="00F62183">
        <w:rPr>
          <w:rFonts w:cstheme="minorHAnsi"/>
          <w:sz w:val="16"/>
          <w:szCs w:val="16"/>
        </w:rPr>
        <w:t>Luttkus</w:t>
      </w:r>
      <w:proofErr w:type="spellEnd"/>
      <w:r w:rsidRPr="00F62183">
        <w:rPr>
          <w:rFonts w:cstheme="minorHAnsi"/>
          <w:sz w:val="16"/>
          <w:szCs w:val="16"/>
        </w:rPr>
        <w:t xml:space="preserve">, T. Mueller, P. </w:t>
      </w:r>
      <w:proofErr w:type="spellStart"/>
      <w:r w:rsidRPr="00F62183">
        <w:rPr>
          <w:rFonts w:cstheme="minorHAnsi"/>
          <w:sz w:val="16"/>
          <w:szCs w:val="16"/>
        </w:rPr>
        <w:t>Remmler</w:t>
      </w:r>
      <w:proofErr w:type="spellEnd"/>
      <w:r w:rsidRPr="00F62183">
        <w:rPr>
          <w:rFonts w:cstheme="minorHAnsi"/>
          <w:sz w:val="16"/>
          <w:szCs w:val="16"/>
        </w:rPr>
        <w:t xml:space="preserve">, P. von </w:t>
      </w:r>
      <w:proofErr w:type="spellStart"/>
      <w:r w:rsidRPr="00F62183">
        <w:rPr>
          <w:rFonts w:cstheme="minorHAnsi"/>
          <w:sz w:val="16"/>
          <w:szCs w:val="16"/>
        </w:rPr>
        <w:t>Döhren</w:t>
      </w:r>
      <w:proofErr w:type="spellEnd"/>
      <w:r w:rsidRPr="00F62183">
        <w:rPr>
          <w:rFonts w:cstheme="minorHAnsi"/>
          <w:sz w:val="16"/>
          <w:szCs w:val="16"/>
        </w:rPr>
        <w:t xml:space="preserve">, J. Voigtländer, J. </w:t>
      </w:r>
      <w:proofErr w:type="spellStart"/>
      <w:r w:rsidRPr="00F62183">
        <w:rPr>
          <w:rFonts w:cstheme="minorHAnsi"/>
          <w:sz w:val="16"/>
          <w:szCs w:val="16"/>
        </w:rPr>
        <w:t>Bumberger</w:t>
      </w:r>
      <w:proofErr w:type="spellEnd"/>
      <w:r w:rsidRPr="00F62183">
        <w:rPr>
          <w:rFonts w:cstheme="minorHAnsi"/>
          <w:sz w:val="16"/>
          <w:szCs w:val="16"/>
        </w:rPr>
        <w:t>.</w:t>
      </w:r>
      <w:r>
        <w:rPr>
          <w:rFonts w:cstheme="minorHAnsi"/>
          <w:sz w:val="16"/>
          <w:szCs w:val="16"/>
        </w:rPr>
        <w:t xml:space="preserve"> </w:t>
      </w:r>
      <w:r w:rsidRPr="00726C4E">
        <w:rPr>
          <w:rFonts w:cstheme="minorHAnsi"/>
          <w:sz w:val="16"/>
          <w:szCs w:val="16"/>
          <w:lang w:val="en-GB"/>
        </w:rPr>
        <w:t>2021</w:t>
      </w:r>
      <w:r>
        <w:rPr>
          <w:rFonts w:cstheme="minorHAnsi"/>
          <w:sz w:val="16"/>
          <w:szCs w:val="16"/>
          <w:lang w:val="en-GB"/>
        </w:rPr>
        <w:t>.</w:t>
      </w:r>
      <w:r w:rsidRPr="00726C4E">
        <w:rPr>
          <w:rFonts w:cstheme="minorHAnsi"/>
          <w:sz w:val="16"/>
          <w:szCs w:val="16"/>
          <w:lang w:val="en-GB"/>
        </w:rPr>
        <w:t xml:space="preserve"> A methodological framework for the assessment of regulating and recreational ecosystem services in urban parks under heat and drought conditions, Ecosystems and People, 17:1, 464-475, </w:t>
      </w:r>
      <w:hyperlink r:id="rId2" w:history="1">
        <w:r w:rsidRPr="00726C4E">
          <w:rPr>
            <w:rStyle w:val="Hyperlink"/>
            <w:rFonts w:cstheme="minorHAnsi"/>
            <w:color w:val="000000" w:themeColor="text1"/>
            <w:sz w:val="16"/>
            <w:szCs w:val="16"/>
            <w:lang w:val="en-GB"/>
          </w:rPr>
          <w:t>https://doi.org/10.1080/26395916.2021.1958062</w:t>
        </w:r>
      </w:hyperlink>
      <w:r>
        <w:rPr>
          <w:rFonts w:cstheme="minorHAnsi"/>
          <w:sz w:val="16"/>
          <w:szCs w:val="16"/>
          <w:lang w:val="en-GB"/>
        </w:rPr>
        <w:t xml:space="preserve">.  </w:t>
      </w:r>
    </w:p>
    <w:p w14:paraId="2F70B46D" w14:textId="77777777" w:rsidR="00933D1D" w:rsidRPr="008E310B" w:rsidRDefault="00933D1D" w:rsidP="00933D1D">
      <w:pPr>
        <w:spacing w:afterLines="50" w:after="120"/>
        <w:ind w:left="363" w:hanging="363"/>
        <w:jc w:val="both"/>
        <w:rPr>
          <w:rFonts w:cstheme="minorHAnsi"/>
          <w:sz w:val="16"/>
          <w:szCs w:val="16"/>
          <w:lang w:val="en-GB"/>
        </w:rPr>
      </w:pPr>
      <w:r w:rsidRPr="00933D1D">
        <w:rPr>
          <w:rFonts w:cstheme="minorHAnsi"/>
          <w:sz w:val="16"/>
          <w:szCs w:val="16"/>
        </w:rPr>
        <w:t xml:space="preserve">Kabisch, Nadja, Roland Kraemer, Oskar </w:t>
      </w:r>
      <w:proofErr w:type="spellStart"/>
      <w:r w:rsidRPr="00933D1D">
        <w:rPr>
          <w:rFonts w:cstheme="minorHAnsi"/>
          <w:sz w:val="16"/>
          <w:szCs w:val="16"/>
        </w:rPr>
        <w:t>Masztalerz</w:t>
      </w:r>
      <w:proofErr w:type="spellEnd"/>
      <w:r w:rsidRPr="00933D1D">
        <w:rPr>
          <w:rFonts w:cstheme="minorHAnsi"/>
          <w:sz w:val="16"/>
          <w:szCs w:val="16"/>
        </w:rPr>
        <w:t xml:space="preserve">, Jan </w:t>
      </w:r>
      <w:proofErr w:type="spellStart"/>
      <w:r w:rsidRPr="00933D1D">
        <w:rPr>
          <w:rFonts w:cstheme="minorHAnsi"/>
          <w:sz w:val="16"/>
          <w:szCs w:val="16"/>
        </w:rPr>
        <w:t>Hemmerling</w:t>
      </w:r>
      <w:proofErr w:type="spellEnd"/>
      <w:r w:rsidRPr="00933D1D">
        <w:rPr>
          <w:rFonts w:cstheme="minorHAnsi"/>
          <w:sz w:val="16"/>
          <w:szCs w:val="16"/>
        </w:rPr>
        <w:t xml:space="preserve">, Catharina </w:t>
      </w:r>
      <w:proofErr w:type="spellStart"/>
      <w:r w:rsidRPr="00933D1D">
        <w:rPr>
          <w:rFonts w:cstheme="minorHAnsi"/>
          <w:sz w:val="16"/>
          <w:szCs w:val="16"/>
        </w:rPr>
        <w:t>Pueffel</w:t>
      </w:r>
      <w:proofErr w:type="spellEnd"/>
      <w:r w:rsidRPr="00933D1D">
        <w:rPr>
          <w:rFonts w:cstheme="minorHAnsi"/>
          <w:sz w:val="16"/>
          <w:szCs w:val="16"/>
        </w:rPr>
        <w:t xml:space="preserve">, Dagmar Haase. </w:t>
      </w:r>
      <w:r w:rsidRPr="008E310B">
        <w:rPr>
          <w:rFonts w:cstheme="minorHAnsi"/>
          <w:sz w:val="16"/>
          <w:szCs w:val="16"/>
          <w:lang w:val="en-GB"/>
        </w:rPr>
        <w:t xml:space="preserve">2021. Impact of summer heat on urban park visitation, perceived health and ecosystem service appreciation. </w:t>
      </w:r>
      <w:proofErr w:type="spellStart"/>
      <w:r w:rsidRPr="008E310B">
        <w:rPr>
          <w:rFonts w:cstheme="minorHAnsi"/>
          <w:sz w:val="16"/>
          <w:szCs w:val="16"/>
          <w:lang w:val="en-GB"/>
        </w:rPr>
        <w:t>Urb</w:t>
      </w:r>
      <w:proofErr w:type="spellEnd"/>
      <w:r w:rsidRPr="008E310B">
        <w:rPr>
          <w:rFonts w:cstheme="minorHAnsi"/>
          <w:sz w:val="16"/>
          <w:szCs w:val="16"/>
          <w:lang w:val="en-GB"/>
        </w:rPr>
        <w:t xml:space="preserve"> Forest </w:t>
      </w:r>
      <w:proofErr w:type="spellStart"/>
      <w:r w:rsidRPr="008E310B">
        <w:rPr>
          <w:rFonts w:cstheme="minorHAnsi"/>
          <w:sz w:val="16"/>
          <w:szCs w:val="16"/>
          <w:lang w:val="en-GB"/>
        </w:rPr>
        <w:t>Urb</w:t>
      </w:r>
      <w:proofErr w:type="spellEnd"/>
      <w:r w:rsidRPr="008E310B">
        <w:rPr>
          <w:rFonts w:cstheme="minorHAnsi"/>
          <w:sz w:val="16"/>
          <w:szCs w:val="16"/>
          <w:lang w:val="en-GB"/>
        </w:rPr>
        <w:t xml:space="preserve"> Green 60, 127058. </w:t>
      </w:r>
      <w:hyperlink r:id="rId3" w:history="1">
        <w:r w:rsidRPr="008E310B">
          <w:rPr>
            <w:rStyle w:val="Hyperlink"/>
            <w:rFonts w:cstheme="minorHAnsi"/>
            <w:color w:val="000000" w:themeColor="text1"/>
            <w:sz w:val="16"/>
            <w:szCs w:val="16"/>
            <w:lang w:val="en-GB"/>
          </w:rPr>
          <w:t>https://doi.org/10.1016/j.ufug.2021.127058</w:t>
        </w:r>
      </w:hyperlink>
      <w:r w:rsidRPr="008E310B">
        <w:rPr>
          <w:rFonts w:cstheme="minorHAnsi"/>
          <w:sz w:val="16"/>
          <w:szCs w:val="16"/>
          <w:lang w:val="en-GB"/>
        </w:rPr>
        <w:t xml:space="preserve">. </w:t>
      </w:r>
    </w:p>
    <w:p w14:paraId="4050D539" w14:textId="132D3EE3" w:rsidR="00933D1D" w:rsidRPr="00933D1D" w:rsidRDefault="00933D1D">
      <w:pPr>
        <w:pStyle w:val="Kommentartext"/>
        <w:rPr>
          <w:lang w:val="en-GB"/>
        </w:rPr>
      </w:pPr>
    </w:p>
  </w:comment>
  <w:comment w:id="7" w:author="Wolff, Manuel" w:date="2022-06-27T12:51:00Z" w:initials="WM">
    <w:p w14:paraId="28C0F0CB" w14:textId="675D782E" w:rsidR="009B2B57" w:rsidRDefault="009B2B57">
      <w:pPr>
        <w:pStyle w:val="Kommentartext"/>
      </w:pPr>
      <w:r>
        <w:rPr>
          <w:rStyle w:val="Kommentarzeichen"/>
        </w:rPr>
        <w:annotationRef/>
      </w:r>
      <w:r>
        <w:t xml:space="preserve">Ja, </w:t>
      </w:r>
      <w:proofErr w:type="spellStart"/>
      <w:r>
        <w:t>viellecht</w:t>
      </w:r>
      <w:proofErr w:type="spellEnd"/>
      <w:r>
        <w:t xml:space="preserve"> brauchst du hier gar keine </w:t>
      </w:r>
      <w:proofErr w:type="spellStart"/>
      <w:r>
        <w:t>quelle</w:t>
      </w:r>
      <w:proofErr w:type="spellEnd"/>
      <w:r>
        <w:t xml:space="preserve">, wenn dann sollte es eine aktuelle sein, zur not </w:t>
      </w:r>
      <w:proofErr w:type="spellStart"/>
      <w:r>
        <w:t>nimmste</w:t>
      </w:r>
      <w:proofErr w:type="spellEnd"/>
      <w:r>
        <w:t xml:space="preserve"> das </w:t>
      </w:r>
      <w:proofErr w:type="spellStart"/>
      <w:r>
        <w:t>wolff</w:t>
      </w:r>
      <w:proofErr w:type="spellEnd"/>
      <w:r>
        <w:t xml:space="preserve"> 21 </w:t>
      </w:r>
      <w:proofErr w:type="spellStart"/>
      <w:r>
        <w:t>paper</w:t>
      </w:r>
      <w:proofErr w:type="spellEnd"/>
    </w:p>
  </w:comment>
  <w:comment w:id="8" w:author="Haase, Dagmar" w:date="2022-06-27T15:21:00Z" w:initials="HD">
    <w:p w14:paraId="2B386368" w14:textId="02276613" w:rsidR="00966D29" w:rsidRDefault="00966D29">
      <w:pPr>
        <w:pStyle w:val="Kommentartext"/>
      </w:pPr>
      <w:r>
        <w:rPr>
          <w:rStyle w:val="Kommentarzeichen"/>
        </w:rPr>
        <w:annotationRef/>
      </w:r>
      <w:r>
        <w:t xml:space="preserve">Doch, ich würde die unbedingt </w:t>
      </w:r>
      <w:proofErr w:type="spellStart"/>
      <w:r>
        <w:t>drinlassen</w:t>
      </w:r>
      <w:proofErr w:type="spellEnd"/>
      <w:r>
        <w:t xml:space="preserve">, denn aktuell ist sie und wird häufig int. Zitiert, also eine sehr gute Reference an dieser Stelle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6" w:author="Haase, Dagmar" w:date="2022-06-27T15:22:00Z" w:initials="HD">
    <w:p w14:paraId="3E68CCC0" w14:textId="472F895A" w:rsidR="00966D29" w:rsidRPr="00966D29" w:rsidRDefault="00966D29">
      <w:pPr>
        <w:pStyle w:val="Kommentartext"/>
      </w:pPr>
      <w:r>
        <w:rPr>
          <w:rStyle w:val="Kommentarzeichen"/>
        </w:rPr>
        <w:annotationRef/>
      </w:r>
      <w:r w:rsidRPr="00966D29">
        <w:t xml:space="preserve">Hier muss der </w:t>
      </w:r>
      <w:proofErr w:type="spellStart"/>
      <w:r w:rsidRPr="00966D29">
        <w:t>state</w:t>
      </w:r>
      <w:proofErr w:type="spellEnd"/>
      <w:r w:rsidRPr="00966D29">
        <w:t xml:space="preserve"> </w:t>
      </w:r>
      <w:proofErr w:type="spellStart"/>
      <w:r w:rsidRPr="00966D29">
        <w:t>of</w:t>
      </w:r>
      <w:proofErr w:type="spellEnd"/>
      <w:r w:rsidRPr="00966D29">
        <w:t xml:space="preserve"> </w:t>
      </w:r>
      <w:proofErr w:type="spellStart"/>
      <w:r w:rsidRPr="00966D29">
        <w:t>the</w:t>
      </w:r>
      <w:proofErr w:type="spellEnd"/>
      <w:r w:rsidRPr="00966D29">
        <w:t xml:space="preserve"> </w:t>
      </w:r>
      <w:proofErr w:type="spellStart"/>
      <w:r w:rsidRPr="00966D29">
        <w:t>art</w:t>
      </w:r>
      <w:proofErr w:type="spellEnd"/>
      <w:r w:rsidRPr="00966D29">
        <w:t xml:space="preserve"> noch etwas au</w:t>
      </w:r>
      <w:r>
        <w:t>sgebaut werden finde ich.</w:t>
      </w:r>
    </w:p>
  </w:comment>
  <w:comment w:id="15" w:author="Dagmar Haase" w:date="2022-06-18T18:15:00Z" w:initials="DH">
    <w:p w14:paraId="3BB32860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Hier müssen definitiv mehr Quellen rein als die eine - sehr feine - von Manu. Das ist sonst zu enge...</w:t>
      </w:r>
    </w:p>
  </w:comment>
  <w:comment w:id="21" w:author="Haase, Dagmar" w:date="2022-06-27T15:25:00Z" w:initials="HD">
    <w:p w14:paraId="79C47106" w14:textId="409BD5F9" w:rsidR="008203AF" w:rsidRDefault="008203AF">
      <w:pPr>
        <w:pStyle w:val="Kommentartext"/>
      </w:pPr>
      <w:r>
        <w:rPr>
          <w:rStyle w:val="Kommentarzeichen"/>
        </w:rPr>
        <w:annotationRef/>
      </w:r>
      <w:r>
        <w:t xml:space="preserve">Hier unbedingt noch die Quellen des AAA-Modells rein: Hänge ich an meine Email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2" w:author="Haase, Dagmar" w:date="2022-06-27T15:27:00Z" w:initials="HD">
    <w:p w14:paraId="06AE3706" w14:textId="77777777" w:rsidR="008203AF" w:rsidRDefault="008203AF">
      <w:pPr>
        <w:pStyle w:val="Kommentartext"/>
      </w:pPr>
      <w:r>
        <w:rPr>
          <w:rStyle w:val="Kommentarzeichen"/>
        </w:rPr>
        <w:annotationRef/>
      </w:r>
      <w:r>
        <w:t>Hier ist ein Bruch – warum jetzt Europa? Was ist der Benefit für so einen „Rundumschlag“, wie auch in Kabisch et al. 2016, Wolff et al., 2019 … die bringen ja sehr gute Argumente.</w:t>
      </w:r>
    </w:p>
    <w:p w14:paraId="356C7857" w14:textId="731646B9" w:rsidR="008203AF" w:rsidRDefault="008203AF">
      <w:pPr>
        <w:pStyle w:val="Kommentartext"/>
      </w:pPr>
      <w:r>
        <w:t xml:space="preserve">Aber </w:t>
      </w:r>
      <w:r w:rsidR="00964747">
        <w:t xml:space="preserve">das kann den Bruch hier „kitten“ </w:t>
      </w:r>
      <w:r w:rsidR="009647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9" w:author="Wolff, Manuel" w:date="2022-06-27T13:00:00Z" w:initials="WM">
    <w:p w14:paraId="5EE2D78D" w14:textId="18A0B74E" w:rsidR="009B5624" w:rsidRDefault="009B5624">
      <w:pPr>
        <w:pStyle w:val="Kommentartext"/>
      </w:pPr>
      <w:r>
        <w:rPr>
          <w:rStyle w:val="Kommentarzeichen"/>
        </w:rPr>
        <w:annotationRef/>
      </w:r>
      <w:r>
        <w:t xml:space="preserve">Ich überleg ob es </w:t>
      </w:r>
      <w:proofErr w:type="spellStart"/>
      <w:r>
        <w:t>sinn</w:t>
      </w:r>
      <w:proofErr w:type="spellEnd"/>
      <w:r>
        <w:t xml:space="preserve"> macht die </w:t>
      </w:r>
      <w:proofErr w:type="spellStart"/>
      <w:r>
        <w:t>objectives</w:t>
      </w:r>
      <w:proofErr w:type="spellEnd"/>
      <w:r>
        <w:t xml:space="preserve"> am </w:t>
      </w:r>
      <w:proofErr w:type="spellStart"/>
      <w:r>
        <w:t>ende</w:t>
      </w:r>
      <w:proofErr w:type="spellEnd"/>
      <w:r>
        <w:t xml:space="preserve"> zu </w:t>
      </w:r>
      <w:proofErr w:type="spellStart"/>
      <w:r>
        <w:t>birngen</w:t>
      </w:r>
      <w:proofErr w:type="spellEnd"/>
      <w:r>
        <w:t xml:space="preserve"> bzw. die </w:t>
      </w:r>
      <w:proofErr w:type="spellStart"/>
      <w:r>
        <w:t>conceptualisierung</w:t>
      </w:r>
      <w:proofErr w:type="spellEnd"/>
      <w:r>
        <w:t xml:space="preserve"> vor die </w:t>
      </w:r>
      <w:proofErr w:type="spellStart"/>
      <w:r>
        <w:t>obj</w:t>
      </w:r>
      <w:proofErr w:type="spellEnd"/>
      <w:r>
        <w:t xml:space="preserve"> zu ziehen</w:t>
      </w:r>
    </w:p>
  </w:comment>
  <w:comment w:id="28" w:author="Wolff, Manuel" w:date="2022-06-17T11:34:00Z" w:initials="WM">
    <w:p w14:paraId="6320ADB6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Je nachdem welches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journal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wandert dies entweder in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oder ist ein extra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kapitel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nach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</w:p>
    <w:p w14:paraId="77B4F9DA" w14:textId="77777777" w:rsidR="00CD6026" w:rsidRDefault="00CD6026"/>
    <w:p w14:paraId="74E21F1F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Im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moment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würde ich fasst sagen, dass du mit dem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material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entweder ein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2 machst, oder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2 sub-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teilst</w:t>
      </w:r>
    </w:p>
  </w:comment>
  <w:comment w:id="30" w:author="Wolff, Manuel" w:date="2022-06-17T10:45:00Z" w:initials="WM">
    <w:p w14:paraId="64BE02A2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An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stelle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SPA &amp; SBA hinleiten, davon dann zu SCA</w:t>
      </w:r>
    </w:p>
  </w:comment>
  <w:comment w:id="33" w:author="Wolff, Manuel" w:date="2022-06-17T10:46:00Z" w:initials="WM">
    <w:p w14:paraId="18F91520" w14:textId="77777777" w:rsidR="00BE0676" w:rsidRDefault="00BE0676" w:rsidP="00BE0676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auch nochmal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neurere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suchen (wenig)</w:t>
      </w:r>
    </w:p>
  </w:comment>
  <w:comment w:id="31" w:author="Haase, Dagmar" w:date="2022-06-27T15:29:00Z" w:initials="HD">
    <w:p w14:paraId="4A03B5B2" w14:textId="4DC5B191" w:rsidR="00964747" w:rsidRDefault="00964747">
      <w:pPr>
        <w:pStyle w:val="Kommentartext"/>
      </w:pPr>
      <w:r>
        <w:rPr>
          <w:rStyle w:val="Kommentarzeichen"/>
        </w:rPr>
        <w:annotationRef/>
      </w:r>
      <w:r>
        <w:t xml:space="preserve">Hier immer damit beginnen, dass die ganzen </w:t>
      </w:r>
      <w:proofErr w:type="spellStart"/>
      <w:r>
        <w:t>supply</w:t>
      </w:r>
      <w:proofErr w:type="spellEnd"/>
      <w:r>
        <w:t>-</w:t>
      </w:r>
      <w:proofErr w:type="spellStart"/>
      <w:r>
        <w:t>demand</w:t>
      </w:r>
      <w:proofErr w:type="spellEnd"/>
      <w:r>
        <w:t>-Ansätze immer von einer nahen Bev ausgehen, die ja nie der Realität entspricht… also eher vom Potenzial sprechen, nicht von (real) Demand.</w:t>
      </w:r>
    </w:p>
  </w:comment>
  <w:comment w:id="37" w:author="Wolff, Manuel" w:date="2022-06-17T10:47:00Z" w:initials="WM">
    <w:p w14:paraId="4F9668F7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nochmal klar den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link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SCA herstellen</w:t>
      </w:r>
    </w:p>
  </w:comment>
  <w:comment w:id="34" w:author="Labohm, Benjamin" w:date="2022-06-22T14:57:00Z" w:initials="LB">
    <w:p w14:paraId="08000500" w14:textId="6A76A3C0" w:rsidR="00D04695" w:rsidRDefault="00D04695">
      <w:pPr>
        <w:pStyle w:val="Kommentartext"/>
      </w:pPr>
      <w:r>
        <w:rPr>
          <w:rStyle w:val="Kommentarzeichen"/>
        </w:rPr>
        <w:annotationRef/>
      </w:r>
      <w:r>
        <w:t>Hm irgendwie krieg ich hier noch nicht so richtig den Link zum Absatz davor hin …</w:t>
      </w:r>
    </w:p>
  </w:comment>
  <w:comment w:id="35" w:author="Wolff, Manuel" w:date="2022-06-27T12:57:00Z" w:initials="WM">
    <w:p w14:paraId="35725BB4" w14:textId="1F6A6603" w:rsidR="00D77DE7" w:rsidRDefault="00D77DE7">
      <w:pPr>
        <w:pStyle w:val="Kommentartext"/>
      </w:pPr>
      <w:r>
        <w:rPr>
          <w:rStyle w:val="Kommentarzeichen"/>
        </w:rPr>
        <w:annotationRef/>
      </w:r>
      <w:r w:rsidRPr="00933D1D">
        <w:rPr>
          <w:lang w:val="en-US"/>
        </w:rPr>
        <w:t xml:space="preserve">Du </w:t>
      </w:r>
      <w:proofErr w:type="spellStart"/>
      <w:r w:rsidRPr="00933D1D">
        <w:rPr>
          <w:lang w:val="en-US"/>
        </w:rPr>
        <w:t>könntest</w:t>
      </w:r>
      <w:proofErr w:type="spellEnd"/>
      <w:r w:rsidRPr="00933D1D">
        <w:rPr>
          <w:lang w:val="en-US"/>
        </w:rPr>
        <w:t xml:space="preserve"> </w:t>
      </w:r>
      <w:proofErr w:type="spellStart"/>
      <w:r w:rsidRPr="00933D1D">
        <w:rPr>
          <w:lang w:val="en-US"/>
        </w:rPr>
        <w:t>einfach</w:t>
      </w:r>
      <w:proofErr w:type="spellEnd"/>
      <w:r w:rsidRPr="00933D1D">
        <w:rPr>
          <w:lang w:val="en-US"/>
        </w:rPr>
        <w:t xml:space="preserve"> </w:t>
      </w:r>
      <w:proofErr w:type="spellStart"/>
      <w:r w:rsidRPr="00933D1D">
        <w:rPr>
          <w:lang w:val="en-US"/>
        </w:rPr>
        <w:t>mit</w:t>
      </w:r>
      <w:proofErr w:type="spellEnd"/>
      <w:r w:rsidRPr="00933D1D">
        <w:rPr>
          <w:lang w:val="en-US"/>
        </w:rPr>
        <w:t xml:space="preserve"> dem </w:t>
      </w:r>
      <w:proofErr w:type="spellStart"/>
      <w:r w:rsidRPr="00933D1D">
        <w:rPr>
          <w:lang w:val="en-US"/>
        </w:rPr>
        <w:t>prximity</w:t>
      </w:r>
      <w:proofErr w:type="spellEnd"/>
      <w:r w:rsidRPr="00933D1D">
        <w:rPr>
          <w:lang w:val="en-US"/>
        </w:rPr>
        <w:t xml:space="preserve"> ansatz </w:t>
      </w:r>
      <w:proofErr w:type="spellStart"/>
      <w:r w:rsidRPr="00933D1D">
        <w:rPr>
          <w:lang w:val="en-US"/>
        </w:rPr>
        <w:t>starte</w:t>
      </w:r>
      <w:proofErr w:type="spellEnd"/>
      <w:r w:rsidRPr="00933D1D">
        <w:rPr>
          <w:lang w:val="en-US"/>
        </w:rPr>
        <w:t xml:space="preserve"> </w:t>
      </w:r>
      <w:proofErr w:type="spellStart"/>
      <w:r w:rsidRPr="00933D1D">
        <w:rPr>
          <w:lang w:val="en-US"/>
        </w:rPr>
        <w:t>i.S.v.</w:t>
      </w:r>
      <w:proofErr w:type="spellEnd"/>
      <w:r w:rsidRPr="00933D1D">
        <w:rPr>
          <w:lang w:val="en-US"/>
        </w:rPr>
        <w:t xml:space="preserve"> die SCA for recreational Ecosystem services can be modelled through a proximity perspective… </w:t>
      </w:r>
      <w:r>
        <w:t xml:space="preserve">Dann diese erklären. Dann noch kurz </w:t>
      </w:r>
      <w:proofErr w:type="gramStart"/>
      <w:r>
        <w:t>ergänzen</w:t>
      </w:r>
      <w:proofErr w:type="gramEnd"/>
      <w:r>
        <w:t xml:space="preserve"> </w:t>
      </w:r>
      <w:proofErr w:type="spellStart"/>
      <w:r>
        <w:t>dass</w:t>
      </w:r>
      <w:proofErr w:type="spellEnd"/>
      <w:r>
        <w:t xml:space="preserve"> sonst ja sehr oft die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verwendet wird (kurz erklären was das </w:t>
      </w:r>
      <w:proofErr w:type="spellStart"/>
      <w:r>
        <w:t>is</w:t>
      </w:r>
      <w:proofErr w:type="spellEnd"/>
      <w:r>
        <w:t xml:space="preserve">) und seltener die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(kurz erklären was das </w:t>
      </w:r>
      <w:proofErr w:type="spellStart"/>
      <w:r>
        <w:t>is</w:t>
      </w:r>
      <w:proofErr w:type="spellEnd"/>
      <w:r>
        <w:t>)</w:t>
      </w:r>
    </w:p>
  </w:comment>
  <w:comment w:id="36" w:author="Haase, Dagmar" w:date="2022-06-27T15:29:00Z" w:initials="HD">
    <w:p w14:paraId="60391F86" w14:textId="1AB5C2ED" w:rsidR="00964747" w:rsidRDefault="00964747">
      <w:pPr>
        <w:pStyle w:val="Kommentartext"/>
      </w:pPr>
      <w:r>
        <w:rPr>
          <w:rStyle w:val="Kommentarzeichen"/>
        </w:rPr>
        <w:annotationRef/>
      </w:r>
      <w:r>
        <w:t>Ja, unbedingt!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78EA0" w15:done="1"/>
  <w15:commentEx w15:paraId="1EC76BFD" w15:done="1"/>
  <w15:commentEx w15:paraId="0655CC6E" w15:done="0"/>
  <w15:commentEx w15:paraId="4050D539" w15:done="0"/>
  <w15:commentEx w15:paraId="28C0F0CB" w15:done="0"/>
  <w15:commentEx w15:paraId="2B386368" w15:paraIdParent="28C0F0CB" w15:done="0"/>
  <w15:commentEx w15:paraId="3E68CCC0" w15:done="0"/>
  <w15:commentEx w15:paraId="3BB32860" w15:done="1"/>
  <w15:commentEx w15:paraId="79C47106" w15:done="0"/>
  <w15:commentEx w15:paraId="356C7857" w15:done="0"/>
  <w15:commentEx w15:paraId="5EE2D78D" w15:done="0"/>
  <w15:commentEx w15:paraId="74E21F1F" w15:done="1"/>
  <w15:commentEx w15:paraId="64BE02A2" w15:done="1"/>
  <w15:commentEx w15:paraId="18F91520" w15:done="1"/>
  <w15:commentEx w15:paraId="4A03B5B2" w15:done="0"/>
  <w15:commentEx w15:paraId="4F9668F7" w15:done="1"/>
  <w15:commentEx w15:paraId="08000500" w15:done="0"/>
  <w15:commentEx w15:paraId="35725BB4" w15:paraIdParent="08000500" w15:done="0"/>
  <w15:commentEx w15:paraId="60391F86" w15:paraIdParent="080005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78EA0" w16cid:durableId="265C28B0"/>
  <w16cid:commentId w16cid:paraId="1EC76BFD" w16cid:durableId="265C28B1"/>
  <w16cid:commentId w16cid:paraId="0655CC6E" w16cid:durableId="2664493D"/>
  <w16cid:commentId w16cid:paraId="4050D539" w16cid:durableId="266448CB"/>
  <w16cid:commentId w16cid:paraId="28C0F0CB" w16cid:durableId="26644893"/>
  <w16cid:commentId w16cid:paraId="2B386368" w16cid:durableId="2664495F"/>
  <w16cid:commentId w16cid:paraId="3E68CCC0" w16cid:durableId="266449D2"/>
  <w16cid:commentId w16cid:paraId="3BB32860" w16cid:durableId="265C28B7"/>
  <w16cid:commentId w16cid:paraId="79C47106" w16cid:durableId="26644A6E"/>
  <w16cid:commentId w16cid:paraId="356C7857" w16cid:durableId="26644AE2"/>
  <w16cid:commentId w16cid:paraId="5EE2D78D" w16cid:durableId="26644895"/>
  <w16cid:commentId w16cid:paraId="74E21F1F" w16cid:durableId="265C28B8"/>
  <w16cid:commentId w16cid:paraId="64BE02A2" w16cid:durableId="265C28B9"/>
  <w16cid:commentId w16cid:paraId="18F91520" w16cid:durableId="265C28BB"/>
  <w16cid:commentId w16cid:paraId="4A03B5B2" w16cid:durableId="26644B76"/>
  <w16cid:commentId w16cid:paraId="4F9668F7" w16cid:durableId="265C28BC"/>
  <w16cid:commentId w16cid:paraId="08000500" w16cid:durableId="265DAC44"/>
  <w16cid:commentId w16cid:paraId="35725BB4" w16cid:durableId="2664489B"/>
  <w16cid:commentId w16cid:paraId="60391F86" w16cid:durableId="26644B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  <w:sig w:usb0="00000001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9A6"/>
    <w:multiLevelType w:val="multilevel"/>
    <w:tmpl w:val="E0969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5E04D5"/>
    <w:multiLevelType w:val="hybridMultilevel"/>
    <w:tmpl w:val="195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5619"/>
    <w:multiLevelType w:val="multilevel"/>
    <w:tmpl w:val="8390D1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F990070"/>
    <w:multiLevelType w:val="multilevel"/>
    <w:tmpl w:val="EB3E5AD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D921F6"/>
    <w:multiLevelType w:val="multilevel"/>
    <w:tmpl w:val="14B4AC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D7F3A69"/>
    <w:multiLevelType w:val="hybridMultilevel"/>
    <w:tmpl w:val="0602BB5C"/>
    <w:lvl w:ilvl="0" w:tplc="ACB6547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lff, Manuel">
    <w15:presenceInfo w15:providerId="None" w15:userId="Wolff, Manuel"/>
  </w15:person>
  <w15:person w15:author="Haase, Dagmar">
    <w15:presenceInfo w15:providerId="AD" w15:userId="S-1-5-21-1211764267-923927167-718351127-5136"/>
  </w15:person>
  <w15:person w15:author="Labohm, Benjamin">
    <w15:presenceInfo w15:providerId="AD" w15:userId="S-1-5-21-1211764267-923927167-718351127-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26"/>
    <w:rsid w:val="000011AB"/>
    <w:rsid w:val="00021CEB"/>
    <w:rsid w:val="0003575D"/>
    <w:rsid w:val="00066E6E"/>
    <w:rsid w:val="00081E2E"/>
    <w:rsid w:val="00082FD2"/>
    <w:rsid w:val="000D22A9"/>
    <w:rsid w:val="000D6301"/>
    <w:rsid w:val="000E1CB0"/>
    <w:rsid w:val="000E3DF8"/>
    <w:rsid w:val="000F16DF"/>
    <w:rsid w:val="00126622"/>
    <w:rsid w:val="001539B5"/>
    <w:rsid w:val="00170E93"/>
    <w:rsid w:val="001745F9"/>
    <w:rsid w:val="00182018"/>
    <w:rsid w:val="001878CA"/>
    <w:rsid w:val="001A0A3E"/>
    <w:rsid w:val="001F0554"/>
    <w:rsid w:val="001F7568"/>
    <w:rsid w:val="00235B84"/>
    <w:rsid w:val="00237E78"/>
    <w:rsid w:val="00291DF1"/>
    <w:rsid w:val="002C2041"/>
    <w:rsid w:val="002C4822"/>
    <w:rsid w:val="002E3F65"/>
    <w:rsid w:val="00301E18"/>
    <w:rsid w:val="003179AD"/>
    <w:rsid w:val="00341D06"/>
    <w:rsid w:val="003605BE"/>
    <w:rsid w:val="00364FDA"/>
    <w:rsid w:val="00366E9D"/>
    <w:rsid w:val="003777C6"/>
    <w:rsid w:val="003D27E0"/>
    <w:rsid w:val="003D2DCB"/>
    <w:rsid w:val="003E60D2"/>
    <w:rsid w:val="003F1587"/>
    <w:rsid w:val="00407137"/>
    <w:rsid w:val="00407EC3"/>
    <w:rsid w:val="0043328A"/>
    <w:rsid w:val="00437426"/>
    <w:rsid w:val="00455989"/>
    <w:rsid w:val="004653D2"/>
    <w:rsid w:val="0046550B"/>
    <w:rsid w:val="004658BC"/>
    <w:rsid w:val="0049068F"/>
    <w:rsid w:val="004A4E6D"/>
    <w:rsid w:val="004B36C2"/>
    <w:rsid w:val="004D043A"/>
    <w:rsid w:val="0056510B"/>
    <w:rsid w:val="00590E67"/>
    <w:rsid w:val="005B2D1E"/>
    <w:rsid w:val="005B412D"/>
    <w:rsid w:val="005B437D"/>
    <w:rsid w:val="006147DE"/>
    <w:rsid w:val="00623251"/>
    <w:rsid w:val="00633D7F"/>
    <w:rsid w:val="006461B6"/>
    <w:rsid w:val="006551EA"/>
    <w:rsid w:val="006637F3"/>
    <w:rsid w:val="00665978"/>
    <w:rsid w:val="00696FC6"/>
    <w:rsid w:val="006A2689"/>
    <w:rsid w:val="006C5E7C"/>
    <w:rsid w:val="006F2124"/>
    <w:rsid w:val="007026E4"/>
    <w:rsid w:val="00714F78"/>
    <w:rsid w:val="00734F4F"/>
    <w:rsid w:val="00741C31"/>
    <w:rsid w:val="00767DC6"/>
    <w:rsid w:val="0078339D"/>
    <w:rsid w:val="007C1BA4"/>
    <w:rsid w:val="007C6B32"/>
    <w:rsid w:val="007E5610"/>
    <w:rsid w:val="008203AF"/>
    <w:rsid w:val="00843305"/>
    <w:rsid w:val="00890573"/>
    <w:rsid w:val="008D2EC4"/>
    <w:rsid w:val="008E1619"/>
    <w:rsid w:val="00907BB8"/>
    <w:rsid w:val="00933D1D"/>
    <w:rsid w:val="00964747"/>
    <w:rsid w:val="00966D29"/>
    <w:rsid w:val="00972A37"/>
    <w:rsid w:val="0099772D"/>
    <w:rsid w:val="009A7120"/>
    <w:rsid w:val="009B2B57"/>
    <w:rsid w:val="009B453C"/>
    <w:rsid w:val="009B5624"/>
    <w:rsid w:val="009C22B7"/>
    <w:rsid w:val="009D2155"/>
    <w:rsid w:val="00A03B26"/>
    <w:rsid w:val="00A2776C"/>
    <w:rsid w:val="00A372CD"/>
    <w:rsid w:val="00A61E89"/>
    <w:rsid w:val="00A67F3D"/>
    <w:rsid w:val="00A70265"/>
    <w:rsid w:val="00A91938"/>
    <w:rsid w:val="00A95630"/>
    <w:rsid w:val="00AB4325"/>
    <w:rsid w:val="00AC0DA9"/>
    <w:rsid w:val="00AC17CE"/>
    <w:rsid w:val="00AD7454"/>
    <w:rsid w:val="00AE14AC"/>
    <w:rsid w:val="00AF3D7B"/>
    <w:rsid w:val="00AF7D2A"/>
    <w:rsid w:val="00B02CCD"/>
    <w:rsid w:val="00B14E2D"/>
    <w:rsid w:val="00B250F4"/>
    <w:rsid w:val="00B300A1"/>
    <w:rsid w:val="00B330F1"/>
    <w:rsid w:val="00B75DBF"/>
    <w:rsid w:val="00B80FAD"/>
    <w:rsid w:val="00B95A86"/>
    <w:rsid w:val="00B96BFA"/>
    <w:rsid w:val="00BA5386"/>
    <w:rsid w:val="00BC5DEA"/>
    <w:rsid w:val="00BE0676"/>
    <w:rsid w:val="00BE180D"/>
    <w:rsid w:val="00C02A7B"/>
    <w:rsid w:val="00C35184"/>
    <w:rsid w:val="00C35A44"/>
    <w:rsid w:val="00C6076C"/>
    <w:rsid w:val="00C8669E"/>
    <w:rsid w:val="00C877AA"/>
    <w:rsid w:val="00C9468C"/>
    <w:rsid w:val="00CA2C17"/>
    <w:rsid w:val="00CA4805"/>
    <w:rsid w:val="00CA56CD"/>
    <w:rsid w:val="00CB116A"/>
    <w:rsid w:val="00CD347B"/>
    <w:rsid w:val="00CD6026"/>
    <w:rsid w:val="00D04695"/>
    <w:rsid w:val="00D21CA8"/>
    <w:rsid w:val="00D223EA"/>
    <w:rsid w:val="00D41A1C"/>
    <w:rsid w:val="00D6629B"/>
    <w:rsid w:val="00D77DE7"/>
    <w:rsid w:val="00D93F7C"/>
    <w:rsid w:val="00DA3291"/>
    <w:rsid w:val="00DC12BE"/>
    <w:rsid w:val="00DE1673"/>
    <w:rsid w:val="00DE3CCD"/>
    <w:rsid w:val="00E037A6"/>
    <w:rsid w:val="00E142D3"/>
    <w:rsid w:val="00E441A5"/>
    <w:rsid w:val="00E45469"/>
    <w:rsid w:val="00E5309B"/>
    <w:rsid w:val="00E91BD9"/>
    <w:rsid w:val="00E91D79"/>
    <w:rsid w:val="00EB1345"/>
    <w:rsid w:val="00ED791D"/>
    <w:rsid w:val="00EE45EA"/>
    <w:rsid w:val="00EF192A"/>
    <w:rsid w:val="00F152E6"/>
    <w:rsid w:val="00F26A76"/>
    <w:rsid w:val="00F30A24"/>
    <w:rsid w:val="00F66828"/>
    <w:rsid w:val="00F760F4"/>
    <w:rsid w:val="00FA0CDD"/>
    <w:rsid w:val="00FB6DE1"/>
    <w:rsid w:val="00FC4FB3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0C03"/>
  <w15:docId w15:val="{15570B99-4BB9-414B-AF61-67E41A3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5A1D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325A1D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325A1D"/>
    <w:rPr>
      <w:rFonts w:ascii="Calibri" w:eastAsia="NSimSun" w:hAnsi="Calibri" w:cs="Mangal"/>
      <w:kern w:val="2"/>
      <w:sz w:val="20"/>
      <w:szCs w:val="18"/>
      <w:lang w:val="de-DE" w:eastAsia="zh-CN" w:bidi="hi-IN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325A1D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Nummerierungszeichen">
    <w:name w:val="Nummerierungszeichen"/>
    <w:qFormat/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F70A1A"/>
    <w:rPr>
      <w:rFonts w:ascii="Calibri" w:eastAsia="NSimSun" w:hAnsi="Calibri" w:cs="Mangal"/>
      <w:b/>
      <w:bCs/>
      <w:kern w:val="2"/>
      <w:sz w:val="20"/>
      <w:szCs w:val="18"/>
      <w:lang w:val="de-DE" w:eastAsia="zh-CN" w:bidi="hi-IN"/>
    </w:rPr>
  </w:style>
  <w:style w:type="character" w:customStyle="1" w:styleId="Zeilennummerierung">
    <w:name w:val="Zeilennummerierung"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325A1D"/>
    <w:rPr>
      <w:rFonts w:cs="Mangal"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325A1D"/>
    <w:rPr>
      <w:rFonts w:ascii="Segoe UI" w:hAnsi="Segoe UI" w:cs="Mangal"/>
      <w:sz w:val="18"/>
      <w:szCs w:val="16"/>
    </w:rPr>
  </w:style>
  <w:style w:type="paragraph" w:styleId="Listenabsatz">
    <w:name w:val="List Paragraph"/>
    <w:basedOn w:val="Standard"/>
    <w:uiPriority w:val="34"/>
    <w:qFormat/>
    <w:rsid w:val="00B37370"/>
    <w:pPr>
      <w:ind w:left="720"/>
      <w:contextualSpacing/>
    </w:pPr>
    <w:rPr>
      <w:rFonts w:cs="Mang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F70A1A"/>
    <w:rPr>
      <w:b/>
      <w:bCs/>
    </w:rPr>
  </w:style>
  <w:style w:type="paragraph" w:styleId="berarbeitung">
    <w:name w:val="Revision"/>
    <w:uiPriority w:val="99"/>
    <w:semiHidden/>
    <w:qFormat/>
    <w:rsid w:val="004F1029"/>
    <w:pPr>
      <w:suppressAutoHyphens w:val="0"/>
    </w:pPr>
    <w:rPr>
      <w:rFonts w:eastAsia="NSimSun" w:cs="Mangal"/>
      <w:kern w:val="2"/>
      <w:szCs w:val="24"/>
      <w:lang w:val="de-DE" w:eastAsia="zh-CN" w:bidi="hi-IN"/>
    </w:rPr>
  </w:style>
  <w:style w:type="character" w:styleId="Hyperlink">
    <w:name w:val="Hyperlink"/>
    <w:basedOn w:val="Absatz-Standardschriftart"/>
    <w:unhideWhenUsed/>
    <w:rsid w:val="00933D1D"/>
    <w:rPr>
      <w:rFonts w:ascii="Arial" w:hAnsi="Arial" w:cs="Arial"/>
      <w:color w:val="0563C1" w:themeColor="hyperlink"/>
      <w:u w:val="single"/>
    </w:rPr>
  </w:style>
  <w:style w:type="paragraph" w:customStyle="1" w:styleId="Textrechts">
    <w:name w:val="Textrechts"/>
    <w:basedOn w:val="Standard"/>
    <w:next w:val="Standard"/>
    <w:uiPriority w:val="5"/>
    <w:qFormat/>
    <w:rsid w:val="00933D1D"/>
    <w:pPr>
      <w:widowControl/>
      <w:suppressAutoHyphens w:val="0"/>
      <w:spacing w:line="288" w:lineRule="auto"/>
      <w:textAlignment w:val="auto"/>
    </w:pPr>
    <w:rPr>
      <w:rFonts w:ascii="Arial" w:eastAsiaTheme="minorHAnsi" w:hAnsi="Arial" w:cs="Arial"/>
      <w:color w:val="404040" w:themeColor="text1" w:themeTint="BF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ufug.2021.127058" TargetMode="External"/><Relationship Id="rId2" Type="http://schemas.openxmlformats.org/officeDocument/2006/relationships/hyperlink" Target="https://doi.org/10.1080/26395916.2021.1958062" TargetMode="External"/><Relationship Id="rId1" Type="http://schemas.openxmlformats.org/officeDocument/2006/relationships/hyperlink" Target="https://doi.org/10.1038/s42949-021-00018-w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1310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Haase, Dagmar</cp:lastModifiedBy>
  <cp:revision>133</cp:revision>
  <dcterms:created xsi:type="dcterms:W3CDTF">2022-06-21T09:27:00Z</dcterms:created>
  <dcterms:modified xsi:type="dcterms:W3CDTF">2022-06-27T13:31:00Z</dcterms:modified>
  <dc:language>de-DE</dc:language>
</cp:coreProperties>
</file>