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6FD29" w14:textId="77777777" w:rsidR="00325A1D" w:rsidRPr="00143FD3" w:rsidRDefault="00325A1D" w:rsidP="00325A1D">
      <w:pPr>
        <w:rPr>
          <w:b/>
          <w:bCs/>
          <w:szCs w:val="22"/>
          <w:lang w:val="en-US"/>
        </w:rPr>
      </w:pPr>
      <w:r w:rsidRPr="00143FD3">
        <w:rPr>
          <w:b/>
          <w:bCs/>
          <w:szCs w:val="22"/>
          <w:lang w:val="en-US"/>
        </w:rPr>
        <w:t>Introduction</w:t>
      </w:r>
    </w:p>
    <w:p w14:paraId="3F3AED94" w14:textId="77777777" w:rsidR="00325A1D" w:rsidRPr="00143FD3" w:rsidRDefault="00325A1D" w:rsidP="00325A1D">
      <w:pPr>
        <w:widowControl/>
        <w:suppressAutoHyphens w:val="0"/>
        <w:rPr>
          <w:szCs w:val="22"/>
          <w:lang w:val="en-US"/>
        </w:rPr>
      </w:pPr>
    </w:p>
    <w:p w14:paraId="52B91EE1" w14:textId="77777777" w:rsidR="00325A1D" w:rsidRPr="00143FD3" w:rsidRDefault="00325A1D" w:rsidP="00325A1D">
      <w:pPr>
        <w:numPr>
          <w:ilvl w:val="0"/>
          <w:numId w:val="1"/>
        </w:numPr>
        <w:rPr>
          <w:szCs w:val="22"/>
          <w:lang w:val="en-US"/>
        </w:rPr>
      </w:pPr>
      <w:r w:rsidRPr="00143FD3">
        <w:rPr>
          <w:szCs w:val="22"/>
          <w:lang w:val="en-US"/>
        </w:rPr>
        <w:t>What is the scope of the problem?</w:t>
      </w:r>
    </w:p>
    <w:p w14:paraId="22E28EF5" w14:textId="5676A6D9" w:rsidR="00325A1D" w:rsidRPr="00143FD3" w:rsidRDefault="00325A1D" w:rsidP="00325A1D">
      <w:pPr>
        <w:widowControl/>
        <w:numPr>
          <w:ilvl w:val="1"/>
          <w:numId w:val="1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Improving the modeling of the walkable environment / service connecting</w:t>
      </w:r>
      <w:r w:rsidR="003B1C5E" w:rsidRPr="00143FD3">
        <w:rPr>
          <w:szCs w:val="22"/>
          <w:lang w:val="en-US"/>
        </w:rPr>
        <w:t xml:space="preserve"> area</w:t>
      </w:r>
      <w:r w:rsidRPr="00143FD3">
        <w:rPr>
          <w:szCs w:val="22"/>
          <w:lang w:val="en-US"/>
        </w:rPr>
        <w:t xml:space="preserve"> for urban green </w:t>
      </w:r>
      <w:r w:rsidR="003B1C5E" w:rsidRPr="00143FD3">
        <w:rPr>
          <w:szCs w:val="22"/>
          <w:lang w:val="en-US"/>
        </w:rPr>
        <w:t>spaces (UGS)</w:t>
      </w:r>
      <w:r w:rsidRPr="00143FD3">
        <w:rPr>
          <w:szCs w:val="22"/>
          <w:lang w:val="en-US"/>
        </w:rPr>
        <w:t xml:space="preserve"> in European cities based on a proximity approach</w:t>
      </w:r>
    </w:p>
    <w:p w14:paraId="68931216" w14:textId="77777777" w:rsidR="00325A1D" w:rsidRPr="00143FD3" w:rsidRDefault="00325A1D" w:rsidP="00325A1D">
      <w:pPr>
        <w:widowControl/>
        <w:numPr>
          <w:ilvl w:val="1"/>
          <w:numId w:val="1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Provide solutions for easy-to-handle / understandable indicators based on publicly available data and software</w:t>
      </w:r>
    </w:p>
    <w:p w14:paraId="6D29C1F6" w14:textId="7CF628B0" w:rsidR="00325A1D" w:rsidRPr="00143FD3" w:rsidRDefault="00325A1D" w:rsidP="00325A1D">
      <w:pPr>
        <w:widowControl/>
        <w:numPr>
          <w:ilvl w:val="1"/>
          <w:numId w:val="1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 xml:space="preserve">Develop an approach to combine </w:t>
      </w:r>
      <w:r w:rsidR="003B1C5E" w:rsidRPr="00143FD3">
        <w:rPr>
          <w:szCs w:val="22"/>
          <w:lang w:val="en-US"/>
        </w:rPr>
        <w:t>high-resolution</w:t>
      </w:r>
      <w:r w:rsidRPr="00143FD3">
        <w:rPr>
          <w:szCs w:val="22"/>
          <w:lang w:val="en-US"/>
        </w:rPr>
        <w:t xml:space="preserve"> data with </w:t>
      </w:r>
      <w:r w:rsidR="003B1C5E" w:rsidRPr="00143FD3">
        <w:rPr>
          <w:szCs w:val="22"/>
          <w:lang w:val="en-US"/>
        </w:rPr>
        <w:t>a</w:t>
      </w:r>
      <w:r w:rsidRPr="00143FD3">
        <w:rPr>
          <w:szCs w:val="22"/>
          <w:lang w:val="en-US"/>
        </w:rPr>
        <w:t xml:space="preserve"> comparative approach</w:t>
      </w:r>
    </w:p>
    <w:p w14:paraId="7602F0C0" w14:textId="77777777" w:rsidR="00325A1D" w:rsidRPr="00143FD3" w:rsidRDefault="00325A1D" w:rsidP="00325A1D">
      <w:pPr>
        <w:widowControl/>
        <w:suppressAutoHyphens w:val="0"/>
        <w:rPr>
          <w:szCs w:val="22"/>
          <w:lang w:val="en-US"/>
        </w:rPr>
      </w:pPr>
    </w:p>
    <w:p w14:paraId="69DAF5A6" w14:textId="518B57A7" w:rsidR="00325A1D" w:rsidRDefault="00325A1D" w:rsidP="00325A1D">
      <w:pPr>
        <w:numPr>
          <w:ilvl w:val="0"/>
          <w:numId w:val="2"/>
        </w:numPr>
        <w:rPr>
          <w:szCs w:val="22"/>
          <w:lang w:val="en-US"/>
        </w:rPr>
      </w:pPr>
      <w:r w:rsidRPr="00143FD3">
        <w:rPr>
          <w:szCs w:val="22"/>
          <w:lang w:val="en-US"/>
        </w:rPr>
        <w:t>What do we know about the problem?</w:t>
      </w:r>
    </w:p>
    <w:p w14:paraId="69AE8C4A" w14:textId="22D05D1C" w:rsidR="00EC1B09" w:rsidRPr="00143FD3" w:rsidRDefault="00EC1B09" w:rsidP="00EC1B09">
      <w:pPr>
        <w:rPr>
          <w:szCs w:val="22"/>
          <w:lang w:val="en-US"/>
        </w:rPr>
      </w:pPr>
      <w:r>
        <w:rPr>
          <w:szCs w:val="22"/>
          <w:lang w:val="en-US"/>
        </w:rPr>
        <w:t>ES = Important</w:t>
      </w:r>
    </w:p>
    <w:p w14:paraId="57CEE148" w14:textId="4E5A1110" w:rsidR="0082276D" w:rsidRPr="0082276D" w:rsidRDefault="00E03642" w:rsidP="0082276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Ecosystems supply</w:t>
      </w:r>
      <w:r w:rsidR="00C81DA7" w:rsidRPr="00143FD3">
        <w:rPr>
          <w:szCs w:val="22"/>
          <w:lang w:val="en-US"/>
        </w:rPr>
        <w:t xml:space="preserve"> </w:t>
      </w:r>
      <w:r w:rsidRPr="00143FD3">
        <w:rPr>
          <w:szCs w:val="22"/>
          <w:lang w:val="en-US"/>
        </w:rPr>
        <w:t xml:space="preserve">ecosystem services (ES) </w:t>
      </w:r>
      <w:r w:rsidR="00C81DA7" w:rsidRPr="00143FD3">
        <w:rPr>
          <w:szCs w:val="22"/>
          <w:lang w:val="en-US"/>
        </w:rPr>
        <w:t xml:space="preserve">which are </w:t>
      </w:r>
      <w:r w:rsidRPr="00143FD3">
        <w:rPr>
          <w:szCs w:val="22"/>
          <w:lang w:val="en-US"/>
        </w:rPr>
        <w:t xml:space="preserve">critical to human wellbeing </w:t>
      </w:r>
      <w:r w:rsidR="00932704" w:rsidRPr="00143FD3">
        <w:rPr>
          <w:szCs w:val="22"/>
          <w:lang w:val="en-US"/>
        </w:rPr>
        <w:t>(Syrbe &amp; Grunewald, 2017).</w:t>
      </w:r>
      <w:r w:rsidRPr="00143FD3">
        <w:rPr>
          <w:szCs w:val="22"/>
          <w:lang w:val="en-US"/>
        </w:rPr>
        <w:t xml:space="preserve"> </w:t>
      </w:r>
    </w:p>
    <w:p w14:paraId="264A05C3" w14:textId="1716E81A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Living in proximity of urban green spaces (UGS) was found to have positive effects on mental health and physical activity</w:t>
      </w:r>
      <w:r w:rsidR="003416D1" w:rsidRPr="00143FD3">
        <w:rPr>
          <w:szCs w:val="22"/>
          <w:lang w:val="en-US"/>
        </w:rPr>
        <w:t xml:space="preserve"> as well as</w:t>
      </w:r>
      <w:r w:rsidRPr="00143FD3">
        <w:rPr>
          <w:szCs w:val="22"/>
          <w:lang w:val="en-US"/>
        </w:rPr>
        <w:t xml:space="preserve"> reduce mortality</w:t>
      </w:r>
      <w:r w:rsidR="00C87E62">
        <w:rPr>
          <w:szCs w:val="22"/>
          <w:lang w:val="en-US"/>
        </w:rPr>
        <w:t xml:space="preserve"> (</w:t>
      </w:r>
      <w:proofErr w:type="spellStart"/>
      <w:r w:rsidR="00C87E62">
        <w:rPr>
          <w:szCs w:val="22"/>
          <w:lang w:val="en-US"/>
        </w:rPr>
        <w:t>Kabisch</w:t>
      </w:r>
      <w:proofErr w:type="spellEnd"/>
      <w:r w:rsidR="00C87E62">
        <w:rPr>
          <w:szCs w:val="22"/>
          <w:lang w:val="en-US"/>
        </w:rPr>
        <w:t xml:space="preserve"> 2017?)</w:t>
      </w:r>
      <w:r w:rsidRPr="00143FD3">
        <w:rPr>
          <w:szCs w:val="22"/>
          <w:lang w:val="en-US"/>
        </w:rPr>
        <w:t>.</w:t>
      </w:r>
    </w:p>
    <w:p w14:paraId="00CBD273" w14:textId="2E90BB3D" w:rsidR="00325A1D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In the Sustainable Development Goal (SDG) 11, the United Nations have agreed to provide universal access to public green spaces by 2030.</w:t>
      </w:r>
    </w:p>
    <w:p w14:paraId="016BD241" w14:textId="0006A0D9" w:rsidR="00EC1B09" w:rsidRPr="00143FD3" w:rsidRDefault="00EC1B09" w:rsidP="00EC1B09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(Global) urban pop growing = relevance of ES in cities</w:t>
      </w:r>
    </w:p>
    <w:p w14:paraId="6D14F7A0" w14:textId="12FA9BCE" w:rsidR="00DA3967" w:rsidRPr="00E23D7C" w:rsidRDefault="00DA3967" w:rsidP="001F5459">
      <w:pPr>
        <w:numPr>
          <w:ilvl w:val="1"/>
          <w:numId w:val="2"/>
        </w:numPr>
        <w:rPr>
          <w:szCs w:val="22"/>
          <w:lang w:val="en-US"/>
        </w:rPr>
      </w:pPr>
      <w:r w:rsidRPr="00E23D7C">
        <w:rPr>
          <w:szCs w:val="22"/>
          <w:lang w:val="en-US"/>
        </w:rPr>
        <w:t>U</w:t>
      </w:r>
      <w:r w:rsidR="001F5459" w:rsidRPr="00E23D7C">
        <w:rPr>
          <w:szCs w:val="22"/>
          <w:lang w:val="en-US"/>
        </w:rPr>
        <w:t>rban population is growing worldwid</w:t>
      </w:r>
      <w:r w:rsidR="00EF1CB3" w:rsidRPr="00E23D7C">
        <w:rPr>
          <w:szCs w:val="22"/>
          <w:lang w:val="en-US"/>
        </w:rPr>
        <w:t>e</w:t>
      </w:r>
      <w:r w:rsidRPr="00E23D7C">
        <w:rPr>
          <w:szCs w:val="22"/>
          <w:lang w:val="en-US"/>
        </w:rPr>
        <w:t>.</w:t>
      </w:r>
      <w:r w:rsidR="00E23D7C" w:rsidRPr="00E23D7C">
        <w:rPr>
          <w:szCs w:val="22"/>
          <w:lang w:val="en-US"/>
        </w:rPr>
        <w:t xml:space="preserve"> </w:t>
      </w:r>
      <w:r w:rsidRPr="00E23D7C">
        <w:rPr>
          <w:szCs w:val="22"/>
          <w:lang w:val="en-US"/>
        </w:rPr>
        <w:t>55% of the global population were living in cities by 2018 and 68% are projected to do so in 2050 (UN, 2019).</w:t>
      </w:r>
    </w:p>
    <w:p w14:paraId="1ED05527" w14:textId="19334562" w:rsidR="00E23D7C" w:rsidRDefault="00E23D7C" w:rsidP="001F5459">
      <w:pPr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>In Europe, 74% of the population are living in cities (UN, 2019).</w:t>
      </w:r>
    </w:p>
    <w:p w14:paraId="5EF978A5" w14:textId="21C36D1A" w:rsidR="00EC1B09" w:rsidRDefault="00EC1B09" w:rsidP="00EC1B09">
      <w:pPr>
        <w:rPr>
          <w:szCs w:val="22"/>
          <w:lang w:val="en-US"/>
        </w:rPr>
      </w:pPr>
      <w:r>
        <w:rPr>
          <w:szCs w:val="22"/>
          <w:lang w:val="en-US"/>
        </w:rPr>
        <w:t xml:space="preserve">European challenges </w:t>
      </w:r>
      <w:r w:rsidR="00B552AB">
        <w:rPr>
          <w:szCs w:val="22"/>
          <w:lang w:val="en-US"/>
        </w:rPr>
        <w:t>=</w:t>
      </w:r>
      <w:r>
        <w:rPr>
          <w:szCs w:val="22"/>
          <w:lang w:val="en-US"/>
        </w:rPr>
        <w:t xml:space="preserve"> narrowing down</w:t>
      </w:r>
    </w:p>
    <w:p w14:paraId="021CE94E" w14:textId="704D6887" w:rsidR="00E23D7C" w:rsidRPr="00E23D7C" w:rsidRDefault="00E23D7C" w:rsidP="00E23D7C">
      <w:pPr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In Europe: </w:t>
      </w:r>
      <w:r w:rsidR="0048673A">
        <w:rPr>
          <w:szCs w:val="22"/>
          <w:lang w:val="en-US"/>
        </w:rPr>
        <w:t>G</w:t>
      </w:r>
      <w:r>
        <w:rPr>
          <w:szCs w:val="22"/>
          <w:lang w:val="en-US"/>
        </w:rPr>
        <w:t>rowing and shrinking cities (</w:t>
      </w:r>
      <w:proofErr w:type="spellStart"/>
      <w:r>
        <w:rPr>
          <w:szCs w:val="22"/>
          <w:lang w:val="en-US"/>
        </w:rPr>
        <w:t>Kabisch</w:t>
      </w:r>
      <w:proofErr w:type="spellEnd"/>
      <w:r>
        <w:rPr>
          <w:szCs w:val="22"/>
          <w:lang w:val="en-US"/>
        </w:rPr>
        <w:t xml:space="preserve">, </w:t>
      </w:r>
      <w:proofErr w:type="spellStart"/>
      <w:r>
        <w:rPr>
          <w:szCs w:val="22"/>
          <w:lang w:val="en-US"/>
        </w:rPr>
        <w:t>Haase</w:t>
      </w:r>
      <w:proofErr w:type="spellEnd"/>
      <w:r>
        <w:rPr>
          <w:szCs w:val="22"/>
          <w:lang w:val="en-US"/>
        </w:rPr>
        <w:t xml:space="preserve"> &amp; </w:t>
      </w:r>
      <w:proofErr w:type="spellStart"/>
      <w:r>
        <w:rPr>
          <w:szCs w:val="22"/>
          <w:lang w:val="en-US"/>
        </w:rPr>
        <w:t>Haase</w:t>
      </w:r>
      <w:proofErr w:type="spellEnd"/>
      <w:r>
        <w:rPr>
          <w:szCs w:val="22"/>
          <w:lang w:val="en-US"/>
        </w:rPr>
        <w:t xml:space="preserve"> 2012).</w:t>
      </w:r>
    </w:p>
    <w:p w14:paraId="08675043" w14:textId="155BD7AB" w:rsidR="007C1DE3" w:rsidRDefault="00E23D7C" w:rsidP="007C1DE3">
      <w:pPr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>V</w:t>
      </w:r>
      <w:r w:rsidR="00E76E22">
        <w:rPr>
          <w:szCs w:val="22"/>
          <w:lang w:val="en-US"/>
        </w:rPr>
        <w:t xml:space="preserve">arying </w:t>
      </w:r>
      <w:r w:rsidR="00B20EC6">
        <w:rPr>
          <w:szCs w:val="22"/>
          <w:lang w:val="en-US"/>
        </w:rPr>
        <w:t>challenges</w:t>
      </w:r>
      <w:r w:rsidR="00FA3805">
        <w:rPr>
          <w:szCs w:val="22"/>
          <w:lang w:val="en-US"/>
        </w:rPr>
        <w:t xml:space="preserve"> </w:t>
      </w:r>
      <w:r w:rsidR="002F192F">
        <w:rPr>
          <w:szCs w:val="22"/>
          <w:lang w:val="en-US"/>
        </w:rPr>
        <w:t>and</w:t>
      </w:r>
      <w:r w:rsidR="00FA3805">
        <w:rPr>
          <w:szCs w:val="22"/>
          <w:lang w:val="en-US"/>
        </w:rPr>
        <w:t xml:space="preserve"> opportunities</w:t>
      </w:r>
      <w:r w:rsidR="00E76E22">
        <w:rPr>
          <w:szCs w:val="22"/>
          <w:lang w:val="en-US"/>
        </w:rPr>
        <w:t xml:space="preserve"> for the </w:t>
      </w:r>
      <w:r w:rsidR="0048673A">
        <w:rPr>
          <w:szCs w:val="22"/>
          <w:lang w:val="en-US"/>
        </w:rPr>
        <w:t>development</w:t>
      </w:r>
      <w:r w:rsidR="00E76E22">
        <w:rPr>
          <w:szCs w:val="22"/>
          <w:lang w:val="en-US"/>
        </w:rPr>
        <w:t xml:space="preserve"> of green spaces (</w:t>
      </w:r>
      <w:proofErr w:type="spellStart"/>
      <w:r w:rsidR="00FA3805">
        <w:rPr>
          <w:szCs w:val="22"/>
          <w:lang w:val="en-US"/>
        </w:rPr>
        <w:t>Kabisch</w:t>
      </w:r>
      <w:proofErr w:type="spellEnd"/>
      <w:r w:rsidR="00FA3805">
        <w:rPr>
          <w:szCs w:val="22"/>
          <w:lang w:val="en-US"/>
        </w:rPr>
        <w:t xml:space="preserve">, </w:t>
      </w:r>
      <w:proofErr w:type="spellStart"/>
      <w:r w:rsidR="00FA3805">
        <w:rPr>
          <w:szCs w:val="22"/>
          <w:lang w:val="en-US"/>
        </w:rPr>
        <w:t>Haase</w:t>
      </w:r>
      <w:proofErr w:type="spellEnd"/>
      <w:r w:rsidR="00FA3805">
        <w:rPr>
          <w:szCs w:val="22"/>
          <w:lang w:val="en-US"/>
        </w:rPr>
        <w:t xml:space="preserve"> 2012).</w:t>
      </w:r>
    </w:p>
    <w:p w14:paraId="2A7F1011" w14:textId="60CBBFB0" w:rsidR="00B20EC6" w:rsidRDefault="00B20EC6" w:rsidP="00B20EC6">
      <w:pPr>
        <w:rPr>
          <w:szCs w:val="22"/>
          <w:lang w:val="en-US"/>
        </w:rPr>
      </w:pPr>
    </w:p>
    <w:p w14:paraId="0385A65F" w14:textId="111441F4" w:rsidR="004B6096" w:rsidRDefault="004B6096" w:rsidP="00B20EC6">
      <w:pPr>
        <w:rPr>
          <w:szCs w:val="22"/>
          <w:lang w:val="en-US"/>
        </w:rPr>
      </w:pPr>
      <w:r>
        <w:rPr>
          <w:szCs w:val="22"/>
          <w:lang w:val="en-US"/>
        </w:rPr>
        <w:t xml:space="preserve">State of the </w:t>
      </w:r>
      <w:r w:rsidR="00B552AB">
        <w:rPr>
          <w:szCs w:val="22"/>
          <w:lang w:val="en-US"/>
        </w:rPr>
        <w:t>a</w:t>
      </w:r>
      <w:r>
        <w:rPr>
          <w:szCs w:val="22"/>
          <w:lang w:val="en-US"/>
        </w:rPr>
        <w:t>rt</w:t>
      </w:r>
      <w:r w:rsidR="00B552AB">
        <w:rPr>
          <w:szCs w:val="22"/>
          <w:lang w:val="en-US"/>
        </w:rPr>
        <w:t xml:space="preserve"> </w:t>
      </w:r>
      <w:r w:rsidR="000B32AC">
        <w:rPr>
          <w:szCs w:val="22"/>
          <w:lang w:val="en-US"/>
        </w:rPr>
        <w:t xml:space="preserve">in </w:t>
      </w:r>
      <w:r w:rsidR="00B552AB">
        <w:rPr>
          <w:szCs w:val="22"/>
          <w:lang w:val="en-US"/>
        </w:rPr>
        <w:t>European comparison</w:t>
      </w:r>
      <w:r>
        <w:rPr>
          <w:szCs w:val="22"/>
          <w:lang w:val="en-US"/>
        </w:rPr>
        <w:t>:</w:t>
      </w:r>
    </w:p>
    <w:p w14:paraId="5132EDC7" w14:textId="243A5F13" w:rsidR="008842F6" w:rsidRPr="008842F6" w:rsidRDefault="008842F6" w:rsidP="00B20EC6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Accessibility and availability of UGS in Europe have been analyzed and compared in multiple studies e.g.:</w:t>
      </w:r>
    </w:p>
    <w:p w14:paraId="679812CC" w14:textId="77777777" w:rsidR="00B20EC6" w:rsidRDefault="00B20EC6" w:rsidP="00B20EC6">
      <w:pPr>
        <w:numPr>
          <w:ilvl w:val="1"/>
          <w:numId w:val="2"/>
        </w:numPr>
        <w:rPr>
          <w:szCs w:val="22"/>
          <w:lang w:val="en-US"/>
        </w:rPr>
      </w:pPr>
      <w:proofErr w:type="spellStart"/>
      <w:r w:rsidRPr="007C1DE3">
        <w:rPr>
          <w:szCs w:val="22"/>
          <w:shd w:val="clear" w:color="auto" w:fill="00A933"/>
          <w:lang w:val="en-US"/>
        </w:rPr>
        <w:t>Kabisch</w:t>
      </w:r>
      <w:proofErr w:type="spellEnd"/>
      <w:r w:rsidRPr="007C1DE3">
        <w:rPr>
          <w:szCs w:val="22"/>
          <w:shd w:val="clear" w:color="auto" w:fill="00A933"/>
          <w:lang w:val="en-US"/>
        </w:rPr>
        <w:t xml:space="preserve"> et al. 2016 green spaces Europe</w:t>
      </w:r>
    </w:p>
    <w:p w14:paraId="3EDFBAE7" w14:textId="77777777" w:rsidR="000406A5" w:rsidRPr="000406A5" w:rsidRDefault="00B20EC6" w:rsidP="00B20EC6">
      <w:pPr>
        <w:numPr>
          <w:ilvl w:val="1"/>
          <w:numId w:val="2"/>
        </w:numPr>
        <w:rPr>
          <w:szCs w:val="22"/>
          <w:lang w:val="en-US"/>
        </w:rPr>
      </w:pPr>
      <w:r w:rsidRPr="007C1DE3">
        <w:rPr>
          <w:szCs w:val="22"/>
          <w:shd w:val="clear" w:color="auto" w:fill="00A933"/>
          <w:lang w:val="en-US"/>
        </w:rPr>
        <w:t>JRC accessibility study</w:t>
      </w:r>
    </w:p>
    <w:p w14:paraId="501605E8" w14:textId="3784AD13" w:rsidR="00B20EC6" w:rsidRPr="0082276D" w:rsidRDefault="000406A5" w:rsidP="00B20EC6">
      <w:pPr>
        <w:numPr>
          <w:ilvl w:val="1"/>
          <w:numId w:val="2"/>
        </w:numPr>
        <w:rPr>
          <w:szCs w:val="22"/>
          <w:lang w:val="en-US"/>
        </w:rPr>
      </w:pPr>
      <w:r>
        <w:rPr>
          <w:szCs w:val="22"/>
          <w:lang w:val="en-US"/>
        </w:rPr>
        <w:t>…</w:t>
      </w:r>
      <w:r w:rsidR="00B20EC6" w:rsidRPr="00143FD3">
        <w:rPr>
          <w:rStyle w:val="CommentReference"/>
          <w:rFonts w:cs="Mangal"/>
          <w:sz w:val="22"/>
          <w:szCs w:val="22"/>
        </w:rPr>
        <w:commentReference w:id="0"/>
      </w:r>
    </w:p>
    <w:p w14:paraId="65453D67" w14:textId="77777777" w:rsidR="00B20EC6" w:rsidRDefault="00B20EC6" w:rsidP="00B20EC6">
      <w:pPr>
        <w:rPr>
          <w:szCs w:val="22"/>
          <w:lang w:val="en-US"/>
        </w:rPr>
      </w:pPr>
    </w:p>
    <w:p w14:paraId="4C991E4B" w14:textId="42C4835B" w:rsidR="00B20EC6" w:rsidRDefault="00B20EC6" w:rsidP="00B20EC6">
      <w:pPr>
        <w:rPr>
          <w:szCs w:val="22"/>
          <w:lang w:val="en-US"/>
        </w:rPr>
      </w:pPr>
      <w:r>
        <w:rPr>
          <w:szCs w:val="22"/>
          <w:lang w:val="en-US"/>
        </w:rPr>
        <w:t xml:space="preserve">Use intensity </w:t>
      </w:r>
      <w:r w:rsidR="00542ED3">
        <w:rPr>
          <w:szCs w:val="22"/>
          <w:lang w:val="en-US"/>
        </w:rPr>
        <w:t xml:space="preserve">= </w:t>
      </w:r>
    </w:p>
    <w:p w14:paraId="2798E36E" w14:textId="77777777" w:rsidR="0082276D" w:rsidRDefault="0082276D" w:rsidP="0082276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 xml:space="preserve">Use intensity can influence ES, creating a mismatch between supply and demand (Syrbe &amp; Grunewald, 2017). </w:t>
      </w:r>
    </w:p>
    <w:p w14:paraId="2F59BC3E" w14:textId="77777777" w:rsidR="0082276D" w:rsidRPr="0082276D" w:rsidRDefault="0082276D" w:rsidP="0082276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Compact city paradox: The more compact a city, the more people benefit from UGS, the higher the pressure on the ecological functions of the UGS</w:t>
      </w:r>
      <w:r>
        <w:rPr>
          <w:szCs w:val="22"/>
          <w:lang w:val="en-US"/>
        </w:rPr>
        <w:t xml:space="preserve"> (Quelle?).</w:t>
      </w:r>
    </w:p>
    <w:p w14:paraId="243CE92F" w14:textId="1DA685F0" w:rsidR="0082276D" w:rsidRDefault="0082276D" w:rsidP="00B20EC6">
      <w:pPr>
        <w:widowControl/>
        <w:suppressAutoHyphens w:val="0"/>
        <w:rPr>
          <w:szCs w:val="22"/>
          <w:lang w:val="en-US"/>
        </w:rPr>
      </w:pPr>
    </w:p>
    <w:p w14:paraId="186D0C13" w14:textId="6FF28D3E" w:rsidR="00B20EC6" w:rsidRDefault="003B33F6" w:rsidP="00B20EC6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SCA = modeling space between</w:t>
      </w:r>
      <w:r w:rsidR="002E19CF">
        <w:rPr>
          <w:szCs w:val="22"/>
          <w:lang w:val="en-US"/>
        </w:rPr>
        <w:t xml:space="preserve"> SPA and SBA important</w:t>
      </w:r>
    </w:p>
    <w:p w14:paraId="58C8543C" w14:textId="77777777" w:rsidR="0082276D" w:rsidRDefault="0082276D" w:rsidP="0082276D">
      <w:pPr>
        <w:pStyle w:val="ListParagraph"/>
        <w:widowControl/>
        <w:numPr>
          <w:ilvl w:val="0"/>
          <w:numId w:val="4"/>
        </w:numPr>
        <w:suppressAutoHyphens w:val="0"/>
        <w:rPr>
          <w:szCs w:val="22"/>
          <w:lang w:val="en-US"/>
        </w:rPr>
      </w:pPr>
      <w:r w:rsidRPr="00F25922">
        <w:rPr>
          <w:szCs w:val="22"/>
          <w:lang w:val="en-US"/>
        </w:rPr>
        <w:t>In their</w:t>
      </w:r>
      <w:r>
        <w:rPr>
          <w:szCs w:val="22"/>
          <w:lang w:val="en-US"/>
        </w:rPr>
        <w:t xml:space="preserve"> 2017</w:t>
      </w:r>
      <w:r w:rsidRPr="00F25922">
        <w:rPr>
          <w:szCs w:val="22"/>
          <w:lang w:val="en-US"/>
        </w:rPr>
        <w:t xml:space="preserve"> work, Syrbe and Grunewald make a case</w:t>
      </w:r>
      <w:r>
        <w:rPr>
          <w:szCs w:val="22"/>
          <w:lang w:val="en-US"/>
        </w:rPr>
        <w:t xml:space="preserve"> for not only assessing ES in consideration of their underlying ecosystem types.</w:t>
      </w:r>
    </w:p>
    <w:p w14:paraId="18547424" w14:textId="6964E286" w:rsidR="0082276D" w:rsidRDefault="0082276D" w:rsidP="0082276D">
      <w:pPr>
        <w:pStyle w:val="ListParagraph"/>
        <w:widowControl/>
        <w:numPr>
          <w:ilvl w:val="0"/>
          <w:numId w:val="4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They propose to</w:t>
      </w:r>
      <w:r w:rsidRPr="00F25922">
        <w:rPr>
          <w:szCs w:val="22"/>
          <w:lang w:val="en-US"/>
        </w:rPr>
        <w:t xml:space="preserve"> spatially distinguish the demand and supply side</w:t>
      </w:r>
      <w:r>
        <w:rPr>
          <w:szCs w:val="22"/>
          <w:lang w:val="en-US"/>
        </w:rPr>
        <w:t>s</w:t>
      </w:r>
      <w:r w:rsidRPr="00F25922">
        <w:rPr>
          <w:szCs w:val="22"/>
          <w:lang w:val="en-US"/>
        </w:rPr>
        <w:t xml:space="preserve"> of ES</w:t>
      </w:r>
      <w:r>
        <w:rPr>
          <w:szCs w:val="22"/>
          <w:lang w:val="en-US"/>
        </w:rPr>
        <w:t xml:space="preserve"> </w:t>
      </w:r>
      <w:r w:rsidR="000E444B">
        <w:rPr>
          <w:szCs w:val="22"/>
          <w:lang w:val="en-US"/>
        </w:rPr>
        <w:t>as well as</w:t>
      </w:r>
      <w:r>
        <w:rPr>
          <w:szCs w:val="22"/>
          <w:lang w:val="en-US"/>
        </w:rPr>
        <w:t xml:space="preserve"> the area that connects both sides</w:t>
      </w:r>
      <w:r w:rsidRPr="00F25922">
        <w:rPr>
          <w:szCs w:val="22"/>
          <w:lang w:val="en-US"/>
        </w:rPr>
        <w:t xml:space="preserve"> (Syrbe &amp; Grunewald 2017):</w:t>
      </w:r>
    </w:p>
    <w:p w14:paraId="7AF84398" w14:textId="7A2BF21E" w:rsidR="0082276D" w:rsidRPr="00F25922" w:rsidRDefault="0082276D" w:rsidP="0082276D">
      <w:pPr>
        <w:pStyle w:val="ListParagraph"/>
        <w:widowControl/>
        <w:numPr>
          <w:ilvl w:val="0"/>
          <w:numId w:val="4"/>
        </w:numPr>
        <w:suppressAutoHyphens w:val="0"/>
        <w:rPr>
          <w:szCs w:val="22"/>
          <w:lang w:val="en-US"/>
        </w:rPr>
      </w:pPr>
      <w:r w:rsidRPr="00F25922">
        <w:rPr>
          <w:szCs w:val="22"/>
          <w:lang w:val="en-US"/>
        </w:rPr>
        <w:t>Service providing areas (SPA)</w:t>
      </w:r>
      <w:r w:rsidR="003D2C47">
        <w:rPr>
          <w:szCs w:val="22"/>
          <w:lang w:val="en-US"/>
        </w:rPr>
        <w:t xml:space="preserve"> represent</w:t>
      </w:r>
      <w:r w:rsidRPr="00F25922">
        <w:rPr>
          <w:szCs w:val="22"/>
          <w:lang w:val="en-US"/>
        </w:rPr>
        <w:t xml:space="preserve"> the supply</w:t>
      </w:r>
      <w:r w:rsidR="003D2C47">
        <w:rPr>
          <w:szCs w:val="22"/>
          <w:lang w:val="en-US"/>
        </w:rPr>
        <w:t>ing</w:t>
      </w:r>
      <w:r w:rsidRPr="00F25922">
        <w:rPr>
          <w:szCs w:val="22"/>
          <w:lang w:val="en-US"/>
        </w:rPr>
        <w:t xml:space="preserve"> side,</w:t>
      </w:r>
      <w:r w:rsidR="003D2C47">
        <w:rPr>
          <w:szCs w:val="22"/>
          <w:lang w:val="en-US"/>
        </w:rPr>
        <w:t xml:space="preserve"> the spatial unit</w:t>
      </w:r>
      <w:r w:rsidRPr="00F25922">
        <w:rPr>
          <w:szCs w:val="22"/>
          <w:lang w:val="en-US"/>
        </w:rPr>
        <w:t xml:space="preserve"> where the ES are generated (e.g. UGS).</w:t>
      </w:r>
    </w:p>
    <w:p w14:paraId="2146191A" w14:textId="5DD7B249" w:rsidR="0082276D" w:rsidRDefault="0082276D" w:rsidP="0082276D">
      <w:pPr>
        <w:pStyle w:val="ListParagraph"/>
        <w:widowControl/>
        <w:numPr>
          <w:ilvl w:val="0"/>
          <w:numId w:val="4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Service benefiting areas (SBA)</w:t>
      </w:r>
      <w:r w:rsidR="00CD0298">
        <w:rPr>
          <w:szCs w:val="22"/>
          <w:lang w:val="en-US"/>
        </w:rPr>
        <w:t xml:space="preserve"> embody</w:t>
      </w:r>
      <w:r>
        <w:rPr>
          <w:szCs w:val="22"/>
          <w:lang w:val="en-US"/>
        </w:rPr>
        <w:t xml:space="preserve"> the demand side, the target of an ES flow (e.g. the residents of a city).</w:t>
      </w:r>
    </w:p>
    <w:p w14:paraId="193DD017" w14:textId="431BC873" w:rsidR="0082276D" w:rsidRPr="002E1EF1" w:rsidRDefault="0082276D" w:rsidP="0082276D">
      <w:pPr>
        <w:pStyle w:val="ListParagraph"/>
        <w:widowControl/>
        <w:numPr>
          <w:ilvl w:val="0"/>
          <w:numId w:val="4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Service connecting areas (SCA)</w:t>
      </w:r>
      <w:r w:rsidR="00CD0298">
        <w:rPr>
          <w:szCs w:val="22"/>
          <w:lang w:val="en-US"/>
        </w:rPr>
        <w:t xml:space="preserve"> are</w:t>
      </w:r>
      <w:r>
        <w:rPr>
          <w:szCs w:val="22"/>
          <w:lang w:val="en-US"/>
        </w:rPr>
        <w:t xml:space="preserve"> the space </w:t>
      </w:r>
      <w:r w:rsidR="00CD0298">
        <w:rPr>
          <w:szCs w:val="22"/>
          <w:lang w:val="en-US"/>
        </w:rPr>
        <w:t>connecting</w:t>
      </w:r>
      <w:r>
        <w:rPr>
          <w:szCs w:val="22"/>
          <w:lang w:val="en-US"/>
        </w:rPr>
        <w:t xml:space="preserve"> provision and demand (e.g. an urban street network).</w:t>
      </w:r>
    </w:p>
    <w:p w14:paraId="4E6B3F30" w14:textId="0BA3379E" w:rsidR="0082276D" w:rsidRDefault="0082276D" w:rsidP="002E19CF">
      <w:pPr>
        <w:widowControl/>
        <w:suppressAutoHyphens w:val="0"/>
        <w:rPr>
          <w:szCs w:val="22"/>
          <w:lang w:val="en-US"/>
        </w:rPr>
      </w:pPr>
    </w:p>
    <w:p w14:paraId="0F9971D5" w14:textId="78AB5AEA" w:rsidR="002E19CF" w:rsidRPr="0082276D" w:rsidRDefault="002E19CF" w:rsidP="002E19CF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lastRenderedPageBreak/>
        <w:t>Proximity = Modeling green space proximity in cities important</w:t>
      </w:r>
      <w:r w:rsidR="004B6096">
        <w:rPr>
          <w:szCs w:val="22"/>
          <w:lang w:val="en-US"/>
        </w:rPr>
        <w:t xml:space="preserve"> (SCA for green space and population in cities)</w:t>
      </w:r>
    </w:p>
    <w:p w14:paraId="3CDF9F66" w14:textId="34450500" w:rsidR="0082276D" w:rsidRDefault="0082276D" w:rsidP="007C1DE3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Accessibility of UGS vs availability of UGS:</w:t>
      </w:r>
    </w:p>
    <w:p w14:paraId="56EDE6F0" w14:textId="5309DFE8" w:rsidR="00325A1D" w:rsidRPr="00143FD3" w:rsidRDefault="00325A1D" w:rsidP="007C1DE3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Three perspectives have been used in past studies to tackle the problem:</w:t>
      </w:r>
    </w:p>
    <w:p w14:paraId="7FC167B7" w14:textId="77777777" w:rsidR="00325A1D" w:rsidRPr="00143FD3" w:rsidRDefault="00325A1D" w:rsidP="007C1DE3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Provision (area / person): Flow from green area to buildings (providing green space)</w:t>
      </w:r>
    </w:p>
    <w:p w14:paraId="39B4D237" w14:textId="77777777" w:rsidR="00325A1D" w:rsidRPr="00143FD3" w:rsidRDefault="00325A1D" w:rsidP="007C1DE3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Pressure (person / area):  Flow from residential buildings (population) to green spaces (pressure on / demand of green areas)</w:t>
      </w:r>
    </w:p>
    <w:p w14:paraId="08A86561" w14:textId="3EA2AA09" w:rsidR="00A7518A" w:rsidRPr="00A7518A" w:rsidRDefault="00325A1D" w:rsidP="00A7518A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Proximity (min. or avg. distance): Space between supply and demand (proximity)</w:t>
      </w:r>
    </w:p>
    <w:p w14:paraId="6E97BB91" w14:textId="77777777" w:rsidR="000D3791" w:rsidRPr="00143FD3" w:rsidRDefault="000D3791" w:rsidP="006872C6">
      <w:pPr>
        <w:widowControl/>
        <w:suppressAutoHyphens w:val="0"/>
        <w:rPr>
          <w:szCs w:val="22"/>
          <w:shd w:val="clear" w:color="auto" w:fill="00A933"/>
          <w:lang w:val="en-US"/>
        </w:rPr>
      </w:pPr>
    </w:p>
    <w:p w14:paraId="2EF00F51" w14:textId="3BA4DA47" w:rsidR="008842F6" w:rsidRDefault="008842F6" w:rsidP="008842F6">
      <w:pPr>
        <w:rPr>
          <w:szCs w:val="22"/>
          <w:lang w:val="en-US"/>
        </w:rPr>
      </w:pPr>
      <w:r>
        <w:rPr>
          <w:szCs w:val="22"/>
          <w:lang w:val="en-US"/>
        </w:rPr>
        <w:t xml:space="preserve">State of the art in </w:t>
      </w:r>
      <w:r>
        <w:rPr>
          <w:szCs w:val="22"/>
          <w:lang w:val="en-US"/>
        </w:rPr>
        <w:t>green space proximity</w:t>
      </w:r>
      <w:r>
        <w:rPr>
          <w:szCs w:val="22"/>
          <w:lang w:val="en-US"/>
        </w:rPr>
        <w:t>:</w:t>
      </w:r>
    </w:p>
    <w:p w14:paraId="574C0DAC" w14:textId="0B7D587D" w:rsidR="006714E3" w:rsidRDefault="006714E3" w:rsidP="008A3FA8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…</w:t>
      </w:r>
    </w:p>
    <w:p w14:paraId="1DE4B3CD" w14:textId="2101A60D" w:rsidR="008A3FA8" w:rsidRDefault="008A3FA8" w:rsidP="008A3FA8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Approach from Wolff 2021: Coupling the perspectives via network characteristics</w:t>
      </w:r>
      <w:r>
        <w:rPr>
          <w:szCs w:val="22"/>
          <w:lang w:val="en-US"/>
        </w:rPr>
        <w:t>.</w:t>
      </w:r>
    </w:p>
    <w:p w14:paraId="4A36BCF6" w14:textId="77777777" w:rsidR="00A7518A" w:rsidRPr="00A7518A" w:rsidRDefault="008A3FA8" w:rsidP="00A7518A">
      <w:pPr>
        <w:widowControl/>
        <w:numPr>
          <w:ilvl w:val="1"/>
          <w:numId w:val="2"/>
        </w:numPr>
        <w:suppressAutoHyphens w:val="0"/>
        <w:rPr>
          <w:szCs w:val="22"/>
          <w:shd w:val="clear" w:color="auto" w:fill="00A933"/>
          <w:lang w:val="en-US"/>
        </w:rPr>
      </w:pPr>
      <w:r>
        <w:rPr>
          <w:szCs w:val="22"/>
          <w:lang w:val="en-US"/>
        </w:rPr>
        <w:t>Wolff found two promising indicators: Detour Index (DI) and Local Significance (LS)</w:t>
      </w:r>
    </w:p>
    <w:p w14:paraId="4E872CC9" w14:textId="6B9A25E8" w:rsidR="008A3FA8" w:rsidRDefault="00A7518A" w:rsidP="00A7518A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 xml:space="preserve">Modeling the </w:t>
      </w:r>
      <w:r w:rsidRPr="00A7518A">
        <w:rPr>
          <w:i/>
          <w:szCs w:val="22"/>
          <w:lang w:val="en-US"/>
        </w:rPr>
        <w:t>walkable environment</w:t>
      </w:r>
      <w:r>
        <w:rPr>
          <w:szCs w:val="22"/>
          <w:lang w:val="en-US"/>
        </w:rPr>
        <w:t xml:space="preserve"> of a city</w:t>
      </w:r>
      <w:r w:rsidR="006872C6">
        <w:rPr>
          <w:szCs w:val="22"/>
          <w:lang w:val="en-US"/>
        </w:rPr>
        <w:t xml:space="preserve"> by including the three perspectives mentioned above + network characteristics approach.</w:t>
      </w:r>
    </w:p>
    <w:p w14:paraId="342B8A5C" w14:textId="77777777" w:rsidR="00A7518A" w:rsidRDefault="00A7518A" w:rsidP="00A7518A">
      <w:pPr>
        <w:widowControl/>
        <w:suppressAutoHyphens w:val="0"/>
        <w:rPr>
          <w:szCs w:val="22"/>
          <w:lang w:val="en-US"/>
        </w:rPr>
      </w:pPr>
    </w:p>
    <w:p w14:paraId="0D0075EB" w14:textId="69D29411" w:rsidR="00325A1D" w:rsidRPr="00143FD3" w:rsidRDefault="00325A1D" w:rsidP="00325A1D">
      <w:pPr>
        <w:widowControl/>
        <w:numPr>
          <w:ilvl w:val="0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What do we not know about the problem?</w:t>
      </w:r>
    </w:p>
    <w:p w14:paraId="65B879DB" w14:textId="77777777" w:rsidR="00325A1D" w:rsidRPr="00143FD3" w:rsidRDefault="00325A1D" w:rsidP="00300F77">
      <w:pPr>
        <w:widowControl/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Research gaps (of previously mentioned studies):</w:t>
      </w:r>
    </w:p>
    <w:p w14:paraId="7127BD51" w14:textId="77777777" w:rsidR="00325A1D" w:rsidRPr="00143FD3" w:rsidRDefault="00325A1D" w:rsidP="00B0618C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Mostly using fixed distances</w:t>
      </w:r>
    </w:p>
    <w:p w14:paraId="1C96C8CF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‘To have or not to have access to green spaces’</w:t>
      </w:r>
    </w:p>
    <w:p w14:paraId="5FA274C1" w14:textId="77777777" w:rsidR="00325A1D" w:rsidRPr="00143FD3" w:rsidRDefault="00325A1D" w:rsidP="00B0618C">
      <w:pPr>
        <w:widowControl/>
        <w:numPr>
          <w:ilvl w:val="1"/>
          <w:numId w:val="2"/>
        </w:numPr>
        <w:suppressAutoHyphens w:val="0"/>
        <w:rPr>
          <w:szCs w:val="22"/>
        </w:rPr>
      </w:pPr>
      <w:commentRangeStart w:id="1"/>
      <w:r w:rsidRPr="00143FD3">
        <w:rPr>
          <w:szCs w:val="22"/>
          <w:lang w:val="en-US"/>
        </w:rPr>
        <w:t>Mostly using only one perspective</w:t>
      </w:r>
      <w:commentRangeEnd w:id="1"/>
      <w:r w:rsidRPr="00143FD3">
        <w:rPr>
          <w:rStyle w:val="CommentReference"/>
          <w:rFonts w:cs="Mangal"/>
          <w:sz w:val="22"/>
          <w:szCs w:val="22"/>
        </w:rPr>
        <w:commentReference w:id="1"/>
      </w:r>
    </w:p>
    <w:p w14:paraId="7665FBDB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Not accounting for mutual dependencies of supply and demand</w:t>
      </w:r>
    </w:p>
    <w:p w14:paraId="417C0867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No focus on service connecting areas / walkable environment</w:t>
      </w:r>
    </w:p>
    <w:p w14:paraId="4E5B3D65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 proximity perspective is necessary to account for barriers and network characteristics</w:t>
      </w:r>
    </w:p>
    <w:p w14:paraId="1D4F2DB3" w14:textId="764F5466" w:rsidR="00325A1D" w:rsidRPr="00143FD3" w:rsidRDefault="00325A1D" w:rsidP="00B0618C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Mostly using c</w:t>
      </w:r>
      <w:r w:rsidR="009054B8">
        <w:rPr>
          <w:szCs w:val="22"/>
          <w:lang w:val="en-US"/>
        </w:rPr>
        <w:t>oa</w:t>
      </w:r>
      <w:r w:rsidRPr="00143FD3">
        <w:rPr>
          <w:szCs w:val="22"/>
          <w:lang w:val="en-US"/>
        </w:rPr>
        <w:t>rse resolution on a larger scale</w:t>
      </w:r>
    </w:p>
    <w:p w14:paraId="0198F5FC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Fine resolution can reveal spatial patterns at a finer scale enabling targeted intervention</w:t>
      </w:r>
    </w:p>
    <w:p w14:paraId="642182BC" w14:textId="77777777" w:rsidR="00325A1D" w:rsidRPr="00143FD3" w:rsidRDefault="00325A1D" w:rsidP="00B0618C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A finer resolution will also reduce the uncertainty that is introduced if e.g. a grid or a district aggregation is used</w:t>
      </w:r>
    </w:p>
    <w:p w14:paraId="47AE583D" w14:textId="77777777" w:rsidR="006714E3" w:rsidRDefault="006714E3" w:rsidP="006714E3">
      <w:pPr>
        <w:widowControl/>
        <w:suppressAutoHyphens w:val="0"/>
        <w:rPr>
          <w:szCs w:val="22"/>
          <w:lang w:val="en-US"/>
        </w:rPr>
      </w:pPr>
    </w:p>
    <w:p w14:paraId="5DB5C2DE" w14:textId="2DD98121" w:rsidR="006714E3" w:rsidRDefault="00300F77" w:rsidP="00300F77">
      <w:pPr>
        <w:widowControl/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Building based approach:</w:t>
      </w:r>
    </w:p>
    <w:p w14:paraId="74A15D5B" w14:textId="067BFD6C" w:rsidR="00325A1D" w:rsidRPr="00143FD3" w:rsidRDefault="00325A1D" w:rsidP="006714E3">
      <w:pPr>
        <w:widowControl/>
        <w:suppressAutoHyphens w:val="0"/>
        <w:ind w:left="1440"/>
        <w:rPr>
          <w:szCs w:val="22"/>
          <w:lang w:val="en-US"/>
        </w:rPr>
      </w:pPr>
      <w:commentRangeStart w:id="2"/>
      <w:r w:rsidRPr="00143FD3">
        <w:rPr>
          <w:szCs w:val="22"/>
          <w:lang w:val="en-US"/>
        </w:rPr>
        <w:t xml:space="preserve">No comparable studies using e.g. a </w:t>
      </w:r>
      <w:r w:rsidR="00E5397A" w:rsidRPr="00143FD3">
        <w:rPr>
          <w:szCs w:val="22"/>
          <w:lang w:val="en-US"/>
        </w:rPr>
        <w:t>building-based</w:t>
      </w:r>
      <w:r w:rsidRPr="00143FD3">
        <w:rPr>
          <w:szCs w:val="22"/>
          <w:lang w:val="en-US"/>
        </w:rPr>
        <w:t xml:space="preserve"> approach on a European scale</w:t>
      </w:r>
      <w:commentRangeEnd w:id="2"/>
      <w:r w:rsidRPr="00143FD3">
        <w:rPr>
          <w:rStyle w:val="CommentReference"/>
          <w:rFonts w:cs="Mangal"/>
          <w:sz w:val="22"/>
          <w:szCs w:val="22"/>
        </w:rPr>
        <w:commentReference w:id="2"/>
      </w:r>
    </w:p>
    <w:p w14:paraId="673EA4E5" w14:textId="77777777" w:rsidR="00300F77" w:rsidRDefault="00300F77" w:rsidP="00300F77">
      <w:pPr>
        <w:widowControl/>
        <w:suppressAutoHyphens w:val="0"/>
        <w:rPr>
          <w:szCs w:val="22"/>
          <w:lang w:val="en-US"/>
        </w:rPr>
      </w:pPr>
    </w:p>
    <w:p w14:paraId="6D876969" w14:textId="0C3BA53C" w:rsidR="00325A1D" w:rsidRPr="00143FD3" w:rsidRDefault="00325A1D" w:rsidP="00300F77">
      <w:pPr>
        <w:widowControl/>
        <w:suppressAutoHyphens w:val="0"/>
        <w:rPr>
          <w:szCs w:val="22"/>
        </w:rPr>
      </w:pPr>
      <w:r w:rsidRPr="00143FD3">
        <w:rPr>
          <w:szCs w:val="22"/>
          <w:lang w:val="en-US"/>
        </w:rPr>
        <w:t>Conclusion:</w:t>
      </w:r>
    </w:p>
    <w:p w14:paraId="1D905411" w14:textId="47E36E49" w:rsidR="00A02FB1" w:rsidRPr="00A02FB1" w:rsidRDefault="00325A1D" w:rsidP="00A02FB1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Knowledge about UGS is important for planning and decision making to remove uncertainties in UGS provision</w:t>
      </w:r>
      <w:r w:rsidR="00E5397A" w:rsidRPr="00143FD3">
        <w:rPr>
          <w:szCs w:val="22"/>
          <w:lang w:val="en-US"/>
        </w:rPr>
        <w:t>.</w:t>
      </w:r>
    </w:p>
    <w:p w14:paraId="06A22C95" w14:textId="77777777" w:rsidR="00325A1D" w:rsidRPr="00143FD3" w:rsidRDefault="00325A1D" w:rsidP="00B0618C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Detect mismatch between provision and demand</w:t>
      </w:r>
    </w:p>
    <w:p w14:paraId="1695130B" w14:textId="52BD5C66" w:rsidR="00325A1D" w:rsidRPr="00143FD3" w:rsidRDefault="00325A1D" w:rsidP="00B0618C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Need for a method that</w:t>
      </w:r>
      <w:r w:rsidR="00E5397A" w:rsidRPr="00143FD3">
        <w:rPr>
          <w:szCs w:val="22"/>
          <w:lang w:val="en-US"/>
        </w:rPr>
        <w:t xml:space="preserve"> models service connecting areas to</w:t>
      </w:r>
      <w:r w:rsidRPr="00143FD3">
        <w:rPr>
          <w:szCs w:val="22"/>
          <w:lang w:val="en-US"/>
        </w:rPr>
        <w:t xml:space="preserve"> combine</w:t>
      </w:r>
      <w:r w:rsidR="00E5397A" w:rsidRPr="00143FD3">
        <w:rPr>
          <w:szCs w:val="22"/>
          <w:lang w:val="en-US"/>
        </w:rPr>
        <w:t xml:space="preserve"> supply and demand</w:t>
      </w:r>
      <w:r w:rsidRPr="00143FD3">
        <w:rPr>
          <w:szCs w:val="22"/>
          <w:lang w:val="en-US"/>
        </w:rPr>
        <w:t xml:space="preserve"> aspects of green space accessibility / availability with a high spatial resolution that is comparable on a European scale</w:t>
      </w:r>
    </w:p>
    <w:p w14:paraId="70084856" w14:textId="77777777" w:rsidR="00325A1D" w:rsidRPr="00143FD3" w:rsidRDefault="00325A1D" w:rsidP="00325A1D">
      <w:pPr>
        <w:widowControl/>
        <w:suppressAutoHyphens w:val="0"/>
        <w:rPr>
          <w:szCs w:val="22"/>
          <w:lang w:val="en-US"/>
        </w:rPr>
      </w:pPr>
    </w:p>
    <w:p w14:paraId="08CC060E" w14:textId="77777777" w:rsidR="00325A1D" w:rsidRPr="00143FD3" w:rsidRDefault="00325A1D" w:rsidP="00325A1D">
      <w:pPr>
        <w:widowControl/>
        <w:numPr>
          <w:ilvl w:val="0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What is the purpose of this paper?</w:t>
      </w:r>
    </w:p>
    <w:p w14:paraId="1610EF7A" w14:textId="77777777" w:rsidR="00325A1D" w:rsidRPr="00143FD3" w:rsidRDefault="00325A1D" w:rsidP="00325A1D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Research questions</w:t>
      </w:r>
    </w:p>
    <w:p w14:paraId="079429CF" w14:textId="57727AA2" w:rsidR="00E5397A" w:rsidRPr="00143FD3" w:rsidRDefault="00E5397A" w:rsidP="00E5397A">
      <w:pPr>
        <w:pStyle w:val="CommentText"/>
        <w:numPr>
          <w:ilvl w:val="2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 xml:space="preserve">What does a modeling approach look like that estimates the walkability between green space supply and demand in cities? </w:t>
      </w:r>
    </w:p>
    <w:p w14:paraId="185C7EDE" w14:textId="3EB44C14" w:rsidR="00E5397A" w:rsidRPr="00143FD3" w:rsidRDefault="00E5397A" w:rsidP="00E5397A">
      <w:pPr>
        <w:pStyle w:val="CommentText"/>
        <w:numPr>
          <w:ilvl w:val="2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How to incorporate publicly accessible data and open source software in order to allow i.) a reproduction over time (e.g. with more recent data), ii.) assessments in data-scare regions, and iii.) comparative approaches covering a larger sample of cities</w:t>
      </w:r>
    </w:p>
    <w:p w14:paraId="42D04AA8" w14:textId="40E5AF82" w:rsidR="008A3DE3" w:rsidRPr="00143FD3" w:rsidRDefault="008A3DE3" w:rsidP="00325A1D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How can easy understandable and applicable indicators be used in order to support urban planning in detecting mismatches between demand and supply</w:t>
      </w:r>
    </w:p>
    <w:p w14:paraId="468AD928" w14:textId="77777777" w:rsidR="005E4884" w:rsidRPr="00143FD3" w:rsidRDefault="005E4884" w:rsidP="005E4884">
      <w:pPr>
        <w:widowControl/>
        <w:suppressAutoHyphens w:val="0"/>
        <w:ind w:left="1440"/>
        <w:rPr>
          <w:szCs w:val="22"/>
          <w:lang w:val="en-US"/>
        </w:rPr>
      </w:pPr>
    </w:p>
    <w:p w14:paraId="7B4DEDD3" w14:textId="77777777" w:rsidR="00B37370" w:rsidRPr="00143FD3" w:rsidRDefault="00B37370" w:rsidP="00B37370">
      <w:pPr>
        <w:widowControl/>
        <w:suppressAutoHyphens w:val="0"/>
        <w:rPr>
          <w:szCs w:val="22"/>
          <w:lang w:val="en-US"/>
        </w:rPr>
      </w:pPr>
      <w:bookmarkStart w:id="3" w:name="page8R_mcid5"/>
      <w:bookmarkStart w:id="4" w:name="_Hlk103163861"/>
      <w:bookmarkEnd w:id="3"/>
    </w:p>
    <w:p w14:paraId="24AB0CFF" w14:textId="4A9B1C0F" w:rsidR="00B37370" w:rsidRPr="00143FD3" w:rsidRDefault="00B37370" w:rsidP="00B37370">
      <w:pPr>
        <w:widowControl/>
        <w:numPr>
          <w:ilvl w:val="1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lastRenderedPageBreak/>
        <w:t>Objective 1:  From concept to workflow (based on service-connecting area/proximity approach)</w:t>
      </w:r>
    </w:p>
    <w:p w14:paraId="1BC1E4D2" w14:textId="77777777" w:rsidR="00AB59E5" w:rsidRPr="00143FD3" w:rsidRDefault="008C74FC" w:rsidP="00AB59E5">
      <w:pPr>
        <w:pStyle w:val="CommentText"/>
        <w:numPr>
          <w:ilvl w:val="2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 xml:space="preserve">What does a modeling approach look like that estimates the walkability between green space supply and demand in cities? </w:t>
      </w:r>
    </w:p>
    <w:p w14:paraId="2B213C0D" w14:textId="77777777" w:rsidR="00AB59E5" w:rsidRPr="00143FD3" w:rsidRDefault="00AB59E5" w:rsidP="00AB59E5">
      <w:pPr>
        <w:pStyle w:val="CommentText"/>
        <w:numPr>
          <w:ilvl w:val="3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Modeling s</w:t>
      </w:r>
      <w:r w:rsidR="00A713A0" w:rsidRPr="00143FD3">
        <w:rPr>
          <w:sz w:val="22"/>
          <w:szCs w:val="22"/>
          <w:lang w:val="en-US"/>
        </w:rPr>
        <w:t>ervice connecting areas:</w:t>
      </w:r>
      <w:r w:rsidR="005A7C5B" w:rsidRPr="00143FD3">
        <w:rPr>
          <w:sz w:val="22"/>
          <w:szCs w:val="22"/>
          <w:lang w:val="en-US"/>
        </w:rPr>
        <w:t xml:space="preserve"> </w:t>
      </w:r>
    </w:p>
    <w:p w14:paraId="40253C70" w14:textId="294DE5DC" w:rsidR="00AB59E5" w:rsidRPr="00143FD3" w:rsidRDefault="00AB59E5" w:rsidP="00AB59E5">
      <w:pPr>
        <w:pStyle w:val="CommentText"/>
        <w:numPr>
          <w:ilvl w:val="3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Description of indices</w:t>
      </w:r>
    </w:p>
    <w:p w14:paraId="1298E9D1" w14:textId="77777777" w:rsidR="00011C50" w:rsidRPr="00143FD3" w:rsidRDefault="00011C50" w:rsidP="00011C50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Combine buffer distance and network distance (Detour index)</w:t>
      </w:r>
    </w:p>
    <w:p w14:paraId="2C77FFB1" w14:textId="03C8B667" w:rsidR="00011C50" w:rsidRPr="00143FD3" w:rsidRDefault="00011C50" w:rsidP="00011C50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Combine population, GBS size network distance (Local significance)</w:t>
      </w:r>
    </w:p>
    <w:p w14:paraId="140C04F9" w14:textId="7A703797" w:rsidR="00ED0434" w:rsidRPr="00143FD3" w:rsidRDefault="005A7C5B" w:rsidP="00AB59E5">
      <w:pPr>
        <w:pStyle w:val="CommentText"/>
        <w:numPr>
          <w:ilvl w:val="3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>local significance for streets / detour index for buildings</w:t>
      </w:r>
    </w:p>
    <w:p w14:paraId="35A2269C" w14:textId="3A42C800" w:rsidR="00B37370" w:rsidRPr="00143FD3" w:rsidRDefault="00B37370" w:rsidP="00DB6B91">
      <w:pPr>
        <w:pStyle w:val="CommentText"/>
        <w:rPr>
          <w:sz w:val="22"/>
          <w:szCs w:val="22"/>
          <w:lang w:val="en-US"/>
        </w:rPr>
      </w:pPr>
    </w:p>
    <w:p w14:paraId="2943D750" w14:textId="77777777" w:rsidR="00D405C4" w:rsidRPr="00143FD3" w:rsidRDefault="00D405C4" w:rsidP="00D405C4">
      <w:pPr>
        <w:pStyle w:val="CommentText"/>
        <w:numPr>
          <w:ilvl w:val="1"/>
          <w:numId w:val="2"/>
        </w:numPr>
        <w:rPr>
          <w:sz w:val="22"/>
          <w:szCs w:val="22"/>
          <w:lang w:val="en-US"/>
        </w:rPr>
      </w:pPr>
      <w:r w:rsidRPr="00143FD3">
        <w:rPr>
          <w:sz w:val="22"/>
          <w:szCs w:val="22"/>
          <w:lang w:val="en-US"/>
        </w:rPr>
        <w:t xml:space="preserve">Objective </w:t>
      </w:r>
      <w:r>
        <w:rPr>
          <w:sz w:val="22"/>
          <w:szCs w:val="22"/>
          <w:lang w:val="en-US"/>
        </w:rPr>
        <w:t>2</w:t>
      </w:r>
      <w:r w:rsidRPr="00143FD3">
        <w:rPr>
          <w:sz w:val="22"/>
          <w:szCs w:val="22"/>
          <w:lang w:val="en-US"/>
        </w:rPr>
        <w:t xml:space="preserve">: Develop and apply indicators, display/interpret/compare them </w:t>
      </w:r>
    </w:p>
    <w:p w14:paraId="2AA7EEE8" w14:textId="77777777" w:rsidR="00D405C4" w:rsidRPr="00143FD3" w:rsidRDefault="00D405C4" w:rsidP="00D405C4">
      <w:pPr>
        <w:widowControl/>
        <w:numPr>
          <w:ilvl w:val="2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How can easily understandable and applicable indicators be used in order to support urban planning in detecting mismatches between demand and supply</w:t>
      </w:r>
    </w:p>
    <w:p w14:paraId="078501C4" w14:textId="77777777" w:rsidR="00D405C4" w:rsidRPr="00143FD3" w:rsidRDefault="00D405C4" w:rsidP="00D405C4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Create Network characteristics for European cities</w:t>
      </w:r>
    </w:p>
    <w:p w14:paraId="14A17A9F" w14:textId="77777777" w:rsidR="00D405C4" w:rsidRDefault="00D405C4" w:rsidP="00D405C4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Comparison across Europe</w:t>
      </w:r>
      <w:bookmarkStart w:id="5" w:name="_GoBack"/>
      <w:bookmarkEnd w:id="5"/>
    </w:p>
    <w:p w14:paraId="11E9E501" w14:textId="77777777" w:rsidR="00D405C4" w:rsidRPr="00143FD3" w:rsidRDefault="00D405C4" w:rsidP="00D405C4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Clustering / aggregation</w:t>
      </w:r>
    </w:p>
    <w:p w14:paraId="55031687" w14:textId="77777777" w:rsidR="00D405C4" w:rsidRDefault="00D405C4" w:rsidP="00D405C4">
      <w:pPr>
        <w:widowControl/>
        <w:numPr>
          <w:ilvl w:val="3"/>
          <w:numId w:val="2"/>
        </w:numPr>
        <w:suppressAutoHyphens w:val="0"/>
        <w:rPr>
          <w:szCs w:val="22"/>
          <w:lang w:val="en-US"/>
        </w:rPr>
      </w:pPr>
      <w:r w:rsidRPr="00143FD3">
        <w:rPr>
          <w:szCs w:val="22"/>
          <w:lang w:val="en-US"/>
        </w:rPr>
        <w:t>City scenarios</w:t>
      </w:r>
    </w:p>
    <w:p w14:paraId="7284179A" w14:textId="77777777" w:rsidR="00D405C4" w:rsidRDefault="00D405C4" w:rsidP="00D405C4">
      <w:pPr>
        <w:widowControl/>
        <w:numPr>
          <w:ilvl w:val="4"/>
          <w:numId w:val="2"/>
        </w:numPr>
        <w:suppressAutoHyphens w:val="0"/>
        <w:rPr>
          <w:szCs w:val="22"/>
          <w:lang w:val="en-US"/>
        </w:rPr>
      </w:pPr>
      <w:r>
        <w:rPr>
          <w:szCs w:val="22"/>
          <w:lang w:val="en-US"/>
        </w:rPr>
        <w:t>Three scenarios</w:t>
      </w:r>
    </w:p>
    <w:p w14:paraId="248D6162" w14:textId="3B12028A" w:rsidR="006F18CD" w:rsidRPr="00143FD3" w:rsidRDefault="006F18CD" w:rsidP="00A713A0">
      <w:pPr>
        <w:widowControl/>
        <w:suppressAutoHyphens w:val="0"/>
        <w:ind w:left="1800"/>
        <w:rPr>
          <w:szCs w:val="22"/>
          <w:lang w:val="en-US"/>
        </w:rPr>
      </w:pPr>
    </w:p>
    <w:bookmarkEnd w:id="4"/>
    <w:p w14:paraId="620E7598" w14:textId="77777777" w:rsidR="005A29C5" w:rsidRPr="00143FD3" w:rsidRDefault="005A29C5">
      <w:pPr>
        <w:rPr>
          <w:szCs w:val="22"/>
          <w:lang w:val="en-US"/>
        </w:rPr>
      </w:pPr>
    </w:p>
    <w:sectPr w:rsidR="005A29C5" w:rsidRPr="00143FD3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uel" w:date="2022-04-19T13:19:00Z" w:initials="M">
    <w:p w14:paraId="77ED8166" w14:textId="77777777" w:rsidR="00B20EC6" w:rsidRPr="007C33F3" w:rsidRDefault="00B20EC6" w:rsidP="00B20EC6">
      <w:pPr>
        <w:pStyle w:val="CommentText"/>
      </w:pPr>
      <w:r>
        <w:rPr>
          <w:rStyle w:val="CommentReference"/>
        </w:rPr>
        <w:annotationRef/>
      </w:r>
      <w:r>
        <w:t xml:space="preserve">Vielleicht die </w:t>
      </w:r>
      <w:proofErr w:type="spellStart"/>
      <w:r>
        <w:t>comparative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zu Europa hoch zum ersten anstrich von „</w:t>
      </w:r>
      <w:proofErr w:type="spellStart"/>
      <w:r w:rsidRPr="007C33F3">
        <w:t>What</w:t>
      </w:r>
      <w:proofErr w:type="spellEnd"/>
      <w:r w:rsidRPr="007C33F3">
        <w:t xml:space="preserve"> do </w:t>
      </w:r>
      <w:proofErr w:type="spellStart"/>
      <w:r w:rsidRPr="007C33F3">
        <w:t>we</w:t>
      </w:r>
      <w:proofErr w:type="spellEnd"/>
      <w:r w:rsidRPr="007C33F3">
        <w:t xml:space="preserve"> </w:t>
      </w:r>
      <w:proofErr w:type="spellStart"/>
      <w:r w:rsidRPr="007C33F3">
        <w:t>know</w:t>
      </w:r>
      <w:proofErr w:type="spellEnd"/>
      <w:r w:rsidRPr="007C33F3">
        <w:t xml:space="preserve"> </w:t>
      </w:r>
      <w:proofErr w:type="spellStart"/>
      <w:r w:rsidRPr="007C33F3">
        <w:t>about</w:t>
      </w:r>
      <w:proofErr w:type="spellEnd"/>
      <w:r w:rsidRPr="007C33F3">
        <w:t xml:space="preserve"> </w:t>
      </w:r>
      <w:proofErr w:type="spellStart"/>
      <w:r w:rsidRPr="007C33F3">
        <w:t>the</w:t>
      </w:r>
      <w:proofErr w:type="spellEnd"/>
      <w:r w:rsidRPr="007C33F3">
        <w:t xml:space="preserve"> </w:t>
      </w:r>
      <w:proofErr w:type="spellStart"/>
      <w:r w:rsidRPr="007C33F3">
        <w:t>problem</w:t>
      </w:r>
      <w:proofErr w:type="spellEnd"/>
      <w:r w:rsidRPr="007C33F3">
        <w:t>?</w:t>
      </w:r>
      <w:r>
        <w:t xml:space="preserve">“ und hier dann gezielt die </w:t>
      </w:r>
      <w:proofErr w:type="spellStart"/>
      <w:r>
        <w:t>studies</w:t>
      </w:r>
      <w:proofErr w:type="spellEnd"/>
      <w:r>
        <w:t xml:space="preserve"> aufführen die sich mit den methodischen </w:t>
      </w:r>
      <w:proofErr w:type="spellStart"/>
      <w:r>
        <w:t>ansätzen</w:t>
      </w:r>
      <w:proofErr w:type="spellEnd"/>
      <w:r>
        <w:t xml:space="preserve"> auseinandersetzen </w:t>
      </w:r>
      <w:proofErr w:type="spellStart"/>
      <w:r>
        <w:t>insb</w:t>
      </w:r>
      <w:proofErr w:type="spellEnd"/>
      <w:r>
        <w:t xml:space="preserve"> zu </w:t>
      </w:r>
      <w:proofErr w:type="spellStart"/>
      <w:r>
        <w:t>fallstudien</w:t>
      </w:r>
      <w:proofErr w:type="spellEnd"/>
    </w:p>
  </w:comment>
  <w:comment w:id="1" w:author="Manuel" w:date="2022-04-19T13:23:00Z" w:initials="M">
    <w:p w14:paraId="33B5E56D" w14:textId="77777777" w:rsidR="00325A1D" w:rsidRDefault="00325A1D" w:rsidP="00325A1D">
      <w:pPr>
        <w:pStyle w:val="CommentText"/>
      </w:pPr>
      <w:r>
        <w:rPr>
          <w:rStyle w:val="CommentReference"/>
        </w:rPr>
        <w:annotationRef/>
      </w:r>
      <w:r>
        <w:t xml:space="preserve">Hier solltest du parallel zu den </w:t>
      </w:r>
      <w:proofErr w:type="spellStart"/>
      <w:r>
        <w:t>argumenten</w:t>
      </w:r>
      <w:proofErr w:type="spellEnd"/>
      <w:r>
        <w:t>/</w:t>
      </w:r>
      <w:proofErr w:type="spellStart"/>
      <w:r>
        <w:t>studien</w:t>
      </w:r>
      <w:proofErr w:type="spellEnd"/>
      <w:r>
        <w:t xml:space="preserve"> aus dem Wolff </w:t>
      </w:r>
      <w:proofErr w:type="spellStart"/>
      <w:r>
        <w:t>paper</w:t>
      </w:r>
      <w:proofErr w:type="spellEnd"/>
      <w:r>
        <w:t xml:space="preserve"> auch unbedingt </w:t>
      </w:r>
      <w:proofErr w:type="spellStart"/>
      <w:r>
        <w:t>bezug</w:t>
      </w:r>
      <w:proofErr w:type="spellEnd"/>
      <w:r>
        <w:t xml:space="preserve"> nehmen zu den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>)</w:t>
      </w:r>
    </w:p>
  </w:comment>
  <w:comment w:id="2" w:author="Manuel" w:date="2022-04-19T13:21:00Z" w:initials="M">
    <w:p w14:paraId="642F4CF4" w14:textId="77777777" w:rsidR="00325A1D" w:rsidRDefault="00325A1D" w:rsidP="00325A1D">
      <w:pPr>
        <w:pStyle w:val="CommentText"/>
      </w:pPr>
      <w:r>
        <w:rPr>
          <w:rStyle w:val="CommentReference"/>
        </w:rPr>
        <w:annotationRef/>
      </w:r>
      <w:r>
        <w:t xml:space="preserve">Kann auch ein extra anstrich sein, </w:t>
      </w:r>
      <w:proofErr w:type="spellStart"/>
      <w:r>
        <w:t>argument</w:t>
      </w:r>
      <w:proofErr w:type="spellEnd"/>
      <w:r>
        <w:t xml:space="preserve"> dazu findest du im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pdf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ED8166" w15:done="0"/>
  <w15:commentEx w15:paraId="33B5E56D" w15:done="0"/>
  <w15:commentEx w15:paraId="642F4C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B5E56D" w16cid:durableId="26251108"/>
  <w16cid:commentId w16cid:paraId="642F4CF4" w16cid:durableId="262511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01E1"/>
    <w:multiLevelType w:val="hybridMultilevel"/>
    <w:tmpl w:val="70EC9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9D6DB5"/>
    <w:multiLevelType w:val="multilevel"/>
    <w:tmpl w:val="162AA1F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3D946C3"/>
    <w:multiLevelType w:val="hybridMultilevel"/>
    <w:tmpl w:val="C320354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E73D5"/>
    <w:multiLevelType w:val="hybridMultilevel"/>
    <w:tmpl w:val="F190D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665CFA"/>
    <w:multiLevelType w:val="multilevel"/>
    <w:tmpl w:val="39D85F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uel">
    <w15:presenceInfo w15:providerId="None" w15:userId="Manu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C"/>
    <w:rsid w:val="000012F9"/>
    <w:rsid w:val="00011C50"/>
    <w:rsid w:val="00021E61"/>
    <w:rsid w:val="000406A5"/>
    <w:rsid w:val="00071EBF"/>
    <w:rsid w:val="000B32AC"/>
    <w:rsid w:val="000D3791"/>
    <w:rsid w:val="000E36E9"/>
    <w:rsid w:val="000E444B"/>
    <w:rsid w:val="00112F42"/>
    <w:rsid w:val="00143FD3"/>
    <w:rsid w:val="001F5459"/>
    <w:rsid w:val="001F5F85"/>
    <w:rsid w:val="002655C8"/>
    <w:rsid w:val="002C537F"/>
    <w:rsid w:val="002E19CF"/>
    <w:rsid w:val="002E1EF1"/>
    <w:rsid w:val="002F192F"/>
    <w:rsid w:val="002F3E6B"/>
    <w:rsid w:val="00300F77"/>
    <w:rsid w:val="00325A1D"/>
    <w:rsid w:val="003416D1"/>
    <w:rsid w:val="003B1C5E"/>
    <w:rsid w:val="003B33F6"/>
    <w:rsid w:val="003C69A7"/>
    <w:rsid w:val="003D2C47"/>
    <w:rsid w:val="00464FC1"/>
    <w:rsid w:val="00474F40"/>
    <w:rsid w:val="0048673A"/>
    <w:rsid w:val="004B6096"/>
    <w:rsid w:val="004E1C7F"/>
    <w:rsid w:val="004F4BC3"/>
    <w:rsid w:val="00542ED3"/>
    <w:rsid w:val="00565C6E"/>
    <w:rsid w:val="005A29C5"/>
    <w:rsid w:val="005A7C5B"/>
    <w:rsid w:val="005E4884"/>
    <w:rsid w:val="00660C72"/>
    <w:rsid w:val="006714E3"/>
    <w:rsid w:val="006872C6"/>
    <w:rsid w:val="006F18CD"/>
    <w:rsid w:val="007428D6"/>
    <w:rsid w:val="007C1DE3"/>
    <w:rsid w:val="007E34F5"/>
    <w:rsid w:val="007E6911"/>
    <w:rsid w:val="007F404D"/>
    <w:rsid w:val="0082276D"/>
    <w:rsid w:val="008842F6"/>
    <w:rsid w:val="0089150A"/>
    <w:rsid w:val="008A3DE3"/>
    <w:rsid w:val="008A3FA8"/>
    <w:rsid w:val="008C74FC"/>
    <w:rsid w:val="0090396E"/>
    <w:rsid w:val="009054B8"/>
    <w:rsid w:val="00932704"/>
    <w:rsid w:val="00937E1B"/>
    <w:rsid w:val="00A02FB1"/>
    <w:rsid w:val="00A713A0"/>
    <w:rsid w:val="00A7518A"/>
    <w:rsid w:val="00A913FC"/>
    <w:rsid w:val="00AB59E5"/>
    <w:rsid w:val="00B0618C"/>
    <w:rsid w:val="00B10A88"/>
    <w:rsid w:val="00B20EC6"/>
    <w:rsid w:val="00B37370"/>
    <w:rsid w:val="00B51F7D"/>
    <w:rsid w:val="00B552AB"/>
    <w:rsid w:val="00C52895"/>
    <w:rsid w:val="00C81DA7"/>
    <w:rsid w:val="00C87E62"/>
    <w:rsid w:val="00CA41F1"/>
    <w:rsid w:val="00CD0298"/>
    <w:rsid w:val="00CE67AF"/>
    <w:rsid w:val="00D405C4"/>
    <w:rsid w:val="00DA3967"/>
    <w:rsid w:val="00DB6B91"/>
    <w:rsid w:val="00E03642"/>
    <w:rsid w:val="00E23D7C"/>
    <w:rsid w:val="00E23D92"/>
    <w:rsid w:val="00E42BFD"/>
    <w:rsid w:val="00E5397A"/>
    <w:rsid w:val="00E76E22"/>
    <w:rsid w:val="00E77AE8"/>
    <w:rsid w:val="00E96802"/>
    <w:rsid w:val="00EB17C9"/>
    <w:rsid w:val="00EC1B09"/>
    <w:rsid w:val="00ED0434"/>
    <w:rsid w:val="00EE536F"/>
    <w:rsid w:val="00EF1CB3"/>
    <w:rsid w:val="00EF682C"/>
    <w:rsid w:val="00F25922"/>
    <w:rsid w:val="00F33866"/>
    <w:rsid w:val="00FA3805"/>
    <w:rsid w:val="00FA5553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8BDC"/>
  <w15:chartTrackingRefBased/>
  <w15:docId w15:val="{9F14152B-B0B4-494C-9F39-C901FAA9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25A1D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NSimSun" w:hAnsi="Calibri" w:cs="Arial"/>
      <w:kern w:val="3"/>
      <w:szCs w:val="24"/>
      <w:lang w:val="de-DE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5A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5A1D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A1D"/>
    <w:rPr>
      <w:rFonts w:ascii="Calibri" w:eastAsia="NSimSun" w:hAnsi="Calibri" w:cs="Mangal"/>
      <w:kern w:val="3"/>
      <w:sz w:val="20"/>
      <w:szCs w:val="18"/>
      <w:lang w:val="de-DE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1D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1D"/>
    <w:rPr>
      <w:rFonts w:ascii="Segoe UI" w:eastAsia="NSimSun" w:hAnsi="Segoe UI" w:cs="Mangal"/>
      <w:kern w:val="3"/>
      <w:sz w:val="18"/>
      <w:szCs w:val="16"/>
      <w:lang w:val="de-DE" w:eastAsia="zh-CN" w:bidi="hi-IN"/>
    </w:rPr>
  </w:style>
  <w:style w:type="paragraph" w:styleId="ListParagraph">
    <w:name w:val="List Paragraph"/>
    <w:basedOn w:val="Normal"/>
    <w:uiPriority w:val="34"/>
    <w:qFormat/>
    <w:rsid w:val="00B37370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880</Words>
  <Characters>5018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74</cp:revision>
  <dcterms:created xsi:type="dcterms:W3CDTF">2022-05-10T14:38:00Z</dcterms:created>
  <dcterms:modified xsi:type="dcterms:W3CDTF">2022-06-14T17:28:00Z</dcterms:modified>
</cp:coreProperties>
</file>