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77AF" w14:textId="0971BCF6" w:rsidR="007C730F" w:rsidRDefault="00C110C2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Introducti</w:t>
      </w:r>
      <w:r>
        <w:rPr>
          <w:b/>
          <w:bCs/>
          <w:szCs w:val="22"/>
          <w:lang w:val="en-US"/>
        </w:rPr>
        <w:t>on</w:t>
      </w:r>
    </w:p>
    <w:p w14:paraId="00416E16" w14:textId="6B6ADA71" w:rsidR="007C730F" w:rsidRDefault="00C110C2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%Part1</w:t>
      </w:r>
      <w:r>
        <w:rPr>
          <w:b/>
          <w:szCs w:val="22"/>
          <w:lang w:val="en-US"/>
        </w:rPr>
        <w:t>: Accessibility to UGS</w:t>
      </w:r>
    </w:p>
    <w:p w14:paraId="64D65D53" w14:textId="274E6F13" w:rsidR="007C730F" w:rsidRDefault="007A71E4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In t</w:t>
      </w:r>
      <w:r w:rsidR="00664883">
        <w:rPr>
          <w:szCs w:val="22"/>
          <w:lang w:val="en-US"/>
        </w:rPr>
        <w:t>he Anthropocene</w:t>
      </w:r>
      <w:r>
        <w:rPr>
          <w:szCs w:val="22"/>
          <w:lang w:val="en-US"/>
        </w:rPr>
        <w:t xml:space="preserve">, </w:t>
      </w:r>
      <w:r w:rsidR="00664883">
        <w:rPr>
          <w:szCs w:val="22"/>
          <w:lang w:val="en-US"/>
        </w:rPr>
        <w:t>rapid urbanization</w:t>
      </w:r>
      <w:r>
        <w:rPr>
          <w:szCs w:val="22"/>
          <w:lang w:val="en-US"/>
        </w:rPr>
        <w:t xml:space="preserve"> takes place globally</w:t>
      </w:r>
      <w:commentRangeStart w:id="0"/>
      <w:r w:rsidR="00C110C2">
        <w:rPr>
          <w:szCs w:val="22"/>
          <w:lang w:val="en-US"/>
        </w:rPr>
        <w:t>. 55% of the global population were living in cities by 2018 and 68% are projected to do so in 2050</w:t>
      </w:r>
      <w:r w:rsidR="00C110C2">
        <w:rPr>
          <w:szCs w:val="22"/>
          <w:lang w:val="en-US"/>
        </w:rPr>
        <w:t>.</w:t>
      </w:r>
    </w:p>
    <w:p w14:paraId="0EC71E29" w14:textId="141BAAA8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 growing urban population </w:t>
      </w:r>
      <w:r w:rsidR="00664883">
        <w:rPr>
          <w:szCs w:val="22"/>
          <w:lang w:val="en-US"/>
        </w:rPr>
        <w:t>depend</w:t>
      </w:r>
      <w:r w:rsidR="00170310">
        <w:rPr>
          <w:szCs w:val="22"/>
          <w:lang w:val="en-US"/>
        </w:rPr>
        <w:t>s</w:t>
      </w:r>
      <w:r w:rsidR="00664883">
        <w:rPr>
          <w:szCs w:val="22"/>
          <w:lang w:val="en-US"/>
        </w:rPr>
        <w:t xml:space="preserve"> </w:t>
      </w:r>
      <w:r w:rsidR="00353610">
        <w:rPr>
          <w:szCs w:val="22"/>
          <w:lang w:val="en-US"/>
        </w:rPr>
        <w:t xml:space="preserve">increasingly </w:t>
      </w:r>
      <w:r w:rsidR="00664883">
        <w:rPr>
          <w:szCs w:val="22"/>
          <w:lang w:val="en-US"/>
        </w:rPr>
        <w:t>on urban ecosystems</w:t>
      </w:r>
      <w:r w:rsidR="00DD0EC9">
        <w:rPr>
          <w:szCs w:val="22"/>
          <w:lang w:val="en-US"/>
        </w:rPr>
        <w:t xml:space="preserve"> (</w:t>
      </w:r>
      <w:proofErr w:type="spellStart"/>
      <w:r w:rsidR="00DD0EC9">
        <w:rPr>
          <w:szCs w:val="22"/>
          <w:lang w:val="en-US"/>
        </w:rPr>
        <w:t>Elm</w:t>
      </w:r>
      <w:r w:rsidR="00664883">
        <w:rPr>
          <w:szCs w:val="22"/>
          <w:lang w:val="en-US"/>
        </w:rPr>
        <w:t>qvist</w:t>
      </w:r>
      <w:proofErr w:type="spellEnd"/>
      <w:r w:rsidR="00664883">
        <w:rPr>
          <w:szCs w:val="22"/>
          <w:lang w:val="en-US"/>
        </w:rPr>
        <w:t xml:space="preserve"> et al. 2021</w:t>
      </w:r>
      <w:r w:rsidR="00083F12">
        <w:rPr>
          <w:szCs w:val="22"/>
          <w:lang w:val="en-US"/>
        </w:rPr>
        <w:t xml:space="preserve">, </w:t>
      </w:r>
      <w:r w:rsidR="00083F12">
        <w:rPr>
          <w:szCs w:val="22"/>
          <w:lang w:val="en-US"/>
        </w:rPr>
        <w:t>UN 2019</w:t>
      </w:r>
      <w:r w:rsidR="00664883">
        <w:rPr>
          <w:szCs w:val="22"/>
          <w:lang w:val="en-US"/>
        </w:rPr>
        <w:t>)</w:t>
      </w:r>
      <w:r>
        <w:rPr>
          <w:szCs w:val="22"/>
          <w:lang w:val="en-US"/>
        </w:rPr>
        <w:t>.</w:t>
      </w:r>
      <w:commentRangeEnd w:id="0"/>
      <w:r>
        <w:commentReference w:id="0"/>
      </w:r>
    </w:p>
    <w:p w14:paraId="39A59E03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Ecosystems supply ecosystem services (ES) which are critical to human well-being (Fisher et al. 2019). </w:t>
      </w:r>
    </w:p>
    <w:p w14:paraId="21ABB8C7" w14:textId="6C84E826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commentRangeStart w:id="1"/>
      <w:r>
        <w:rPr>
          <w:szCs w:val="22"/>
          <w:lang w:val="en-US"/>
        </w:rPr>
        <w:t xml:space="preserve">Living in proximity of urban green spaces (UGS) </w:t>
      </w:r>
      <w:r w:rsidR="00A91894">
        <w:rPr>
          <w:szCs w:val="22"/>
          <w:lang w:val="en-US"/>
        </w:rPr>
        <w:t>can help alleviate the impacts of climate change on</w:t>
      </w:r>
      <w:r w:rsidR="007F316B">
        <w:rPr>
          <w:szCs w:val="22"/>
          <w:lang w:val="en-US"/>
        </w:rPr>
        <w:t xml:space="preserve"> and aging</w:t>
      </w:r>
      <w:r w:rsidR="00A91894">
        <w:rPr>
          <w:szCs w:val="22"/>
          <w:lang w:val="en-US"/>
        </w:rPr>
        <w:t xml:space="preserve"> urban population, as well as improve overall public health in cities </w:t>
      </w:r>
      <w:r>
        <w:rPr>
          <w:szCs w:val="22"/>
          <w:lang w:val="en-US"/>
        </w:rPr>
        <w:t>(Kabisch</w:t>
      </w:r>
      <w:r w:rsidR="00664883">
        <w:rPr>
          <w:szCs w:val="22"/>
          <w:lang w:val="en-US"/>
        </w:rPr>
        <w:t xml:space="preserve"> et al. </w:t>
      </w:r>
      <w:r>
        <w:rPr>
          <w:szCs w:val="22"/>
          <w:lang w:val="en-US"/>
        </w:rPr>
        <w:t>20</w:t>
      </w:r>
      <w:r w:rsidR="00664883">
        <w:rPr>
          <w:szCs w:val="22"/>
          <w:lang w:val="en-US"/>
        </w:rPr>
        <w:t>21</w:t>
      </w:r>
      <w:r w:rsidR="0047061D">
        <w:rPr>
          <w:szCs w:val="22"/>
          <w:lang w:val="en-US"/>
        </w:rPr>
        <w:t xml:space="preserve">a, </w:t>
      </w:r>
      <w:r w:rsidR="0047061D">
        <w:rPr>
          <w:szCs w:val="22"/>
          <w:lang w:val="en-US"/>
        </w:rPr>
        <w:t>Kabisch et al. 2021</w:t>
      </w:r>
      <w:r w:rsidR="0047061D">
        <w:rPr>
          <w:szCs w:val="22"/>
          <w:lang w:val="en-US"/>
        </w:rPr>
        <w:t>b</w:t>
      </w:r>
      <w:r>
        <w:rPr>
          <w:szCs w:val="22"/>
          <w:lang w:val="en-US"/>
        </w:rPr>
        <w:t>).</w:t>
      </w:r>
    </w:p>
    <w:p w14:paraId="53DC5C0B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Thus, having access to UGS can enhance urban inhabitants’ quality of life (EU 2018, Poelman 2018).</w:t>
      </w:r>
      <w:commentRangeEnd w:id="1"/>
      <w:r>
        <w:commentReference w:id="1"/>
      </w:r>
    </w:p>
    <w:p w14:paraId="45BC1A10" w14:textId="47F4D9E5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Likewise, the United Nations have agreed to provide universal access to public green spaces by 2030 in </w:t>
      </w:r>
      <w:r>
        <w:rPr>
          <w:szCs w:val="22"/>
          <w:lang w:val="en-US"/>
        </w:rPr>
        <w:t>Sustainable</w:t>
      </w:r>
      <w:r>
        <w:rPr>
          <w:szCs w:val="22"/>
          <w:lang w:val="en-US"/>
        </w:rPr>
        <w:t xml:space="preserve"> Development Goal 11.7.</w:t>
      </w:r>
      <w:bookmarkStart w:id="2" w:name="move106354737"/>
      <w:bookmarkEnd w:id="2"/>
    </w:p>
    <w:p w14:paraId="5C40C3C8" w14:textId="77777777" w:rsidR="007C730F" w:rsidRDefault="007C730F">
      <w:pPr>
        <w:ind w:left="1080"/>
        <w:rPr>
          <w:szCs w:val="22"/>
          <w:lang w:val="en-US"/>
        </w:rPr>
      </w:pPr>
    </w:p>
    <w:p w14:paraId="3BA3C60B" w14:textId="77777777" w:rsidR="007C730F" w:rsidRDefault="00C110C2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In Europe, 74% of the population are living in cities (UN 2019).</w:t>
      </w:r>
    </w:p>
    <w:p w14:paraId="14F16D8A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Here, the population pressure on UGS might be amplified by the compact city paradigm, which is popular among European city planners: A more compact city can result in</w:t>
      </w:r>
      <w:r>
        <w:rPr>
          <w:szCs w:val="22"/>
          <w:lang w:val="en-US"/>
        </w:rPr>
        <w:t xml:space="preserve"> shorter traveling distances but also in more overcrowding effects (Commission of European Communities, 1990; Burton, 2003).</w:t>
      </w:r>
      <w:bookmarkStart w:id="3" w:name="move106354897"/>
      <w:bookmarkEnd w:id="3"/>
    </w:p>
    <w:p w14:paraId="0D03FCEF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Accordingly, more people living in proximity to and benefitting from an UGS also increase the pressure on its ecological functions </w:t>
      </w:r>
      <w:r>
        <w:rPr>
          <w:szCs w:val="22"/>
          <w:lang w:val="en-US"/>
        </w:rPr>
        <w:t>(Wolff &amp; Haase, 2019).</w:t>
      </w:r>
    </w:p>
    <w:p w14:paraId="6D0B2055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order to detect such mismatches in green space supply and demand and to provide equal access to UGS, mapping UGS accessibility is key (Larondelle &amp; Haase 2013).</w:t>
      </w:r>
    </w:p>
    <w:p w14:paraId="5EE44FF8" w14:textId="77777777" w:rsidR="007C730F" w:rsidRDefault="007C730F">
      <w:pPr>
        <w:widowControl/>
        <w:suppressAutoHyphens w:val="0"/>
        <w:rPr>
          <w:szCs w:val="22"/>
          <w:lang w:val="en-US"/>
        </w:rPr>
      </w:pPr>
    </w:p>
    <w:p w14:paraId="77DCB6EE" w14:textId="4B8C26B9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walkable environment – the space </w:t>
      </w:r>
      <w:r>
        <w:rPr>
          <w:i/>
          <w:iCs/>
          <w:szCs w:val="22"/>
          <w:lang w:val="en-US"/>
        </w:rPr>
        <w:t>in between</w:t>
      </w:r>
      <w:r>
        <w:rPr>
          <w:szCs w:val="22"/>
          <w:lang w:val="en-US"/>
        </w:rPr>
        <w:t xml:space="preserve"> urban dwellers and U</w:t>
      </w:r>
      <w:r>
        <w:rPr>
          <w:szCs w:val="22"/>
          <w:lang w:val="en-US"/>
        </w:rPr>
        <w:t xml:space="preserve">GS – </w:t>
      </w:r>
      <w:r w:rsidR="00D555B1">
        <w:rPr>
          <w:szCs w:val="22"/>
          <w:lang w:val="en-US"/>
        </w:rPr>
        <w:t xml:space="preserve">not only </w:t>
      </w:r>
      <w:r>
        <w:rPr>
          <w:szCs w:val="22"/>
          <w:lang w:val="en-US"/>
        </w:rPr>
        <w:t>affects the quality of ES and, thus, the accessibility of UGS (Syrbe &amp; Walz 2012).</w:t>
      </w:r>
    </w:p>
    <w:p w14:paraId="68325523" w14:textId="4072AED8" w:rsidR="00A715A7" w:rsidRDefault="00C31F7B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Availability of UGS</w:t>
      </w:r>
      <w:r w:rsidR="00D555B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in walking distance</w:t>
      </w:r>
      <w:r w:rsidR="00D555B1">
        <w:rPr>
          <w:szCs w:val="22"/>
          <w:lang w:val="en-US"/>
        </w:rPr>
        <w:t xml:space="preserve"> can improve overall</w:t>
      </w:r>
      <w:r>
        <w:rPr>
          <w:szCs w:val="22"/>
          <w:lang w:val="en-US"/>
        </w:rPr>
        <w:t xml:space="preserve"> public</w:t>
      </w:r>
      <w:r w:rsidR="00D555B1">
        <w:rPr>
          <w:szCs w:val="22"/>
          <w:lang w:val="en-US"/>
        </w:rPr>
        <w:t xml:space="preserve"> health and increase the resilience of city dwellers (</w:t>
      </w:r>
      <w:r w:rsidR="00C110C2">
        <w:rPr>
          <w:szCs w:val="22"/>
          <w:lang w:val="en-US"/>
        </w:rPr>
        <w:t xml:space="preserve">Kabisch et al. 2021, </w:t>
      </w:r>
      <w:bookmarkStart w:id="4" w:name="_GoBack"/>
      <w:bookmarkEnd w:id="4"/>
      <w:r w:rsidR="002C1872">
        <w:rPr>
          <w:szCs w:val="22"/>
          <w:lang w:val="en-US"/>
        </w:rPr>
        <w:t>Richardson et al. 2013</w:t>
      </w:r>
      <w:r w:rsidR="00D555B1">
        <w:rPr>
          <w:szCs w:val="22"/>
          <w:lang w:val="en-US"/>
        </w:rPr>
        <w:t>).</w:t>
      </w:r>
    </w:p>
    <w:p w14:paraId="6962C07E" w14:textId="7B5432EB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 proper modeling of UGS accessibility must, therefore, put emphasis on modeling the walkable environment of a city (Wolff 2021).</w:t>
      </w:r>
    </w:p>
    <w:p w14:paraId="0C7FA1AE" w14:textId="5F9188DD" w:rsidR="007C730F" w:rsidRDefault="00C110C2">
      <w:pPr>
        <w:widowControl/>
        <w:suppressAutoHyphens w:val="0"/>
        <w:ind w:left="720"/>
        <w:rPr>
          <w:szCs w:val="22"/>
          <w:highlight w:val="yellow"/>
          <w:lang w:val="en-US"/>
        </w:rPr>
      </w:pPr>
      <w:r>
        <w:rPr>
          <w:szCs w:val="22"/>
          <w:lang w:val="en-US"/>
        </w:rPr>
        <w:t>Yet, easy to use and open source tools</w:t>
      </w:r>
      <w:r>
        <w:rPr>
          <w:szCs w:val="22"/>
          <w:lang w:val="en-US"/>
        </w:rPr>
        <w:t xml:space="preserve"> for comparatively modeling the walkability of European cities </w:t>
      </w:r>
      <w:r w:rsidRPr="00480BCD">
        <w:rPr>
          <w:szCs w:val="22"/>
          <w:lang w:val="en-US"/>
        </w:rPr>
        <w:t xml:space="preserve">are </w:t>
      </w:r>
      <w:r w:rsidRPr="00480BCD">
        <w:rPr>
          <w:szCs w:val="22"/>
          <w:lang w:val="en-US"/>
        </w:rPr>
        <w:t>lacking (e</w:t>
      </w:r>
      <w:commentRangeStart w:id="5"/>
      <w:commentRangeStart w:id="6"/>
      <w:r w:rsidRPr="00480BCD">
        <w:rPr>
          <w:szCs w:val="22"/>
          <w:highlight w:val="yellow"/>
          <w:lang w:val="en-US"/>
        </w:rPr>
        <w:t xml:space="preserve">.g. </w:t>
      </w:r>
      <w:r>
        <w:rPr>
          <w:szCs w:val="22"/>
          <w:highlight w:val="yellow"/>
          <w:lang w:val="en-US"/>
        </w:rPr>
        <w:t>Kabisch et al. 2016</w:t>
      </w:r>
      <w:r>
        <w:rPr>
          <w:szCs w:val="22"/>
          <w:highlight w:val="yellow"/>
          <w:lang w:val="en-US"/>
        </w:rPr>
        <w:t>).</w:t>
      </w:r>
      <w:commentRangeEnd w:id="5"/>
      <w:r>
        <w:commentReference w:id="5"/>
      </w:r>
      <w:commentRangeEnd w:id="6"/>
      <w:r>
        <w:commentReference w:id="6"/>
      </w:r>
    </w:p>
    <w:p w14:paraId="406FC453" w14:textId="77777777" w:rsidR="007C730F" w:rsidRDefault="007C730F">
      <w:pPr>
        <w:widowControl/>
        <w:suppressAutoHyphens w:val="0"/>
        <w:rPr>
          <w:szCs w:val="22"/>
        </w:rPr>
      </w:pPr>
    </w:p>
    <w:p w14:paraId="1ACB75E7" w14:textId="77777777" w:rsidR="007C730F" w:rsidRPr="00664883" w:rsidRDefault="00C110C2">
      <w:pPr>
        <w:widowControl/>
        <w:suppressAutoHyphens w:val="0"/>
        <w:rPr>
          <w:b/>
          <w:szCs w:val="22"/>
          <w:shd w:val="clear" w:color="auto" w:fill="00A933"/>
        </w:rPr>
      </w:pPr>
      <w:r w:rsidRPr="00664883">
        <w:rPr>
          <w:b/>
          <w:szCs w:val="22"/>
          <w:shd w:val="clear" w:color="auto" w:fill="00A933"/>
        </w:rPr>
        <w:t xml:space="preserve">%Part 2: State </w:t>
      </w:r>
      <w:proofErr w:type="spellStart"/>
      <w:r w:rsidRPr="00664883">
        <w:rPr>
          <w:b/>
          <w:szCs w:val="22"/>
          <w:shd w:val="clear" w:color="auto" w:fill="00A933"/>
        </w:rPr>
        <w:t>of</w:t>
      </w:r>
      <w:proofErr w:type="spellEnd"/>
      <w:r w:rsidRPr="00664883">
        <w:rPr>
          <w:b/>
          <w:szCs w:val="22"/>
          <w:shd w:val="clear" w:color="auto" w:fill="00A933"/>
        </w:rPr>
        <w:t xml:space="preserve"> </w:t>
      </w:r>
      <w:proofErr w:type="spellStart"/>
      <w:r w:rsidRPr="00664883">
        <w:rPr>
          <w:b/>
          <w:szCs w:val="22"/>
          <w:shd w:val="clear" w:color="auto" w:fill="00A933"/>
        </w:rPr>
        <w:t>the</w:t>
      </w:r>
      <w:proofErr w:type="spellEnd"/>
      <w:r w:rsidRPr="00664883">
        <w:rPr>
          <w:b/>
          <w:szCs w:val="22"/>
          <w:shd w:val="clear" w:color="auto" w:fill="00A933"/>
        </w:rPr>
        <w:t xml:space="preserve"> </w:t>
      </w:r>
      <w:proofErr w:type="spellStart"/>
      <w:r w:rsidRPr="00664883">
        <w:rPr>
          <w:b/>
          <w:szCs w:val="22"/>
          <w:shd w:val="clear" w:color="auto" w:fill="00A933"/>
        </w:rPr>
        <w:t>art</w:t>
      </w:r>
      <w:proofErr w:type="spellEnd"/>
    </w:p>
    <w:p w14:paraId="0A76D8EB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commentRangeStart w:id="7"/>
      <w:r>
        <w:rPr>
          <w:szCs w:val="22"/>
          <w:lang w:val="en-US"/>
        </w:rPr>
        <w:t xml:space="preserve">Availability and accessibility of UGS in Europe </w:t>
      </w:r>
      <w:r>
        <w:rPr>
          <w:szCs w:val="22"/>
          <w:lang w:val="en-US"/>
        </w:rPr>
        <w:t>have been analyzed and compared in multiple studies.</w:t>
      </w:r>
    </w:p>
    <w:p w14:paraId="0C6C531E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their 2016 paper, Kabisch et al. carried out an assessment of green space availability in 299 EU cities. They used a population grid of 1 km² and land use data (urban atlas) to calculate the populatio</w:t>
      </w:r>
      <w:r>
        <w:rPr>
          <w:szCs w:val="22"/>
          <w:lang w:val="en-US"/>
        </w:rPr>
        <w:t>n within a buffer distance of UGS (Kabisch et al. 2016).</w:t>
      </w:r>
    </w:p>
    <w:p w14:paraId="32BD4BAA" w14:textId="77777777" w:rsidR="007C730F" w:rsidRDefault="00C110C2">
      <w:pPr>
        <w:pStyle w:val="ListParagraph"/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use of Euclidean (direct) distance in accessibility analysis has been found to underestimate spatial distances and to overestimate the provision of UGS in contrast to using network distance, thou</w:t>
      </w:r>
      <w:r>
        <w:rPr>
          <w:szCs w:val="22"/>
          <w:lang w:val="en-US"/>
        </w:rPr>
        <w:t>gh (Moseley et al. 2013, Sander et al. 2010).</w:t>
      </w:r>
    </w:p>
    <w:p w14:paraId="230C8137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2016, the Joint Research Center (JRC) of the European Union developed an indicator for areas that are served by UGS in European cities. In their analysis, the authors used a 10 m² resolution land use data gr</w:t>
      </w:r>
      <w:r>
        <w:rPr>
          <w:szCs w:val="22"/>
          <w:lang w:val="en-US"/>
        </w:rPr>
        <w:t>id and a 100 m² population mosaic and a network-based approach (European Commission 2016).</w:t>
      </w:r>
    </w:p>
    <w:p w14:paraId="31C5E742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another analysis from 2018, the JRC used urban atlas data and a street network to assess the area that urban dwellers can reach in a walking distance of 10 minute</w:t>
      </w:r>
      <w:r>
        <w:rPr>
          <w:szCs w:val="22"/>
          <w:lang w:val="en-US"/>
        </w:rPr>
        <w:t>s. Their analysis also resulted in an area per population measure on a city level (Poelmann, 2018).</w:t>
      </w:r>
      <w:commentRangeEnd w:id="7"/>
      <w:r>
        <w:commentReference w:id="7"/>
      </w:r>
    </w:p>
    <w:p w14:paraId="5AE5F18C" w14:textId="77777777" w:rsidR="007C730F" w:rsidRDefault="007C730F">
      <w:pPr>
        <w:widowControl/>
        <w:suppressAutoHyphens w:val="0"/>
        <w:ind w:left="720"/>
        <w:rPr>
          <w:szCs w:val="22"/>
          <w:lang w:val="en-US"/>
        </w:rPr>
      </w:pPr>
    </w:p>
    <w:p w14:paraId="42705F00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>In a 2021 paper, Wolff coupled the population pressure and proximity perspectives by applying network characteristics. In his analysis, he found two pro</w:t>
      </w:r>
      <w:r>
        <w:rPr>
          <w:szCs w:val="22"/>
          <w:lang w:val="en-US"/>
        </w:rPr>
        <w:t>mising indicators, the Detour Index (DI) and the Local Significance (LS) (Wolff 2021).</w:t>
      </w:r>
    </w:p>
    <w:p w14:paraId="6BF9665A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DI is a measure of the efficiency of a route taken to reach a goal (</w:t>
      </w:r>
      <w:proofErr w:type="spellStart"/>
      <w:r>
        <w:rPr>
          <w:szCs w:val="22"/>
          <w:lang w:val="en-US"/>
        </w:rPr>
        <w:t>Bathelmy</w:t>
      </w:r>
      <w:proofErr w:type="spellEnd"/>
      <w:r>
        <w:rPr>
          <w:szCs w:val="22"/>
          <w:lang w:val="en-US"/>
        </w:rPr>
        <w:t xml:space="preserve"> 2018).</w:t>
      </w:r>
    </w:p>
    <w:p w14:paraId="59D8855A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Hence, the DI can be used to model barriers that people have to overcome on their</w:t>
      </w:r>
      <w:r>
        <w:rPr>
          <w:szCs w:val="22"/>
          <w:lang w:val="en-US"/>
        </w:rPr>
        <w:t xml:space="preserve"> way to UGS (Wolff 2021).</w:t>
      </w:r>
    </w:p>
    <w:p w14:paraId="6280B4DF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LS is a simple measure to describe the relevance of different edges of a network (</w:t>
      </w:r>
      <w:proofErr w:type="spellStart"/>
      <w:r>
        <w:rPr>
          <w:szCs w:val="22"/>
          <w:lang w:val="en-US"/>
        </w:rPr>
        <w:t>Esch</w:t>
      </w:r>
      <w:proofErr w:type="spellEnd"/>
      <w:r>
        <w:rPr>
          <w:szCs w:val="22"/>
          <w:lang w:val="en-US"/>
        </w:rPr>
        <w:t xml:space="preserve"> 2014).</w:t>
      </w:r>
    </w:p>
    <w:p w14:paraId="7EA7AD6B" w14:textId="06E0135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With a little modification, the LS can be utilized to model use-intensity of those edges </w:t>
      </w:r>
      <w:r>
        <w:rPr>
          <w:szCs w:val="22"/>
          <w:lang w:val="en-US"/>
        </w:rPr>
        <w:t xml:space="preserve">connecting population demand </w:t>
      </w:r>
      <w:r>
        <w:rPr>
          <w:szCs w:val="22"/>
          <w:lang w:val="en-US"/>
        </w:rPr>
        <w:t>wit</w:t>
      </w:r>
      <w:r>
        <w:rPr>
          <w:szCs w:val="22"/>
          <w:lang w:val="en-US"/>
        </w:rPr>
        <w:t xml:space="preserve">h </w:t>
      </w:r>
      <w:r>
        <w:rPr>
          <w:szCs w:val="22"/>
          <w:lang w:val="en-US"/>
        </w:rPr>
        <w:t xml:space="preserve">UGS. As a consequence, LS might serve as a spatial indicator for overuse of UGS (Wolff 2021). </w:t>
      </w:r>
    </w:p>
    <w:p w14:paraId="01B4DCFB" w14:textId="77777777" w:rsidR="007C730F" w:rsidRDefault="007C730F">
      <w:pPr>
        <w:widowControl/>
        <w:suppressAutoHyphens w:val="0"/>
        <w:rPr>
          <w:szCs w:val="22"/>
          <w:lang w:val="en-US"/>
        </w:rPr>
      </w:pPr>
    </w:p>
    <w:p w14:paraId="128E4D72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Previous research did rarely account for the mutual dependencies of supply and demand, or did it put the focus on the walkable environment (Syrbe &amp; Grunewald </w:t>
      </w:r>
      <w:r>
        <w:rPr>
          <w:szCs w:val="22"/>
          <w:lang w:val="en-US"/>
        </w:rPr>
        <w:t>2017).</w:t>
      </w:r>
    </w:p>
    <w:p w14:paraId="783DD419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Using fixed distances for assessing green space accessibility might lead to numerical quantities instead of focusing on the location of the mismatch between ES supply and demand (Syrbe &amp; Grunewald 2017, Higgs et al. 2012).</w:t>
      </w:r>
    </w:p>
    <w:p w14:paraId="76FEB113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Furthermore, we saw mostly</w:t>
      </w:r>
      <w:r>
        <w:rPr>
          <w:szCs w:val="22"/>
          <w:lang w:val="en-US"/>
        </w:rPr>
        <w:t xml:space="preserve"> one perspective being used to assess green space accessibility (provision, population pressure or proximity).</w:t>
      </w:r>
    </w:p>
    <w:p w14:paraId="23DC189F" w14:textId="77777777" w:rsidR="007C730F" w:rsidRDefault="00C110C2">
      <w:pPr>
        <w:widowControl/>
        <w:suppressAutoHyphens w:val="0"/>
        <w:ind w:left="720"/>
        <w:rPr>
          <w:szCs w:val="22"/>
          <w:lang w:val="en-GB"/>
        </w:rPr>
      </w:pPr>
      <w:r>
        <w:rPr>
          <w:szCs w:val="22"/>
          <w:lang w:val="en-GB"/>
        </w:rPr>
        <w:t>But a high provision of UGS in a city, for example, does not necessarily indicate an equal or adequate distribution of UGS (Poelman 2018).</w:t>
      </w:r>
    </w:p>
    <w:p w14:paraId="4DA942D5" w14:textId="77777777" w:rsidR="007C730F" w:rsidRDefault="007C730F">
      <w:pPr>
        <w:widowControl/>
        <w:suppressAutoHyphens w:val="0"/>
        <w:ind w:left="720"/>
        <w:rPr>
          <w:szCs w:val="22"/>
          <w:lang w:val="en-GB"/>
        </w:rPr>
      </w:pPr>
    </w:p>
    <w:p w14:paraId="7175D29F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ad</w:t>
      </w:r>
      <w:r>
        <w:rPr>
          <w:szCs w:val="22"/>
          <w:lang w:val="en-US"/>
        </w:rPr>
        <w:t>dition to the previous points, the mentioned studies, if on a larger scale, were carried out on a coarse resolution (Kabisch et al. 2016, European Commission 2016).</w:t>
      </w:r>
    </w:p>
    <w:p w14:paraId="501E1785" w14:textId="5D52B2C4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 higher resolution can reveal spatial patterns at a finer scale enabling targeted interven</w:t>
      </w:r>
      <w:r>
        <w:rPr>
          <w:szCs w:val="22"/>
          <w:lang w:val="en-US"/>
        </w:rPr>
        <w:t>tion while also reducing uncertainties that are introduced by e.g. a population grid or a city block aggregation as in urban atlas data (</w:t>
      </w:r>
      <w:proofErr w:type="spellStart"/>
      <w:r>
        <w:rPr>
          <w:szCs w:val="22"/>
          <w:lang w:val="en-US"/>
        </w:rPr>
        <w:t>Bathelmy</w:t>
      </w:r>
      <w:proofErr w:type="spellEnd"/>
      <w:r>
        <w:rPr>
          <w:szCs w:val="22"/>
          <w:lang w:val="en-US"/>
        </w:rPr>
        <w:t xml:space="preserve"> 2018, </w:t>
      </w:r>
      <w:proofErr w:type="spellStart"/>
      <w:r>
        <w:rPr>
          <w:szCs w:val="22"/>
          <w:lang w:val="en-US"/>
        </w:rPr>
        <w:t>Esch</w:t>
      </w:r>
      <w:proofErr w:type="spellEnd"/>
      <w:r>
        <w:rPr>
          <w:szCs w:val="22"/>
          <w:lang w:val="en-US"/>
        </w:rPr>
        <w:t xml:space="preserve"> et al. 2014).</w:t>
      </w:r>
    </w:p>
    <w:p w14:paraId="1C3DBC15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Achieving a high resolution on a large scale can be challenging, though, since </w:t>
      </w:r>
      <w:r>
        <w:rPr>
          <w:szCs w:val="22"/>
          <w:lang w:val="en-US"/>
        </w:rPr>
        <w:t>freely available and comparable datasets are scarce (</w:t>
      </w:r>
      <w:proofErr w:type="spellStart"/>
      <w:r>
        <w:rPr>
          <w:szCs w:val="22"/>
          <w:lang w:val="en-US"/>
        </w:rPr>
        <w:t>Feltynowski</w:t>
      </w:r>
      <w:proofErr w:type="spellEnd"/>
      <w:r>
        <w:rPr>
          <w:szCs w:val="22"/>
          <w:lang w:val="en-US"/>
        </w:rPr>
        <w:t>, 2018, Dumitru &amp; Wendling 2021).</w:t>
      </w:r>
    </w:p>
    <w:p w14:paraId="076541E2" w14:textId="77777777" w:rsidR="007C730F" w:rsidRDefault="007C730F">
      <w:pPr>
        <w:widowControl/>
        <w:suppressAutoHyphens w:val="0"/>
        <w:rPr>
          <w:szCs w:val="22"/>
          <w:lang w:val="en-US"/>
        </w:rPr>
      </w:pPr>
    </w:p>
    <w:p w14:paraId="529D1CD2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commentRangeStart w:id="8"/>
      <w:r>
        <w:rPr>
          <w:szCs w:val="22"/>
          <w:lang w:val="en-US"/>
        </w:rPr>
        <w:t>All things considered, knowledge about green space accessibility is important for planning and decision making and mapping the capacity, flow and demand of E</w:t>
      </w:r>
      <w:r>
        <w:rPr>
          <w:szCs w:val="22"/>
          <w:lang w:val="en-US"/>
        </w:rPr>
        <w:t>S in urban areas has been found to facilitate urban planning (Baró et al, 2016).</w:t>
      </w:r>
    </w:p>
    <w:p w14:paraId="70677416" w14:textId="3E3B4347" w:rsidR="007C730F" w:rsidRPr="005933B1" w:rsidRDefault="00C110C2">
      <w:pPr>
        <w:widowControl/>
        <w:suppressAutoHyphens w:val="0"/>
        <w:ind w:left="720"/>
        <w:rPr>
          <w:szCs w:val="22"/>
        </w:rPr>
      </w:pPr>
      <w:r>
        <w:rPr>
          <w:szCs w:val="22"/>
          <w:lang w:val="en-US"/>
        </w:rPr>
        <w:t>Improving the modeling of the walkable environment with a combination of population pressure and proximity aspects of green space accessibility might prove promising to detect</w:t>
      </w:r>
      <w:r>
        <w:rPr>
          <w:szCs w:val="22"/>
          <w:lang w:val="en-US"/>
        </w:rPr>
        <w:t xml:space="preserve"> mismatches between UGS supply and demand</w:t>
      </w:r>
      <w:r w:rsidR="006974D0">
        <w:rPr>
          <w:szCs w:val="22"/>
          <w:lang w:val="en-US"/>
        </w:rPr>
        <w:t xml:space="preserve"> (</w:t>
      </w:r>
      <w:proofErr w:type="spellStart"/>
      <w:r w:rsidR="006974D0">
        <w:rPr>
          <w:szCs w:val="22"/>
          <w:lang w:val="en-US"/>
        </w:rPr>
        <w:t>Biernacka</w:t>
      </w:r>
      <w:proofErr w:type="spellEnd"/>
      <w:r w:rsidR="006974D0">
        <w:rPr>
          <w:szCs w:val="22"/>
          <w:lang w:val="en-US"/>
        </w:rPr>
        <w:t xml:space="preserve"> et al. 20</w:t>
      </w:r>
      <w:r w:rsidR="00FA2C5A">
        <w:rPr>
          <w:szCs w:val="22"/>
          <w:lang w:val="en-US"/>
        </w:rPr>
        <w:t>20</w:t>
      </w:r>
      <w:r w:rsidR="006974D0">
        <w:rPr>
          <w:szCs w:val="22"/>
          <w:lang w:val="en-US"/>
        </w:rPr>
        <w:t xml:space="preserve">, </w:t>
      </w:r>
      <w:proofErr w:type="spellStart"/>
      <w:r w:rsidR="006974D0">
        <w:rPr>
          <w:szCs w:val="22"/>
          <w:lang w:val="en-US"/>
        </w:rPr>
        <w:t>Biernacka</w:t>
      </w:r>
      <w:proofErr w:type="spellEnd"/>
      <w:r w:rsidR="006974D0">
        <w:rPr>
          <w:szCs w:val="22"/>
          <w:lang w:val="en-US"/>
        </w:rPr>
        <w:t xml:space="preserve"> &amp; </w:t>
      </w:r>
      <w:proofErr w:type="spellStart"/>
      <w:r w:rsidR="006974D0">
        <w:rPr>
          <w:szCs w:val="22"/>
          <w:lang w:val="en-US"/>
        </w:rPr>
        <w:t>Kronenberg</w:t>
      </w:r>
      <w:proofErr w:type="spellEnd"/>
      <w:r w:rsidR="006974D0">
        <w:rPr>
          <w:szCs w:val="22"/>
          <w:lang w:val="en-US"/>
        </w:rPr>
        <w:t xml:space="preserve"> 20</w:t>
      </w:r>
      <w:r w:rsidR="00FA2C5A">
        <w:rPr>
          <w:szCs w:val="22"/>
          <w:lang w:val="en-US"/>
        </w:rPr>
        <w:t>19</w:t>
      </w:r>
      <w:r w:rsidR="006974D0">
        <w:rPr>
          <w:szCs w:val="22"/>
          <w:lang w:val="en-US"/>
        </w:rPr>
        <w:t>)</w:t>
      </w:r>
      <w:r>
        <w:rPr>
          <w:szCs w:val="22"/>
          <w:lang w:val="en-US"/>
        </w:rPr>
        <w:t>.</w:t>
      </w:r>
      <w:commentRangeEnd w:id="8"/>
      <w:r>
        <w:commentReference w:id="8"/>
      </w:r>
    </w:p>
    <w:p w14:paraId="267F35A3" w14:textId="61AACA4B" w:rsidR="00D036FD" w:rsidRDefault="00C110C2">
      <w:pPr>
        <w:widowControl/>
        <w:suppressAutoHyphens w:val="0"/>
        <w:ind w:left="720"/>
        <w:rPr>
          <w:szCs w:val="22"/>
          <w:lang w:val="en-US"/>
        </w:rPr>
      </w:pPr>
      <w:commentRangeStart w:id="9"/>
      <w:r>
        <w:rPr>
          <w:szCs w:val="22"/>
          <w:lang w:val="en-US"/>
        </w:rPr>
        <w:t xml:space="preserve">Finally, </w:t>
      </w:r>
      <w:r w:rsidR="008F3F99">
        <w:rPr>
          <w:szCs w:val="22"/>
          <w:lang w:val="en-US"/>
        </w:rPr>
        <w:t>municipalities across European countries still provide a mixture of different indices for measuring green space accessibility (Kabisch et al. 2016).</w:t>
      </w:r>
    </w:p>
    <w:p w14:paraId="701F7DA7" w14:textId="6487A890" w:rsidR="008F3F99" w:rsidRDefault="008F3F99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Comparing cities can provide a basis for better understanding of urban processes, though (Wolff &amp; Haase 2019).</w:t>
      </w:r>
    </w:p>
    <w:p w14:paraId="05F88470" w14:textId="6D7ECCEB" w:rsidR="007C730F" w:rsidRDefault="00AF6637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Y</w:t>
      </w:r>
      <w:r w:rsidR="00C110C2">
        <w:rPr>
          <w:szCs w:val="22"/>
          <w:lang w:val="en-US"/>
        </w:rPr>
        <w:t>et</w:t>
      </w:r>
      <w:r>
        <w:rPr>
          <w:szCs w:val="22"/>
          <w:lang w:val="en-US"/>
        </w:rPr>
        <w:t>, there is</w:t>
      </w:r>
      <w:r w:rsidR="00C110C2">
        <w:rPr>
          <w:szCs w:val="22"/>
          <w:lang w:val="en-US"/>
        </w:rPr>
        <w:t xml:space="preserve"> no easy-to-handle and comparable </w:t>
      </w:r>
      <w:r w:rsidR="00C110C2">
        <w:rPr>
          <w:szCs w:val="22"/>
          <w:lang w:val="en-US"/>
        </w:rPr>
        <w:t xml:space="preserve">tool using </w:t>
      </w:r>
      <w:r w:rsidR="00C110C2">
        <w:rPr>
          <w:szCs w:val="22"/>
          <w:lang w:val="en-US"/>
        </w:rPr>
        <w:t>a</w:t>
      </w:r>
      <w:r w:rsidR="00C110C2">
        <w:rPr>
          <w:szCs w:val="22"/>
          <w:lang w:val="en-US"/>
        </w:rPr>
        <w:t xml:space="preserve"> </w:t>
      </w:r>
      <w:r w:rsidR="00C110C2">
        <w:rPr>
          <w:szCs w:val="22"/>
          <w:lang w:val="en-US"/>
        </w:rPr>
        <w:t xml:space="preserve">high resolution </w:t>
      </w:r>
      <w:r w:rsidR="00C110C2">
        <w:rPr>
          <w:szCs w:val="22"/>
          <w:lang w:val="en-US"/>
        </w:rPr>
        <w:t>on a European scale with publicly available data and software.</w:t>
      </w:r>
      <w:commentRangeEnd w:id="9"/>
      <w:r w:rsidR="00C110C2">
        <w:commentReference w:id="9"/>
      </w:r>
    </w:p>
    <w:p w14:paraId="7D00D331" w14:textId="77777777" w:rsidR="007C730F" w:rsidRDefault="007C730F">
      <w:pPr>
        <w:widowControl/>
        <w:suppressAutoHyphens w:val="0"/>
        <w:ind w:left="720"/>
        <w:rPr>
          <w:szCs w:val="22"/>
          <w:lang w:val="en-US"/>
        </w:rPr>
      </w:pPr>
    </w:p>
    <w:p w14:paraId="54A0FBCA" w14:textId="77777777" w:rsidR="007C730F" w:rsidRDefault="007C730F">
      <w:pPr>
        <w:widowControl/>
        <w:suppressAutoHyphens w:val="0"/>
        <w:rPr>
          <w:szCs w:val="22"/>
          <w:lang w:val="en-US"/>
        </w:rPr>
      </w:pPr>
    </w:p>
    <w:p w14:paraId="3EE85A49" w14:textId="77777777" w:rsidR="007C730F" w:rsidRDefault="00C110C2">
      <w:pPr>
        <w:rPr>
          <w:b/>
          <w:szCs w:val="22"/>
          <w:lang w:val="en-US"/>
        </w:rPr>
      </w:pPr>
      <w:commentRangeStart w:id="10"/>
      <w:r>
        <w:rPr>
          <w:b/>
          <w:szCs w:val="22"/>
          <w:lang w:val="en-US"/>
        </w:rPr>
        <w:t>Co</w:t>
      </w:r>
      <w:commentRangeStart w:id="11"/>
      <w:r>
        <w:rPr>
          <w:b/>
          <w:szCs w:val="22"/>
          <w:lang w:val="en-US"/>
        </w:rPr>
        <w:t>nceptua</w:t>
      </w:r>
      <w:commentRangeEnd w:id="11"/>
      <w:r>
        <w:commentReference w:id="11"/>
      </w:r>
      <w:r>
        <w:rPr>
          <w:b/>
          <w:szCs w:val="22"/>
          <w:lang w:val="en-US"/>
        </w:rPr>
        <w:t>lization</w:t>
      </w:r>
      <w:commentRangeEnd w:id="10"/>
      <w:r>
        <w:commentReference w:id="10"/>
      </w:r>
    </w:p>
    <w:p w14:paraId="45CCBB82" w14:textId="77777777" w:rsidR="007C730F" w:rsidRDefault="00C110C2">
      <w:pPr>
        <w:pStyle w:val="ListParagraph"/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availability of UGS can be defined by the “amount of green area i</w:t>
      </w:r>
      <w:r>
        <w:rPr>
          <w:szCs w:val="22"/>
          <w:lang w:val="en-US"/>
        </w:rPr>
        <w:t>n a defined distance to where urban residents live” (Kabisch et al. 2016).</w:t>
      </w:r>
    </w:p>
    <w:p w14:paraId="5A424C62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Having actual access to UGS might be limited by additional factors, though. </w:t>
      </w:r>
    </w:p>
    <w:p w14:paraId="3C79237E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physical accessibility, for example, can be limited by fences, opening hours of an UGS, or the detou</w:t>
      </w:r>
      <w:r>
        <w:rPr>
          <w:szCs w:val="22"/>
          <w:lang w:val="en-US"/>
        </w:rPr>
        <w:t xml:space="preserve">rs people have to take to reach them. </w:t>
      </w:r>
    </w:p>
    <w:p w14:paraId="0E537517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Additionally, accessibility may be limited by perceived overcrowding effects through population pressure (Kabisch et al 2016, </w:t>
      </w:r>
      <w:proofErr w:type="spellStart"/>
      <w:r>
        <w:rPr>
          <w:szCs w:val="22"/>
          <w:lang w:val="en-US"/>
        </w:rPr>
        <w:t>Wollf</w:t>
      </w:r>
      <w:proofErr w:type="spellEnd"/>
      <w:r>
        <w:rPr>
          <w:szCs w:val="22"/>
          <w:lang w:val="en-US"/>
        </w:rPr>
        <w:t xml:space="preserve"> et al. 2020).</w:t>
      </w:r>
    </w:p>
    <w:p w14:paraId="32BF9E71" w14:textId="78B73FC0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As use intensity </w:t>
      </w:r>
      <w:r>
        <w:rPr>
          <w:szCs w:val="22"/>
          <w:lang w:val="en-US"/>
        </w:rPr>
        <w:t xml:space="preserve">can influence ES, it can create a mismatch between supply and demand (Syrbe &amp; Grunewald 2017). </w:t>
      </w:r>
    </w:p>
    <w:p w14:paraId="0F96775C" w14:textId="77777777" w:rsidR="007C730F" w:rsidRDefault="007C730F">
      <w:pPr>
        <w:widowControl/>
        <w:suppressAutoHyphens w:val="0"/>
        <w:rPr>
          <w:szCs w:val="22"/>
          <w:lang w:val="en-US"/>
        </w:rPr>
      </w:pPr>
    </w:p>
    <w:p w14:paraId="4A8C10A9" w14:textId="254A3E2E" w:rsidR="004928F3" w:rsidRDefault="004928F3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Approaches that account</w:t>
      </w:r>
      <w:r w:rsidR="00AE24CF">
        <w:rPr>
          <w:szCs w:val="22"/>
          <w:lang w:val="en-US"/>
        </w:rPr>
        <w:t>ed</w:t>
      </w:r>
      <w:r>
        <w:rPr>
          <w:szCs w:val="22"/>
          <w:lang w:val="en-US"/>
        </w:rPr>
        <w:t xml:space="preserve"> for the supply and demand aspect</w:t>
      </w:r>
      <w:r w:rsidR="00AE24CF">
        <w:rPr>
          <w:szCs w:val="22"/>
          <w:lang w:val="en-US"/>
        </w:rPr>
        <w:t>s</w:t>
      </w:r>
      <w:r>
        <w:rPr>
          <w:szCs w:val="22"/>
          <w:lang w:val="en-US"/>
        </w:rPr>
        <w:t xml:space="preserve"> of ES have usually postulated a population that is close to the places </w:t>
      </w:r>
      <w:r w:rsidR="00AE24CF">
        <w:rPr>
          <w:szCs w:val="22"/>
          <w:lang w:val="en-US"/>
        </w:rPr>
        <w:t xml:space="preserve">of </w:t>
      </w:r>
      <w:r>
        <w:rPr>
          <w:szCs w:val="22"/>
          <w:lang w:val="en-US"/>
        </w:rPr>
        <w:t xml:space="preserve">ES </w:t>
      </w:r>
      <w:r w:rsidR="00AE24CF">
        <w:rPr>
          <w:szCs w:val="22"/>
          <w:lang w:val="en-US"/>
        </w:rPr>
        <w:t>origin</w:t>
      </w:r>
      <w:r>
        <w:rPr>
          <w:szCs w:val="22"/>
          <w:lang w:val="en-US"/>
        </w:rPr>
        <w:t xml:space="preserve">. </w:t>
      </w:r>
    </w:p>
    <w:p w14:paraId="1A6DCF21" w14:textId="6F41CE16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commentRangeStart w:id="12"/>
      <w:r>
        <w:rPr>
          <w:szCs w:val="22"/>
          <w:lang w:val="en-US"/>
        </w:rPr>
        <w:t>Since ES are rarely consumed by humans at the same place where they are produced by the ecosystem, we distinguish service providing areas (SPA) and service dem</w:t>
      </w:r>
      <w:r>
        <w:rPr>
          <w:szCs w:val="22"/>
          <w:lang w:val="en-US"/>
        </w:rPr>
        <w:t xml:space="preserve">anding areas (SDA). </w:t>
      </w:r>
    </w:p>
    <w:p w14:paraId="01AFDC24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Service providing areas (SPA) represent the supplying side, the spatial unit where the ES are generated (Fisher et al. 2009, Syrbe and Walz, 2012, </w:t>
      </w:r>
      <w:proofErr w:type="spellStart"/>
      <w:r>
        <w:rPr>
          <w:szCs w:val="22"/>
          <w:lang w:val="en-US"/>
        </w:rPr>
        <w:t>Dworczyk</w:t>
      </w:r>
      <w:proofErr w:type="spellEnd"/>
      <w:r>
        <w:rPr>
          <w:szCs w:val="22"/>
          <w:lang w:val="en-US"/>
        </w:rPr>
        <w:t xml:space="preserve"> &amp; Burkhard 2021).</w:t>
      </w:r>
    </w:p>
    <w:p w14:paraId="529CF891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cities, UGS supply for example the cultural ES of recreati</w:t>
      </w:r>
      <w:r>
        <w:rPr>
          <w:szCs w:val="22"/>
          <w:lang w:val="en-US"/>
        </w:rPr>
        <w:t>on for residents (Dickinson &amp; Hobbs 2017).</w:t>
      </w:r>
    </w:p>
    <w:p w14:paraId="6AF8A1F3" w14:textId="1084553E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Service demanding areas (SDA) embody the places where</w:t>
      </w:r>
      <w:r w:rsidR="004928F3">
        <w:rPr>
          <w:szCs w:val="22"/>
          <w:lang w:val="en-US"/>
        </w:rPr>
        <w:t xml:space="preserve"> the potential</w:t>
      </w:r>
      <w:r>
        <w:rPr>
          <w:szCs w:val="22"/>
          <w:lang w:val="en-US"/>
        </w:rPr>
        <w:t xml:space="preserve"> demand for ES arises, e.g. the places where people live. In the case of UGS in an urban environment, residential areas or buildings are an example for SDA (</w:t>
      </w:r>
      <w:proofErr w:type="spellStart"/>
      <w:r>
        <w:rPr>
          <w:szCs w:val="22"/>
          <w:lang w:val="en-US"/>
        </w:rPr>
        <w:t>Dwo</w:t>
      </w:r>
      <w:r>
        <w:rPr>
          <w:szCs w:val="22"/>
          <w:lang w:val="en-US"/>
        </w:rPr>
        <w:t>rczyk</w:t>
      </w:r>
      <w:proofErr w:type="spellEnd"/>
      <w:r>
        <w:rPr>
          <w:szCs w:val="22"/>
          <w:lang w:val="en-US"/>
        </w:rPr>
        <w:t xml:space="preserve"> &amp; Burkhard 2021).</w:t>
      </w:r>
    </w:p>
    <w:p w14:paraId="5F69DEDC" w14:textId="77777777" w:rsidR="007C730F" w:rsidRDefault="007C730F">
      <w:pPr>
        <w:widowControl/>
        <w:suppressAutoHyphens w:val="0"/>
        <w:ind w:left="1080"/>
        <w:rPr>
          <w:szCs w:val="22"/>
          <w:lang w:val="en-US"/>
        </w:rPr>
      </w:pPr>
    </w:p>
    <w:p w14:paraId="7B979A39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order to account for physical and perceived barriers to green space access, we have to take a look at the space between SPA and SDA, the service connecting areas (SCA).</w:t>
      </w:r>
    </w:p>
    <w:p w14:paraId="02048A07" w14:textId="29159B2B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SCA can be used to show the flow of ES between SPA and SDA </w:t>
      </w:r>
      <w:r>
        <w:rPr>
          <w:szCs w:val="22"/>
          <w:lang w:val="en-US"/>
        </w:rPr>
        <w:t>areas (</w:t>
      </w:r>
      <w:proofErr w:type="spellStart"/>
      <w:r>
        <w:rPr>
          <w:szCs w:val="22"/>
          <w:lang w:val="en-US"/>
        </w:rPr>
        <w:t>Dworczyk</w:t>
      </w:r>
      <w:proofErr w:type="spellEnd"/>
      <w:r>
        <w:rPr>
          <w:szCs w:val="22"/>
          <w:lang w:val="en-US"/>
        </w:rPr>
        <w:t xml:space="preserve"> &amp; Burkhard 2021, Syrbe &amp; Walz 2012</w:t>
      </w:r>
      <w:r>
        <w:rPr>
          <w:szCs w:val="22"/>
          <w:lang w:val="en-US"/>
        </w:rPr>
        <w:t>)</w:t>
      </w:r>
    </w:p>
    <w:p w14:paraId="5C91C76C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Regarding the scenario of UGS in cities, SCA are the walkable environment, i.e. the routes residents take to benefit from the ES in their neighborhood (Syrbe &amp; Grunewald 2017).</w:t>
      </w:r>
    </w:p>
    <w:p w14:paraId="5F9C726A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Consequently, the SCA in</w:t>
      </w:r>
      <w:r>
        <w:rPr>
          <w:szCs w:val="22"/>
          <w:lang w:val="en-US"/>
        </w:rPr>
        <w:t xml:space="preserve"> this case are the walkable street network of a city.</w:t>
      </w:r>
      <w:commentRangeEnd w:id="12"/>
      <w:r>
        <w:commentReference w:id="12"/>
      </w:r>
    </w:p>
    <w:p w14:paraId="59522BEA" w14:textId="77777777" w:rsidR="007C730F" w:rsidRDefault="007C730F">
      <w:pPr>
        <w:widowControl/>
        <w:suppressAutoHyphens w:val="0"/>
        <w:ind w:left="720"/>
        <w:rPr>
          <w:szCs w:val="22"/>
          <w:lang w:val="en-US"/>
        </w:rPr>
      </w:pPr>
    </w:p>
    <w:p w14:paraId="406BA13A" w14:textId="0798C185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Three perspectives have been used in past studies to model the </w:t>
      </w:r>
      <w:r w:rsidR="003043B0">
        <w:rPr>
          <w:szCs w:val="22"/>
          <w:lang w:val="en-US"/>
        </w:rPr>
        <w:t>SCA for</w:t>
      </w:r>
      <w:r>
        <w:rPr>
          <w:szCs w:val="22"/>
          <w:lang w:val="en-US"/>
        </w:rPr>
        <w:t xml:space="preserve"> UGS:</w:t>
      </w:r>
      <w:r w:rsidR="003043B0">
        <w:rPr>
          <w:szCs w:val="22"/>
          <w:lang w:val="en-US"/>
        </w:rPr>
        <w:t xml:space="preserve"> The proximity, provision and pressure perspectives.</w:t>
      </w:r>
    </w:p>
    <w:p w14:paraId="0CFEA4E7" w14:textId="7B099E73" w:rsidR="003043B0" w:rsidRDefault="003043B0" w:rsidP="003043B0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p</w:t>
      </w:r>
      <w:r>
        <w:rPr>
          <w:szCs w:val="22"/>
          <w:lang w:val="en-US"/>
        </w:rPr>
        <w:t>roximity perspective considers the space between supply and demand,</w:t>
      </w:r>
      <w:r w:rsidR="0079212F">
        <w:rPr>
          <w:szCs w:val="22"/>
          <w:lang w:val="en-US"/>
        </w:rPr>
        <w:t xml:space="preserve"> e.g. the walking distance</w:t>
      </w:r>
      <w:r>
        <w:rPr>
          <w:szCs w:val="22"/>
          <w:lang w:val="en-US"/>
        </w:rPr>
        <w:t xml:space="preserve"> </w:t>
      </w:r>
      <w:r w:rsidR="0079212F">
        <w:rPr>
          <w:szCs w:val="22"/>
          <w:lang w:val="en-US"/>
        </w:rPr>
        <w:t xml:space="preserve">between people’s homes and the UGS, </w:t>
      </w:r>
      <w:r w:rsidR="00810EEA">
        <w:rPr>
          <w:szCs w:val="22"/>
          <w:lang w:val="en-US"/>
        </w:rPr>
        <w:t xml:space="preserve">thus </w:t>
      </w:r>
      <w:r>
        <w:rPr>
          <w:szCs w:val="22"/>
          <w:lang w:val="en-US"/>
        </w:rPr>
        <w:t xml:space="preserve">highlighting the SCA. </w:t>
      </w:r>
    </w:p>
    <w:p w14:paraId="2B72E24A" w14:textId="4D4523B8" w:rsidR="003043B0" w:rsidRDefault="003043B0" w:rsidP="003043B0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 proximity perspective is necessary to account for barriers and</w:t>
      </w:r>
      <w:r w:rsidR="00E851CF">
        <w:rPr>
          <w:szCs w:val="22"/>
          <w:lang w:val="en-US"/>
        </w:rPr>
        <w:t xml:space="preserve"> other</w:t>
      </w:r>
      <w:r>
        <w:rPr>
          <w:szCs w:val="22"/>
          <w:lang w:val="en-US"/>
        </w:rPr>
        <w:t xml:space="preserve"> characteristics of the network. (Higgs et al. 2012, Wolff 2021).</w:t>
      </w:r>
    </w:p>
    <w:p w14:paraId="6DD3B8F6" w14:textId="40664F84" w:rsidR="003043B0" w:rsidRDefault="0044557D" w:rsidP="003043B0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Furthermore, g</w:t>
      </w:r>
      <w:r w:rsidR="003043B0">
        <w:rPr>
          <w:szCs w:val="22"/>
          <w:lang w:val="en-US"/>
        </w:rPr>
        <w:t>reen space proximity measures have been found to be among the most important factors influencing perceived accessibility, especially for minority groups (Wang et al. 2015, Ibes, 2015).</w:t>
      </w:r>
      <w:r w:rsidR="003043B0">
        <w:commentReference w:id="13"/>
      </w:r>
      <w:r w:rsidR="003043B0">
        <w:commentReference w:id="14"/>
      </w:r>
      <w:r w:rsidR="003043B0">
        <w:commentReference w:id="15"/>
      </w:r>
    </w:p>
    <w:p w14:paraId="7C14F327" w14:textId="44396C99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</w:t>
      </w:r>
      <w:r w:rsidR="003043B0">
        <w:rPr>
          <w:szCs w:val="22"/>
          <w:lang w:val="en-US"/>
        </w:rPr>
        <w:t xml:space="preserve"> widely used</w:t>
      </w:r>
      <w:r>
        <w:rPr>
          <w:szCs w:val="22"/>
          <w:lang w:val="en-US"/>
        </w:rPr>
        <w:t xml:space="preserve"> </w:t>
      </w:r>
      <w:r w:rsidR="003043B0">
        <w:rPr>
          <w:szCs w:val="22"/>
          <w:lang w:val="en-US"/>
        </w:rPr>
        <w:t xml:space="preserve">green space </w:t>
      </w:r>
      <w:r>
        <w:rPr>
          <w:szCs w:val="22"/>
          <w:lang w:val="en-US"/>
        </w:rPr>
        <w:t xml:space="preserve">provision perspective </w:t>
      </w:r>
      <w:r w:rsidR="009478FA">
        <w:rPr>
          <w:szCs w:val="22"/>
          <w:lang w:val="en-US"/>
        </w:rPr>
        <w:t xml:space="preserve">models </w:t>
      </w:r>
      <w:r>
        <w:rPr>
          <w:szCs w:val="22"/>
          <w:lang w:val="en-US"/>
        </w:rPr>
        <w:t xml:space="preserve">the flow from green area to buildings, thus, focusing on UGS </w:t>
      </w:r>
      <w:r>
        <w:rPr>
          <w:szCs w:val="22"/>
          <w:lang w:val="en-US"/>
        </w:rPr>
        <w:t>provision (area / person).</w:t>
      </w:r>
    </w:p>
    <w:p w14:paraId="4AC10B24" w14:textId="0EBA7A12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Secondly, the</w:t>
      </w:r>
      <w:r w:rsidR="00FA0589">
        <w:rPr>
          <w:szCs w:val="22"/>
          <w:lang w:val="en-US"/>
        </w:rPr>
        <w:t xml:space="preserve"> less often used</w:t>
      </w:r>
      <w:r>
        <w:rPr>
          <w:szCs w:val="22"/>
          <w:lang w:val="en-US"/>
        </w:rPr>
        <w:t xml:space="preserve"> population pressure perspective describes the flow from residential buildings (i.e. the population) to the UGS.</w:t>
      </w:r>
    </w:p>
    <w:p w14:paraId="6AD5342D" w14:textId="77777777" w:rsidR="007C730F" w:rsidRDefault="00C110C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focus here is on the pressure of the residents on an UGS or their demand for green areas (person / </w:t>
      </w:r>
      <w:r>
        <w:rPr>
          <w:szCs w:val="22"/>
          <w:lang w:val="en-US"/>
        </w:rPr>
        <w:t>area) (</w:t>
      </w:r>
      <w:proofErr w:type="spellStart"/>
      <w:r>
        <w:rPr>
          <w:szCs w:val="22"/>
          <w:lang w:val="en-US"/>
        </w:rPr>
        <w:t>Kimpton</w:t>
      </w:r>
      <w:proofErr w:type="spellEnd"/>
      <w:r>
        <w:rPr>
          <w:szCs w:val="22"/>
          <w:lang w:val="en-US"/>
        </w:rPr>
        <w:t xml:space="preserve"> 2017).</w:t>
      </w:r>
    </w:p>
    <w:p w14:paraId="6CACA28C" w14:textId="77777777" w:rsidR="007C730F" w:rsidRDefault="007C730F">
      <w:pPr>
        <w:widowControl/>
        <w:suppressAutoHyphens w:val="0"/>
        <w:ind w:left="720"/>
        <w:rPr>
          <w:szCs w:val="22"/>
          <w:lang w:val="en-US"/>
        </w:rPr>
      </w:pPr>
    </w:p>
    <w:p w14:paraId="35E4C674" w14:textId="77777777" w:rsidR="007C730F" w:rsidRDefault="007C730F">
      <w:pPr>
        <w:pStyle w:val="ListParagraph"/>
        <w:widowControl/>
        <w:suppressAutoHyphens w:val="0"/>
        <w:rPr>
          <w:szCs w:val="22"/>
          <w:lang w:val="en-US"/>
        </w:rPr>
      </w:pPr>
    </w:p>
    <w:p w14:paraId="5482DE95" w14:textId="77777777" w:rsidR="005933B1" w:rsidRDefault="005933B1" w:rsidP="005933B1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%Part 3: Objectives</w:t>
      </w:r>
    </w:p>
    <w:p w14:paraId="3BA1DE15" w14:textId="77777777" w:rsidR="005933B1" w:rsidRDefault="005933B1" w:rsidP="005933B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Modeling the </w:t>
      </w:r>
      <w:r>
        <w:rPr>
          <w:i/>
          <w:szCs w:val="22"/>
          <w:lang w:val="en-US"/>
        </w:rPr>
        <w:t>walkable environment</w:t>
      </w:r>
      <w:r>
        <w:rPr>
          <w:szCs w:val="22"/>
          <w:lang w:val="en-US"/>
        </w:rPr>
        <w:t xml:space="preserve"> of European cities by including the three perspectives mentioned above and using a network characteristics approach.</w:t>
      </w:r>
    </w:p>
    <w:p w14:paraId="4BD1B14E" w14:textId="77777777" w:rsidR="005933B1" w:rsidRDefault="005933B1" w:rsidP="005933B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We want to answer the questions:</w:t>
      </w:r>
    </w:p>
    <w:p w14:paraId="468BE9D5" w14:textId="77777777" w:rsidR="005933B1" w:rsidRDefault="005933B1" w:rsidP="005933B1">
      <w:pPr>
        <w:pStyle w:val="CommentText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 based on high resolution data? </w:t>
      </w:r>
    </w:p>
    <w:p w14:paraId="00966AD2" w14:textId="77777777" w:rsidR="005933B1" w:rsidRDefault="005933B1" w:rsidP="005933B1">
      <w:pPr>
        <w:pStyle w:val="CommentText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to incorporate publicly accessible data and open source software in order to allow i.) a reproduction over time (e.g. with more recent data), and ii.) comparative approaches covering a large sample of cities.</w:t>
      </w:r>
    </w:p>
    <w:p w14:paraId="258CB6FC" w14:textId="77777777" w:rsidR="005933B1" w:rsidRDefault="005933B1" w:rsidP="005933B1">
      <w:pPr>
        <w:pStyle w:val="ListParagraph"/>
        <w:widowControl/>
        <w:numPr>
          <w:ilvl w:val="0"/>
          <w:numId w:val="1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How can easily understandable and applicable indicators be used in order to support urban planning in detecting mismatches between demand and supply?</w:t>
      </w:r>
      <w:bookmarkStart w:id="16" w:name="page8R_mcid5"/>
      <w:bookmarkEnd w:id="16"/>
    </w:p>
    <w:p w14:paraId="225499F9" w14:textId="77777777" w:rsidR="005933B1" w:rsidRDefault="005933B1" w:rsidP="005933B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>The objectives that we derived from these questions are i.) to develop a modeling approach that applies walkability indices, ii.) to compare the results on a European scale, and iii.) to implement the indices by showing possible use cases for city planners.</w:t>
      </w:r>
    </w:p>
    <w:p w14:paraId="249E11B4" w14:textId="77777777" w:rsidR="007C730F" w:rsidRDefault="007C730F">
      <w:pPr>
        <w:widowControl/>
        <w:suppressAutoHyphens w:val="0"/>
        <w:rPr>
          <w:szCs w:val="22"/>
          <w:lang w:val="en-US"/>
        </w:rPr>
      </w:pPr>
    </w:p>
    <w:sectPr w:rsidR="007C730F">
      <w:pgSz w:w="11906" w:h="16838"/>
      <w:pgMar w:top="1417" w:right="1417" w:bottom="1134" w:left="1417" w:header="0" w:footer="0" w:gutter="0"/>
      <w:cols w:space="720"/>
      <w:formProt w:val="0"/>
      <w:docGrid w:linePitch="360" w:charSpace="1228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ase, Dagmar" w:date="2022-06-27T15:20:00Z" w:initials="HD">
    <w:p w14:paraId="5F19FDC1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Schöne Quelle:</w:t>
      </w:r>
    </w:p>
    <w:p w14:paraId="0328CD61" w14:textId="77777777" w:rsidR="007C730F" w:rsidRDefault="007C730F"/>
    <w:p w14:paraId="4F5BA3CE" w14:textId="77777777" w:rsidR="007C730F" w:rsidRPr="00DD0EC9" w:rsidRDefault="00C110C2">
      <w:pPr>
        <w:rPr>
          <w:lang w:val="en-US"/>
        </w:rPr>
      </w:pPr>
      <w:proofErr w:type="spellStart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>Elmqvist</w:t>
      </w:r>
      <w:proofErr w:type="spellEnd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 T, Andersson E, </w:t>
      </w:r>
      <w:proofErr w:type="spellStart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>McPhearson</w:t>
      </w:r>
      <w:proofErr w:type="spellEnd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 T, Bai X, Bettencourt L, </w:t>
      </w:r>
      <w:proofErr w:type="spellStart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>Brondizio</w:t>
      </w:r>
      <w:proofErr w:type="spellEnd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 E, </w:t>
      </w:r>
      <w:proofErr w:type="spellStart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>Colding</w:t>
      </w:r>
      <w:proofErr w:type="spellEnd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 J, Daily G</w:t>
      </w:r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, Folke C, Grimm N, Haase D, </w:t>
      </w:r>
      <w:proofErr w:type="spellStart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>Ospina</w:t>
      </w:r>
      <w:proofErr w:type="spellEnd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 D, Parnell S, </w:t>
      </w:r>
      <w:proofErr w:type="spellStart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>Polasky</w:t>
      </w:r>
      <w:proofErr w:type="spellEnd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 S, Seto K C, Van Der </w:t>
      </w:r>
      <w:proofErr w:type="spellStart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>Leeuw</w:t>
      </w:r>
      <w:proofErr w:type="spellEnd"/>
      <w:r w:rsidRPr="00DD0EC9">
        <w:rPr>
          <w:rFonts w:ascii="Calibri" w:eastAsia="Segoe UI" w:hAnsi="Calibri" w:cs="Calibri"/>
          <w:color w:val="000000"/>
          <w:kern w:val="0"/>
          <w:sz w:val="16"/>
          <w:szCs w:val="16"/>
          <w:lang w:eastAsia="en-US" w:bidi="en-US"/>
        </w:rPr>
        <w:t xml:space="preserve"> S. 2021. </w:t>
      </w:r>
      <w:r>
        <w:rPr>
          <w:rFonts w:ascii="Calibri" w:eastAsia="Segoe UI" w:hAnsi="Calibri" w:cs="Calibri"/>
          <w:color w:val="000000"/>
          <w:kern w:val="0"/>
          <w:sz w:val="16"/>
          <w:szCs w:val="16"/>
          <w:lang w:val="en-GB" w:eastAsia="en-US" w:bidi="en-US"/>
        </w:rPr>
        <w:t xml:space="preserve">Urbanization </w:t>
      </w:r>
      <w:proofErr w:type="gramStart"/>
      <w:r>
        <w:rPr>
          <w:rFonts w:ascii="Calibri" w:eastAsia="Segoe UI" w:hAnsi="Calibri" w:cs="Calibri"/>
          <w:color w:val="000000"/>
          <w:kern w:val="0"/>
          <w:sz w:val="16"/>
          <w:szCs w:val="16"/>
          <w:lang w:val="en-GB" w:eastAsia="en-US" w:bidi="en-US"/>
        </w:rPr>
        <w:t>In</w:t>
      </w:r>
      <w:proofErr w:type="gramEnd"/>
      <w:r>
        <w:rPr>
          <w:rFonts w:ascii="Calibri" w:eastAsia="Segoe UI" w:hAnsi="Calibri" w:cs="Calibri"/>
          <w:color w:val="000000"/>
          <w:kern w:val="0"/>
          <w:sz w:val="16"/>
          <w:szCs w:val="16"/>
          <w:lang w:val="en-GB" w:eastAsia="en-US" w:bidi="en-US"/>
        </w:rPr>
        <w:t xml:space="preserve"> And For The Anthropocene. </w:t>
      </w:r>
      <w:proofErr w:type="spellStart"/>
      <w:r>
        <w:rPr>
          <w:rFonts w:ascii="Calibri" w:eastAsia="Segoe UI" w:hAnsi="Calibri" w:cs="Calibri"/>
          <w:color w:val="000000"/>
          <w:kern w:val="0"/>
          <w:sz w:val="16"/>
          <w:szCs w:val="16"/>
          <w:lang w:val="en-GB" w:eastAsia="en-US" w:bidi="en-US"/>
        </w:rPr>
        <w:t>npj</w:t>
      </w:r>
      <w:proofErr w:type="spellEnd"/>
      <w:r>
        <w:rPr>
          <w:rFonts w:ascii="Calibri" w:eastAsia="Segoe UI" w:hAnsi="Calibri" w:cs="Calibri"/>
          <w:color w:val="000000"/>
          <w:kern w:val="0"/>
          <w:sz w:val="16"/>
          <w:szCs w:val="16"/>
          <w:lang w:val="en-GB" w:eastAsia="en-US" w:bidi="en-US"/>
        </w:rPr>
        <w:t xml:space="preserve"> Urban Sustain 1, 6. </w:t>
      </w:r>
      <w:hyperlink r:id="rId1">
        <w:r>
          <w:rPr>
            <w:rFonts w:ascii="Calibri" w:eastAsia="Segoe UI" w:hAnsi="Calibri" w:cs="Calibri"/>
            <w:color w:val="000000"/>
            <w:kern w:val="0"/>
            <w:sz w:val="16"/>
            <w:szCs w:val="16"/>
            <w:lang w:val="en-GB" w:eastAsia="en-US" w:bidi="en-US"/>
          </w:rPr>
          <w:t>https://doi.org/10.1038/s42949-021-00018-w</w:t>
        </w:r>
      </w:hyperlink>
      <w:r>
        <w:rPr>
          <w:rFonts w:ascii="Calibri" w:eastAsia="Segoe UI" w:hAnsi="Calibri" w:cs="Calibri"/>
          <w:color w:val="000000"/>
          <w:kern w:val="0"/>
          <w:sz w:val="16"/>
          <w:szCs w:val="16"/>
          <w:lang w:val="en-GB" w:eastAsia="en-US" w:bidi="en-US"/>
        </w:rPr>
        <w:t>.</w:t>
      </w:r>
    </w:p>
    <w:p w14:paraId="09A7FE11" w14:textId="77777777" w:rsidR="007C730F" w:rsidRPr="00DD0EC9" w:rsidRDefault="007C730F">
      <w:pPr>
        <w:rPr>
          <w:lang w:val="en-US"/>
        </w:rPr>
      </w:pPr>
    </w:p>
  </w:comment>
  <w:comment w:id="1" w:author="Haase, Dagmar" w:date="2022-06-27T15:18:00Z" w:initials="HD">
    <w:p w14:paraId="0CCA8FB2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Schöne Quellen:</w:t>
      </w:r>
    </w:p>
    <w:p w14:paraId="51F75802" w14:textId="77777777" w:rsidR="007C730F" w:rsidRPr="00DD0EC9" w:rsidRDefault="00C110C2">
      <w:pPr>
        <w:rPr>
          <w:lang w:val="en-US"/>
        </w:rPr>
      </w:pPr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Kabisch N, R. Kraemer, M. E.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Brenck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, D. Haase, A. Lausch, M. L.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Luttkus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, T. Mueller, P.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Remmler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, P. von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Döhren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, J. Voigtländer, J.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Bumberger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. </w:t>
      </w:r>
      <w:r>
        <w:rPr>
          <w:rFonts w:ascii="Liberation Serif" w:eastAsia="Segoe UI" w:hAnsi="Liberation Serif" w:cs="Calibri"/>
          <w:kern w:val="0"/>
          <w:sz w:val="16"/>
          <w:szCs w:val="16"/>
          <w:lang w:val="en-GB" w:eastAsia="en-US" w:bidi="en-US"/>
        </w:rPr>
        <w:t xml:space="preserve">2021. A methodological framework for the assessment of regulating and recreational ecosystem services in urban parks under heat and drought conditions, Ecosystems and People, 17:1, 464-475, </w:t>
      </w:r>
      <w:hyperlink r:id="rId2">
        <w:r>
          <w:rPr>
            <w:rFonts w:ascii="Liberation Serif" w:eastAsia="Segoe UI" w:hAnsi="Liberation Serif" w:cs="Calibri"/>
            <w:kern w:val="0"/>
            <w:sz w:val="16"/>
            <w:szCs w:val="16"/>
            <w:lang w:val="en-GB" w:eastAsia="en-US" w:bidi="en-US"/>
          </w:rPr>
          <w:t>h</w:t>
        </w:r>
        <w:r>
          <w:rPr>
            <w:rFonts w:ascii="Liberation Serif" w:eastAsia="Segoe UI" w:hAnsi="Liberation Serif" w:cs="Calibri"/>
            <w:kern w:val="0"/>
            <w:sz w:val="16"/>
            <w:szCs w:val="16"/>
            <w:lang w:val="en-GB" w:eastAsia="en-US" w:bidi="en-US"/>
          </w:rPr>
          <w:t>ttps://doi.org/10.1080/26395916.2021.1958062</w:t>
        </w:r>
      </w:hyperlink>
      <w:r>
        <w:rPr>
          <w:rFonts w:ascii="Liberation Serif" w:eastAsia="Segoe UI" w:hAnsi="Liberation Serif" w:cs="Calibri"/>
          <w:kern w:val="0"/>
          <w:sz w:val="16"/>
          <w:szCs w:val="16"/>
          <w:lang w:val="en-GB" w:eastAsia="en-US" w:bidi="en-US"/>
        </w:rPr>
        <w:t xml:space="preserve">.  </w:t>
      </w:r>
    </w:p>
    <w:p w14:paraId="18F83559" w14:textId="77777777" w:rsidR="007C730F" w:rsidRDefault="00C110C2"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Kabisch, Nadja, Roland Kraemer, Oskar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Masztalerz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, Jan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Hemmerling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, Catharina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Pueffel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, Dagmar Haase. </w:t>
      </w:r>
      <w:r>
        <w:rPr>
          <w:rFonts w:ascii="Liberation Serif" w:eastAsia="Segoe UI" w:hAnsi="Liberation Serif" w:cs="Calibri"/>
          <w:kern w:val="0"/>
          <w:sz w:val="16"/>
          <w:szCs w:val="16"/>
          <w:lang w:val="en-GB" w:eastAsia="en-US" w:bidi="en-US"/>
        </w:rPr>
        <w:t xml:space="preserve">2021. Impact of summer heat on urban park visitation, perceived health and ecosystem service appreciation.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Ur</w:t>
      </w:r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b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 Forest </w:t>
      </w:r>
      <w:proofErr w:type="spellStart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>Urb</w:t>
      </w:r>
      <w:proofErr w:type="spellEnd"/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 Green 60, 127058. </w:t>
      </w:r>
      <w:hyperlink r:id="rId3">
        <w:r w:rsidRPr="00DD0EC9">
          <w:rPr>
            <w:rFonts w:ascii="Liberation Serif" w:eastAsia="Segoe UI" w:hAnsi="Liberation Serif" w:cs="Calibri"/>
            <w:kern w:val="0"/>
            <w:sz w:val="16"/>
            <w:szCs w:val="16"/>
            <w:lang w:eastAsia="en-US" w:bidi="en-US"/>
          </w:rPr>
          <w:t>https://doi.org/10.1016/j.ufug.2021.127058</w:t>
        </w:r>
      </w:hyperlink>
      <w:r w:rsidRPr="00DD0EC9">
        <w:rPr>
          <w:rFonts w:ascii="Liberation Serif" w:eastAsia="Segoe UI" w:hAnsi="Liberation Serif" w:cs="Calibri"/>
          <w:kern w:val="0"/>
          <w:sz w:val="16"/>
          <w:szCs w:val="16"/>
          <w:lang w:eastAsia="en-US" w:bidi="en-US"/>
        </w:rPr>
        <w:t xml:space="preserve">. </w:t>
      </w:r>
    </w:p>
    <w:p w14:paraId="05234B09" w14:textId="77777777" w:rsidR="007C730F" w:rsidRDefault="007C730F"/>
  </w:comment>
  <w:comment w:id="5" w:author="Wolff, Manuel" w:date="2022-06-27T12:51:00Z" w:initials="WM">
    <w:p w14:paraId="3602587C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Ja,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viellecht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brauchst du hier gar keine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quelle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wenn dann sollte es eine aktuelle sein, zur not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nimmste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das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wolff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21</w:t>
      </w:r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paper</w:t>
      </w:r>
      <w:proofErr w:type="spellEnd"/>
    </w:p>
  </w:comment>
  <w:comment w:id="6" w:author="Haase, Dagmar" w:date="2022-06-27T15:21:00Z" w:initials="HD">
    <w:p w14:paraId="13095A14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Doch, ich würde die unbedingt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drinlassen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denn aktuell ist sie und wird häufig int.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Zitiert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, also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eine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sehr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gute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Reference an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dieser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Stelle </w:t>
      </w:r>
      <w:r>
        <w:rPr>
          <w:rFonts w:ascii="Segoe UI Emoji" w:eastAsia="Segoe UI Emoji" w:hAnsi="Segoe UI Emoji" w:cs="Segoe UI Emoji"/>
          <w:kern w:val="0"/>
          <w:sz w:val="24"/>
          <w:lang w:val="en-US" w:eastAsia="en-US" w:bidi="en-US"/>
        </w:rPr>
        <w:t>😊</w:t>
      </w:r>
    </w:p>
  </w:comment>
  <w:comment w:id="7" w:author="Haase, Dagmar" w:date="2022-06-27T15:22:00Z" w:initials="HD">
    <w:p w14:paraId="68D15A40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muss der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state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of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the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art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noch etwas ausgebaut werden finde ich.</w:t>
      </w:r>
    </w:p>
  </w:comment>
  <w:comment w:id="8" w:author="Haase, Dagmar" w:date="2022-06-27T15:25:00Z" w:initials="HD">
    <w:p w14:paraId="428030CD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unbedingt noch die Quellen des AAA-Modells rein: Hänge ich an meine Email </w:t>
      </w:r>
      <w:r>
        <w:rPr>
          <w:rFonts w:ascii="Segoe UI Emoji" w:eastAsia="Segoe UI Emoji" w:hAnsi="Segoe UI Emoji" w:cs="Segoe UI Emoji"/>
          <w:kern w:val="0"/>
          <w:sz w:val="24"/>
          <w:lang w:val="en-US" w:eastAsia="en-US" w:bidi="en-US"/>
        </w:rPr>
        <w:t>😊</w:t>
      </w:r>
    </w:p>
  </w:comment>
  <w:comment w:id="9" w:author="Haase, Dagmar" w:date="2022-06-27T15:27:00Z" w:initials="HD">
    <w:p w14:paraId="4ADD035C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Hier ist ein Bruch – warum jetzt Europa? Was ist der Benefit für so einen „Rundumschlag“, wie auch in Kabis</w:t>
      </w:r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ch et al. 2016, Wolff et al., 2019 … die bringen ja sehr gute Argumente.</w:t>
      </w:r>
    </w:p>
    <w:p w14:paraId="1BD6C6ED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Aber das kann den Bruch hier „kitten“ </w:t>
      </w:r>
      <w:r>
        <w:rPr>
          <w:rFonts w:ascii="Segoe UI Emoji" w:eastAsia="Segoe UI Emoji" w:hAnsi="Segoe UI Emoji" w:cs="Segoe UI Emoji"/>
          <w:kern w:val="0"/>
          <w:sz w:val="24"/>
          <w:lang w:val="en-US" w:eastAsia="en-US" w:bidi="en-US"/>
        </w:rPr>
        <w:t>😊</w:t>
      </w:r>
    </w:p>
  </w:comment>
  <w:comment w:id="11" w:author="Wolff, Manuel" w:date="2022-06-27T13:00:00Z" w:initials="WM">
    <w:p w14:paraId="199A3829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Ich überleg ob es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sinn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macht die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objectives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am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ende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birngen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bzw. die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conceptualisierung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vor die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obj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ziehen</w:t>
      </w:r>
    </w:p>
  </w:comment>
  <w:comment w:id="10" w:author="Wolff, Manuel" w:date="2022-06-17T11:34:00Z" w:initials="WM">
    <w:p w14:paraId="4C692A00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Je nachdem welches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journal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wa</w:t>
      </w:r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ndert dies entweder in die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oder ist ein extra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kapitel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nach der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</w:p>
    <w:p w14:paraId="797D292C" w14:textId="77777777" w:rsidR="007C730F" w:rsidRDefault="007C730F"/>
    <w:p w14:paraId="04000000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Im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moment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würde ich fasst sagen, dass du mit dem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material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entweder ein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2 machst, oder die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in 2 sub-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chapters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teilst</w:t>
      </w:r>
    </w:p>
  </w:comment>
  <w:comment w:id="12" w:author="Haase, Dagmar" w:date="2022-06-27T15:29:00Z" w:initials="HD">
    <w:p w14:paraId="51A181C2" w14:textId="77777777" w:rsidR="007C730F" w:rsidRDefault="00C110C2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immer damit beginnen, dass die ganzen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supply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-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demand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-Ansätze immer von einer nahen Bev ausgehen, die ja nie der Realität entspricht… also eher vom Potenzial sprechen, nicht von (real) Demand.</w:t>
      </w:r>
    </w:p>
  </w:comment>
  <w:comment w:id="13" w:author="Labohm, Benjamin" w:date="2022-06-22T14:57:00Z" w:initials="LB">
    <w:p w14:paraId="0B041E57" w14:textId="77777777" w:rsidR="003043B0" w:rsidRDefault="003043B0" w:rsidP="003043B0"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Hm irgendwie krieg ich hier noch nicht so richtig den Link zum Absatz davor hin …</w:t>
      </w:r>
    </w:p>
  </w:comment>
  <w:comment w:id="14" w:author="Wolff, Manuel" w:date="2022-06-27T12:57:00Z" w:initials="WM">
    <w:p w14:paraId="380CB5F7" w14:textId="77777777" w:rsidR="003043B0" w:rsidRDefault="003043B0" w:rsidP="003043B0"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Du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könntest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einfach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mit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dem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prximity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ansatz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starte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i.S.v.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 die SCA for recreational Ecosystem services can be modelled through a proximity perspective… </w:t>
      </w:r>
      <w:r w:rsidRPr="003043B0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Dann diese erklären. </w:t>
      </w:r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Dann noch kurz </w:t>
      </w:r>
      <w:proofErr w:type="gram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ergänzen</w:t>
      </w:r>
      <w:proofErr w:type="gram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dass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sonst ja sehr oft die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provision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perspective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verwendet wird (kurz erklären was das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is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) und seltener die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pressure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perspective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(kurz erklären was das </w:t>
      </w:r>
      <w:proofErr w:type="spellStart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is</w:t>
      </w:r>
      <w:proofErr w:type="spellEnd"/>
      <w:r w:rsidRPr="00DD0EC9">
        <w:rPr>
          <w:rFonts w:ascii="Liberation Serif" w:eastAsia="Segoe UI" w:hAnsi="Liberation Serif" w:cs="Tahoma"/>
          <w:kern w:val="0"/>
          <w:sz w:val="24"/>
          <w:lang w:eastAsia="en-US" w:bidi="en-US"/>
        </w:rPr>
        <w:t>)</w:t>
      </w:r>
    </w:p>
  </w:comment>
  <w:comment w:id="15" w:author="Haase, Dagmar" w:date="2022-06-27T15:29:00Z" w:initials="HD">
    <w:p w14:paraId="5AAD8DB6" w14:textId="77777777" w:rsidR="003043B0" w:rsidRDefault="003043B0" w:rsidP="003043B0"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 xml:space="preserve">Ja,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unbedingt</w:t>
      </w:r>
      <w:proofErr w:type="spellEnd"/>
      <w:r>
        <w:rPr>
          <w:rFonts w:ascii="Liberation Serif" w:eastAsia="Segoe UI" w:hAnsi="Liberation Serif" w:cs="Tahoma"/>
          <w:kern w:val="0"/>
          <w:sz w:val="24"/>
          <w:lang w:val="en-US" w:eastAsia="en-US" w:bidi="en-US"/>
        </w:rP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A7FE11" w15:done="1"/>
  <w15:commentEx w15:paraId="05234B09" w15:done="1"/>
  <w15:commentEx w15:paraId="3602587C" w15:done="1"/>
  <w15:commentEx w15:paraId="13095A14" w15:done="1"/>
  <w15:commentEx w15:paraId="68D15A40" w15:done="0"/>
  <w15:commentEx w15:paraId="428030CD" w15:done="1"/>
  <w15:commentEx w15:paraId="1BD6C6ED" w15:done="1"/>
  <w15:commentEx w15:paraId="199A3829" w15:done="1"/>
  <w15:commentEx w15:paraId="04000000" w15:done="1"/>
  <w15:commentEx w15:paraId="51A181C2" w15:done="1"/>
  <w15:commentEx w15:paraId="0B041E57" w15:done="1"/>
  <w15:commentEx w15:paraId="380CB5F7" w15:done="1"/>
  <w15:commentEx w15:paraId="5AAD8DB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A7FE11" w16cid:durableId="266FE7E8"/>
  <w16cid:commentId w16cid:paraId="05234B09" w16cid:durableId="266FE7E9"/>
  <w16cid:commentId w16cid:paraId="3602587C" w16cid:durableId="266FE7EA"/>
  <w16cid:commentId w16cid:paraId="13095A14" w16cid:durableId="266FE7EB"/>
  <w16cid:commentId w16cid:paraId="68D15A40" w16cid:durableId="266FE7EC"/>
  <w16cid:commentId w16cid:paraId="428030CD" w16cid:durableId="266FE7ED"/>
  <w16cid:commentId w16cid:paraId="1BD6C6ED" w16cid:durableId="266FE7EE"/>
  <w16cid:commentId w16cid:paraId="199A3829" w16cid:durableId="266FE7EF"/>
  <w16cid:commentId w16cid:paraId="04000000" w16cid:durableId="266FE7F0"/>
  <w16cid:commentId w16cid:paraId="51A181C2" w16cid:durableId="266FE7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3A74"/>
    <w:multiLevelType w:val="multilevel"/>
    <w:tmpl w:val="463016EE"/>
    <w:lvl w:ilvl="0">
      <w:start w:val="1"/>
      <w:numFmt w:val="decimal"/>
      <w:lvlText w:val="%1.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76C94AAD"/>
    <w:multiLevelType w:val="multilevel"/>
    <w:tmpl w:val="42F41E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bohm, Benjamin">
    <w15:presenceInfo w15:providerId="AD" w15:userId="S-1-5-21-1211764267-923927167-718351127-7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0F"/>
    <w:rsid w:val="000268BB"/>
    <w:rsid w:val="00083F12"/>
    <w:rsid w:val="00170310"/>
    <w:rsid w:val="002433FC"/>
    <w:rsid w:val="002C1872"/>
    <w:rsid w:val="00304342"/>
    <w:rsid w:val="003043B0"/>
    <w:rsid w:val="00353610"/>
    <w:rsid w:val="003F3550"/>
    <w:rsid w:val="00422659"/>
    <w:rsid w:val="0044557D"/>
    <w:rsid w:val="0047061D"/>
    <w:rsid w:val="004727A3"/>
    <w:rsid w:val="00480BCD"/>
    <w:rsid w:val="004928F3"/>
    <w:rsid w:val="00551D3F"/>
    <w:rsid w:val="005933B1"/>
    <w:rsid w:val="005F00AF"/>
    <w:rsid w:val="00664883"/>
    <w:rsid w:val="006974D0"/>
    <w:rsid w:val="0073560D"/>
    <w:rsid w:val="00761ABB"/>
    <w:rsid w:val="0079212F"/>
    <w:rsid w:val="007A71E4"/>
    <w:rsid w:val="007C730F"/>
    <w:rsid w:val="007F0B18"/>
    <w:rsid w:val="007F316B"/>
    <w:rsid w:val="00810EEA"/>
    <w:rsid w:val="008F3F99"/>
    <w:rsid w:val="009478FA"/>
    <w:rsid w:val="00A715A7"/>
    <w:rsid w:val="00A91894"/>
    <w:rsid w:val="00AE24CF"/>
    <w:rsid w:val="00AF6637"/>
    <w:rsid w:val="00B83168"/>
    <w:rsid w:val="00C110C2"/>
    <w:rsid w:val="00C31F7B"/>
    <w:rsid w:val="00C562DC"/>
    <w:rsid w:val="00D036FD"/>
    <w:rsid w:val="00D555B1"/>
    <w:rsid w:val="00D65566"/>
    <w:rsid w:val="00DD0EC9"/>
    <w:rsid w:val="00E851CF"/>
    <w:rsid w:val="00EF23BF"/>
    <w:rsid w:val="00FA0589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7DAE"/>
  <w15:docId w15:val="{64CF385B-1C9B-4DC0-91F7-6DA307CE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A1D"/>
    <w:pPr>
      <w:widowControl w:val="0"/>
      <w:textAlignment w:val="baseline"/>
    </w:pPr>
    <w:rPr>
      <w:rFonts w:eastAsia="NSimSun"/>
      <w:kern w:val="2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325A1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25A1D"/>
    <w:rPr>
      <w:rFonts w:ascii="Calibri" w:eastAsia="NSimSun" w:hAnsi="Calibri" w:cs="Mangal"/>
      <w:kern w:val="2"/>
      <w:sz w:val="20"/>
      <w:szCs w:val="18"/>
      <w:lang w:val="de-DE"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25A1D"/>
    <w:rPr>
      <w:rFonts w:ascii="Segoe UI" w:eastAsia="NSimSun" w:hAnsi="Segoe UI" w:cs="Mangal"/>
      <w:kern w:val="2"/>
      <w:sz w:val="18"/>
      <w:szCs w:val="16"/>
      <w:lang w:val="de-DE" w:eastAsia="zh-CN" w:bidi="hi-IN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basedOn w:val="DefaultParagraphFont"/>
    <w:unhideWhenUsed/>
    <w:rsid w:val="00933D1D"/>
    <w:rPr>
      <w:rFonts w:ascii="Arial" w:hAnsi="Arial" w:cs="Arial"/>
      <w:color w:val="0563C1" w:themeColor="hyperlink"/>
      <w:u w:val="single"/>
    </w:rPr>
  </w:style>
  <w:style w:type="character" w:customStyle="1" w:styleId="Nummerierungszeichen">
    <w:name w:val="Nummerierungszeichen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70A1A"/>
    <w:rPr>
      <w:rFonts w:ascii="Calibri" w:eastAsia="NSimSun" w:hAnsi="Calibri" w:cs="Mangal"/>
      <w:b/>
      <w:bCs/>
      <w:kern w:val="2"/>
      <w:sz w:val="20"/>
      <w:szCs w:val="18"/>
      <w:lang w:val="de-DE" w:eastAsia="zh-CN" w:bidi="hi-IN"/>
    </w:rPr>
  </w:style>
  <w:style w:type="character" w:customStyle="1" w:styleId="Zeilennummerierung">
    <w:name w:val="Zeilennummerierung"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25A1D"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A1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37370"/>
    <w:pPr>
      <w:ind w:left="720"/>
      <w:contextualSpacing/>
    </w:pPr>
    <w:rPr>
      <w:rFonts w:cs="Mang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70A1A"/>
    <w:rPr>
      <w:b/>
      <w:bCs/>
    </w:rPr>
  </w:style>
  <w:style w:type="paragraph" w:styleId="Revision">
    <w:name w:val="Revision"/>
    <w:uiPriority w:val="99"/>
    <w:semiHidden/>
    <w:qFormat/>
    <w:rsid w:val="004F1029"/>
    <w:pPr>
      <w:suppressAutoHyphens w:val="0"/>
    </w:pPr>
    <w:rPr>
      <w:rFonts w:eastAsia="NSimSun" w:cs="Mangal"/>
      <w:kern w:val="2"/>
      <w:szCs w:val="24"/>
      <w:lang w:val="de-DE" w:eastAsia="zh-CN" w:bidi="hi-IN"/>
    </w:rPr>
  </w:style>
  <w:style w:type="paragraph" w:customStyle="1" w:styleId="Textrechts">
    <w:name w:val="Textrechts"/>
    <w:basedOn w:val="Normal"/>
    <w:next w:val="Normal"/>
    <w:uiPriority w:val="5"/>
    <w:qFormat/>
    <w:rsid w:val="00933D1D"/>
    <w:pPr>
      <w:widowControl/>
      <w:suppressAutoHyphens w:val="0"/>
      <w:spacing w:line="288" w:lineRule="auto"/>
      <w:textAlignment w:val="auto"/>
    </w:pPr>
    <w:rPr>
      <w:rFonts w:ascii="Arial" w:eastAsiaTheme="minorHAnsi" w:hAnsi="Arial" w:cs="Arial"/>
      <w:color w:val="404040" w:themeColor="text1" w:themeTint="BF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j.ufug.2021.127058" TargetMode="External"/><Relationship Id="rId2" Type="http://schemas.openxmlformats.org/officeDocument/2006/relationships/hyperlink" Target="https://doi.org/10.1080/26395916.2021.1958062" TargetMode="External"/><Relationship Id="rId1" Type="http://schemas.openxmlformats.org/officeDocument/2006/relationships/hyperlink" Target="https://doi.org/10.1038/s42949-021-00018-w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173</cp:revision>
  <dcterms:created xsi:type="dcterms:W3CDTF">2022-06-21T09:27:00Z</dcterms:created>
  <dcterms:modified xsi:type="dcterms:W3CDTF">2022-07-06T11:16:00Z</dcterms:modified>
  <dc:language>de-DE</dc:language>
</cp:coreProperties>
</file>