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FD29" w14:textId="77777777" w:rsidR="00325A1D" w:rsidRDefault="00325A1D" w:rsidP="00325A1D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3F3AED94" w14:textId="77777777" w:rsidR="00325A1D" w:rsidRDefault="00325A1D" w:rsidP="00325A1D">
      <w:pPr>
        <w:widowControl/>
        <w:suppressAutoHyphens w:val="0"/>
        <w:rPr>
          <w:lang w:val="en-US"/>
        </w:rPr>
      </w:pPr>
    </w:p>
    <w:p w14:paraId="52B91EE1" w14:textId="77777777" w:rsidR="00325A1D" w:rsidRDefault="00325A1D" w:rsidP="00325A1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scope of the problem?</w:t>
      </w:r>
    </w:p>
    <w:p w14:paraId="22E28EF5" w14:textId="5676A6D9" w:rsidR="00325A1D" w:rsidRDefault="00325A1D" w:rsidP="00325A1D">
      <w:pPr>
        <w:widowControl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>Improving the modeling of the walkable environment / service connecting</w:t>
      </w:r>
      <w:r w:rsidR="003B1C5E">
        <w:rPr>
          <w:lang w:val="en-US"/>
        </w:rPr>
        <w:t xml:space="preserve"> area</w:t>
      </w:r>
      <w:r>
        <w:rPr>
          <w:lang w:val="en-US"/>
        </w:rPr>
        <w:t xml:space="preserve"> for urban green </w:t>
      </w:r>
      <w:r w:rsidR="003B1C5E">
        <w:rPr>
          <w:lang w:val="en-US"/>
        </w:rPr>
        <w:t>spaces (UGS)</w:t>
      </w:r>
      <w:r>
        <w:rPr>
          <w:lang w:val="en-US"/>
        </w:rPr>
        <w:t xml:space="preserve"> in European cities based on a proximity approach</w:t>
      </w:r>
    </w:p>
    <w:p w14:paraId="68931216" w14:textId="77777777" w:rsidR="00325A1D" w:rsidRDefault="00325A1D" w:rsidP="00325A1D">
      <w:pPr>
        <w:widowControl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>Provide solutions for easy-to-handle / understandable indicators based on publicly available data and software</w:t>
      </w:r>
    </w:p>
    <w:p w14:paraId="6D29C1F6" w14:textId="7CF628B0" w:rsidR="00325A1D" w:rsidRDefault="00325A1D" w:rsidP="00325A1D">
      <w:pPr>
        <w:widowControl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 xml:space="preserve">Develop an approach to combine </w:t>
      </w:r>
      <w:r w:rsidR="003B1C5E">
        <w:rPr>
          <w:lang w:val="en-US"/>
        </w:rPr>
        <w:t>high-resolution</w:t>
      </w:r>
      <w:r>
        <w:rPr>
          <w:lang w:val="en-US"/>
        </w:rPr>
        <w:t xml:space="preserve"> data with </w:t>
      </w:r>
      <w:r w:rsidR="003B1C5E">
        <w:rPr>
          <w:lang w:val="en-US"/>
        </w:rPr>
        <w:t>a</w:t>
      </w:r>
      <w:r>
        <w:rPr>
          <w:lang w:val="en-US"/>
        </w:rPr>
        <w:t xml:space="preserve"> comparative approach</w:t>
      </w:r>
    </w:p>
    <w:p w14:paraId="7602F0C0" w14:textId="77777777" w:rsidR="00325A1D" w:rsidRDefault="00325A1D" w:rsidP="00325A1D">
      <w:pPr>
        <w:widowControl/>
        <w:suppressAutoHyphens w:val="0"/>
        <w:rPr>
          <w:lang w:val="en-US"/>
        </w:rPr>
      </w:pPr>
    </w:p>
    <w:p w14:paraId="69DAF5A6" w14:textId="77777777" w:rsidR="00325A1D" w:rsidRDefault="00325A1D" w:rsidP="00325A1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do we know about the problem?</w:t>
      </w:r>
    </w:p>
    <w:p w14:paraId="264A05C3" w14:textId="7C47E0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Living in proximity of urban green spaces (UGS) was found to have positive effects on mental health and physical activity</w:t>
      </w:r>
      <w:r w:rsidR="003416D1">
        <w:rPr>
          <w:lang w:val="en-US"/>
        </w:rPr>
        <w:t xml:space="preserve"> as well as</w:t>
      </w:r>
      <w:r>
        <w:rPr>
          <w:lang w:val="en-US"/>
        </w:rPr>
        <w:t xml:space="preserve"> reduce mortality.</w:t>
      </w:r>
    </w:p>
    <w:p w14:paraId="00CBD273" w14:textId="2943559C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In the Sustainable Development Goal (SDG) 11, the United Nations have agreed to provide universal access to public green spaces by 2030.</w:t>
      </w:r>
    </w:p>
    <w:p w14:paraId="1737F78C" w14:textId="7B59D06A" w:rsidR="001F5459" w:rsidRDefault="001F5459" w:rsidP="001F545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Nonetheless, u</w:t>
      </w:r>
      <w:r>
        <w:rPr>
          <w:lang w:val="en-US"/>
        </w:rPr>
        <w:t xml:space="preserve">rban population is growing worldwide, </w:t>
      </w:r>
      <w:r>
        <w:rPr>
          <w:lang w:val="en-US"/>
        </w:rPr>
        <w:t>leading to</w:t>
      </w:r>
      <w:r>
        <w:rPr>
          <w:lang w:val="en-US"/>
        </w:rPr>
        <w:t xml:space="preserve"> green space development.</w:t>
      </w:r>
    </w:p>
    <w:p w14:paraId="3F9D6214" w14:textId="77777777" w:rsidR="000D3791" w:rsidRPr="001F5459" w:rsidRDefault="000D3791" w:rsidP="000D3791">
      <w:pPr>
        <w:ind w:left="1080"/>
        <w:rPr>
          <w:lang w:val="en-US"/>
        </w:rPr>
      </w:pPr>
    </w:p>
    <w:p w14:paraId="265539A1" w14:textId="777777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Compact city paradox:</w:t>
      </w:r>
    </w:p>
    <w:p w14:paraId="2E90A3A4" w14:textId="13C85E94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The more compact a city, the more people benefit from UGS, the higher the pressure on the ecological functions of the UGS</w:t>
      </w:r>
    </w:p>
    <w:p w14:paraId="08E107EB" w14:textId="77777777" w:rsidR="000D3791" w:rsidRDefault="000D3791" w:rsidP="000D3791">
      <w:pPr>
        <w:widowControl/>
        <w:suppressAutoHyphens w:val="0"/>
        <w:ind w:left="1440"/>
        <w:rPr>
          <w:lang w:val="en-US"/>
        </w:rPr>
      </w:pPr>
    </w:p>
    <w:p w14:paraId="7DE29ADC" w14:textId="777777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The accessibility of available green spaces is influenced by spatial as well as non-spatial factors</w:t>
      </w:r>
    </w:p>
    <w:p w14:paraId="795BEF07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 xml:space="preserve">Accessibility of UGS vs availability of </w:t>
      </w:r>
      <w:commentRangeStart w:id="0"/>
      <w:r>
        <w:rPr>
          <w:shd w:val="clear" w:color="auto" w:fill="00A933"/>
          <w:lang w:val="en-US"/>
        </w:rPr>
        <w:t>UGS (?)</w:t>
      </w:r>
      <w:commentRangeEnd w:id="0"/>
      <w:r>
        <w:rPr>
          <w:rStyle w:val="Kommentarzeichen"/>
          <w:rFonts w:cs="Mangal"/>
        </w:rPr>
        <w:commentReference w:id="0"/>
      </w:r>
    </w:p>
    <w:p w14:paraId="56EDE6F0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Three perspectives have been used in past studies to tackle the problem:</w:t>
      </w:r>
    </w:p>
    <w:p w14:paraId="7FC167B7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Provision (area / person): Flow from green area to buildings (providing green space)</w:t>
      </w:r>
    </w:p>
    <w:p w14:paraId="39B4D237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Pressure (person / area):  Flow from residential buildings (population) to green spaces (pressure on / demand of green areas)</w:t>
      </w:r>
    </w:p>
    <w:p w14:paraId="68F14FD6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Proximity (min. or avg. distance): Space between supply and demand (proximity)</w:t>
      </w:r>
    </w:p>
    <w:p w14:paraId="0C90A601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Approach from Wolff 2021: Coupling the perspectives via network characteristics</w:t>
      </w:r>
    </w:p>
    <w:p w14:paraId="243D1F00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Modeling service connecting areas / the walkable environment to allow including the three perspective into one workflow.</w:t>
      </w:r>
    </w:p>
    <w:p w14:paraId="57DB0409" w14:textId="3BF98608" w:rsidR="00325A1D" w:rsidRDefault="00325A1D" w:rsidP="00325A1D">
      <w:pPr>
        <w:widowControl/>
        <w:numPr>
          <w:ilvl w:val="3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Two promising indicators: Detour Index (DI) and Local Significance (LS).</w:t>
      </w:r>
    </w:p>
    <w:p w14:paraId="6E97BB91" w14:textId="77777777" w:rsidR="000D3791" w:rsidRDefault="000D3791" w:rsidP="000D3791">
      <w:pPr>
        <w:widowControl/>
        <w:suppressAutoHyphens w:val="0"/>
        <w:ind w:left="1800"/>
        <w:rPr>
          <w:shd w:val="clear" w:color="auto" w:fill="00A933"/>
          <w:lang w:val="en-US"/>
        </w:rPr>
      </w:pPr>
    </w:p>
    <w:p w14:paraId="0836C097" w14:textId="777777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Accessibility and availability of UGS in Europe have been analyzed and compared in multiple studies e.g.:</w:t>
      </w:r>
    </w:p>
    <w:p w14:paraId="378702E0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shd w:val="clear" w:color="auto" w:fill="00A933"/>
          <w:lang w:val="en-US"/>
        </w:rPr>
      </w:pPr>
      <w:commentRangeStart w:id="1"/>
      <w:r>
        <w:rPr>
          <w:shd w:val="clear" w:color="auto" w:fill="00A933"/>
          <w:lang w:val="en-US"/>
        </w:rPr>
        <w:t>State of the art</w:t>
      </w:r>
    </w:p>
    <w:p w14:paraId="518610AF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Analysis for whole Europe:</w:t>
      </w:r>
    </w:p>
    <w:p w14:paraId="1F3AE417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00A933"/>
          <w:lang w:val="en-US"/>
        </w:rPr>
      </w:pPr>
      <w:proofErr w:type="spellStart"/>
      <w:r>
        <w:rPr>
          <w:shd w:val="clear" w:color="auto" w:fill="00A933"/>
          <w:lang w:val="en-US"/>
        </w:rPr>
        <w:t>Kabisch</w:t>
      </w:r>
      <w:proofErr w:type="spellEnd"/>
      <w:r>
        <w:rPr>
          <w:shd w:val="clear" w:color="auto" w:fill="00A933"/>
          <w:lang w:val="en-US"/>
        </w:rPr>
        <w:t xml:space="preserve"> et al. 2016 green spaces Europe</w:t>
      </w:r>
    </w:p>
    <w:p w14:paraId="314D0A04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JRC accessibility study</w:t>
      </w:r>
      <w:commentRangeEnd w:id="1"/>
      <w:r>
        <w:rPr>
          <w:rStyle w:val="Kommentarzeichen"/>
          <w:rFonts w:cs="Mangal"/>
        </w:rPr>
        <w:commentReference w:id="1"/>
      </w:r>
    </w:p>
    <w:p w14:paraId="7386161D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00A933"/>
          <w:lang w:val="en-US"/>
        </w:rPr>
      </w:pPr>
    </w:p>
    <w:p w14:paraId="7A0B4E7E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Analysis for single city:</w:t>
      </w:r>
    </w:p>
    <w:p w14:paraId="1ECF30A3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00A933"/>
          <w:lang w:val="en-US"/>
        </w:rPr>
      </w:pPr>
      <w:r>
        <w:rPr>
          <w:shd w:val="clear" w:color="auto" w:fill="00A933"/>
          <w:lang w:val="en-US"/>
        </w:rPr>
        <w:t>Wolff 2021</w:t>
      </w:r>
    </w:p>
    <w:p w14:paraId="0D89903F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00A933"/>
          <w:lang w:val="en-US"/>
        </w:rPr>
      </w:pPr>
      <w:proofErr w:type="spellStart"/>
      <w:r>
        <w:rPr>
          <w:shd w:val="clear" w:color="auto" w:fill="00A933"/>
          <w:lang w:val="en-US"/>
        </w:rPr>
        <w:t>Haase</w:t>
      </w:r>
      <w:proofErr w:type="spellEnd"/>
      <w:r>
        <w:rPr>
          <w:shd w:val="clear" w:color="auto" w:fill="00A933"/>
          <w:lang w:val="en-US"/>
        </w:rPr>
        <w:t xml:space="preserve"> </w:t>
      </w:r>
      <w:proofErr w:type="spellStart"/>
      <w:r>
        <w:rPr>
          <w:shd w:val="clear" w:color="auto" w:fill="00A933"/>
          <w:lang w:val="en-US"/>
        </w:rPr>
        <w:t>Kabisch</w:t>
      </w:r>
      <w:proofErr w:type="spellEnd"/>
      <w:r>
        <w:rPr>
          <w:shd w:val="clear" w:color="auto" w:fill="00A933"/>
          <w:lang w:val="en-US"/>
        </w:rPr>
        <w:t xml:space="preserve"> Berlin paper</w:t>
      </w:r>
    </w:p>
    <w:p w14:paraId="716F68BF" w14:textId="77777777" w:rsidR="00325A1D" w:rsidRDefault="00325A1D" w:rsidP="00325A1D">
      <w:pPr>
        <w:widowControl/>
        <w:numPr>
          <w:ilvl w:val="4"/>
          <w:numId w:val="2"/>
        </w:numPr>
        <w:suppressAutoHyphens w:val="0"/>
        <w:rPr>
          <w:shd w:val="clear" w:color="auto" w:fill="FFFF00"/>
          <w:lang w:val="en-US"/>
        </w:rPr>
      </w:pPr>
    </w:p>
    <w:p w14:paraId="5A125980" w14:textId="77777777" w:rsidR="00325A1D" w:rsidRDefault="00325A1D" w:rsidP="00325A1D">
      <w:pPr>
        <w:widowControl/>
        <w:suppressAutoHyphens w:val="0"/>
        <w:rPr>
          <w:lang w:val="en-US"/>
        </w:rPr>
      </w:pPr>
    </w:p>
    <w:p w14:paraId="0D0075EB" w14:textId="77777777" w:rsidR="00325A1D" w:rsidRDefault="00325A1D" w:rsidP="00325A1D">
      <w:pPr>
        <w:widowControl/>
        <w:numPr>
          <w:ilvl w:val="0"/>
          <w:numId w:val="2"/>
        </w:numPr>
        <w:suppressAutoHyphens w:val="0"/>
        <w:rPr>
          <w:lang w:val="en-US"/>
        </w:rPr>
      </w:pPr>
      <w:r>
        <w:rPr>
          <w:lang w:val="en-US"/>
        </w:rPr>
        <w:t>What do we not know about the problem?</w:t>
      </w:r>
    </w:p>
    <w:p w14:paraId="65B879DB" w14:textId="777777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>Research gaps (of previously mentioned studies):</w:t>
      </w:r>
    </w:p>
    <w:p w14:paraId="7127BD51" w14:textId="77777777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Mostly using fixed distances</w:t>
      </w:r>
    </w:p>
    <w:p w14:paraId="1C96C8CF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t>‘To have or not to have access to green spaces’</w:t>
      </w:r>
    </w:p>
    <w:p w14:paraId="5FA274C1" w14:textId="77777777" w:rsidR="00325A1D" w:rsidRDefault="00325A1D" w:rsidP="00325A1D">
      <w:pPr>
        <w:widowControl/>
        <w:numPr>
          <w:ilvl w:val="2"/>
          <w:numId w:val="2"/>
        </w:numPr>
        <w:suppressAutoHyphens w:val="0"/>
      </w:pPr>
      <w:commentRangeStart w:id="2"/>
      <w:r>
        <w:rPr>
          <w:lang w:val="en-US"/>
        </w:rPr>
        <w:t>Mostly using only one perspective</w:t>
      </w:r>
      <w:commentRangeEnd w:id="2"/>
      <w:r>
        <w:rPr>
          <w:rStyle w:val="Kommentarzeichen"/>
          <w:rFonts w:cs="Mangal"/>
        </w:rPr>
        <w:commentReference w:id="2"/>
      </w:r>
    </w:p>
    <w:p w14:paraId="7665FBDB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t>Not accounting for mutual dependencies of supply and demand</w:t>
      </w:r>
    </w:p>
    <w:p w14:paraId="417C0867" w14:textId="77777777" w:rsidR="00325A1D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t>No focus on service connecting areas / walkable environment</w:t>
      </w:r>
    </w:p>
    <w:p w14:paraId="4E5B3D65" w14:textId="77777777" w:rsidR="00325A1D" w:rsidRPr="00593B66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lastRenderedPageBreak/>
        <w:t>A proximity perspective is necessary to account for barriers and network characteristics</w:t>
      </w:r>
    </w:p>
    <w:p w14:paraId="1D4F2DB3" w14:textId="77777777" w:rsidR="00325A1D" w:rsidRPr="00593B66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Mostly using course resolution if on a larger scale</w:t>
      </w:r>
    </w:p>
    <w:p w14:paraId="0198F5FC" w14:textId="77777777" w:rsidR="00325A1D" w:rsidRPr="00593B66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t>Fine resolution can reveal spatial patterns at a finer scale enabling targeted intervention</w:t>
      </w:r>
    </w:p>
    <w:p w14:paraId="642182BC" w14:textId="77777777" w:rsidR="00325A1D" w:rsidRPr="00593B66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r>
        <w:rPr>
          <w:lang w:val="en-US"/>
        </w:rPr>
        <w:t>A finer resolution will also reduce the uncertainty that is introduced if e.g. a grid or a district aggregation is used</w:t>
      </w:r>
    </w:p>
    <w:p w14:paraId="74A15D5B" w14:textId="37962123" w:rsidR="00325A1D" w:rsidRPr="00593B66" w:rsidRDefault="00325A1D" w:rsidP="00325A1D">
      <w:pPr>
        <w:widowControl/>
        <w:numPr>
          <w:ilvl w:val="3"/>
          <w:numId w:val="2"/>
        </w:numPr>
        <w:suppressAutoHyphens w:val="0"/>
        <w:rPr>
          <w:lang w:val="en-US"/>
        </w:rPr>
      </w:pPr>
      <w:commentRangeStart w:id="3"/>
      <w:r>
        <w:rPr>
          <w:lang w:val="en-US"/>
        </w:rPr>
        <w:t xml:space="preserve">No comparable studies using e.g. a </w:t>
      </w:r>
      <w:r w:rsidR="00E5397A">
        <w:rPr>
          <w:lang w:val="en-US"/>
        </w:rPr>
        <w:t>building-based</w:t>
      </w:r>
      <w:r>
        <w:rPr>
          <w:lang w:val="en-US"/>
        </w:rPr>
        <w:t xml:space="preserve"> approach on a European scale</w:t>
      </w:r>
      <w:commentRangeEnd w:id="3"/>
      <w:r>
        <w:rPr>
          <w:rStyle w:val="Kommentarzeichen"/>
          <w:rFonts w:cs="Mangal"/>
        </w:rPr>
        <w:commentReference w:id="3"/>
      </w:r>
    </w:p>
    <w:p w14:paraId="6D876969" w14:textId="77777777" w:rsidR="00325A1D" w:rsidRDefault="00325A1D" w:rsidP="00325A1D">
      <w:pPr>
        <w:widowControl/>
        <w:numPr>
          <w:ilvl w:val="1"/>
          <w:numId w:val="2"/>
        </w:numPr>
        <w:suppressAutoHyphens w:val="0"/>
      </w:pPr>
      <w:r>
        <w:rPr>
          <w:lang w:val="en-US"/>
        </w:rPr>
        <w:t>Conclusion:</w:t>
      </w:r>
    </w:p>
    <w:p w14:paraId="7EE3DCFF" w14:textId="1581FE7B" w:rsidR="00325A1D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Knowledge about UGS is important for planning and decision making to remove uncertainties in UGS provision</w:t>
      </w:r>
      <w:r w:rsidR="00E5397A">
        <w:rPr>
          <w:lang w:val="en-US"/>
        </w:rPr>
        <w:t>.</w:t>
      </w:r>
    </w:p>
    <w:p w14:paraId="06A22C95" w14:textId="77777777" w:rsidR="00325A1D" w:rsidRPr="00593B66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Detect mismatch between provision and demand</w:t>
      </w:r>
    </w:p>
    <w:p w14:paraId="1695130B" w14:textId="52BD5C66" w:rsidR="00325A1D" w:rsidRPr="00593B66" w:rsidRDefault="00325A1D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Need for a method that</w:t>
      </w:r>
      <w:r w:rsidR="00E5397A">
        <w:rPr>
          <w:lang w:val="en-US"/>
        </w:rPr>
        <w:t xml:space="preserve"> models service connecting areas to</w:t>
      </w:r>
      <w:r>
        <w:rPr>
          <w:lang w:val="en-US"/>
        </w:rPr>
        <w:t xml:space="preserve"> combine</w:t>
      </w:r>
      <w:r w:rsidR="00E5397A">
        <w:rPr>
          <w:lang w:val="en-US"/>
        </w:rPr>
        <w:t xml:space="preserve"> supply and demand</w:t>
      </w:r>
      <w:commentRangeStart w:id="4"/>
      <w:r>
        <w:rPr>
          <w:lang w:val="en-US"/>
        </w:rPr>
        <w:t xml:space="preserve"> </w:t>
      </w:r>
      <w:commentRangeEnd w:id="4"/>
      <w:r>
        <w:rPr>
          <w:rStyle w:val="Kommentarzeichen"/>
          <w:rFonts w:cs="Mangal"/>
        </w:rPr>
        <w:commentReference w:id="4"/>
      </w:r>
      <w:r>
        <w:rPr>
          <w:lang w:val="en-US"/>
        </w:rPr>
        <w:t>aspects of green space accessibility / availability with a high spatial resolution that is comparable on a European scale</w:t>
      </w:r>
    </w:p>
    <w:p w14:paraId="70084856" w14:textId="77777777" w:rsidR="00325A1D" w:rsidRDefault="00325A1D" w:rsidP="00325A1D">
      <w:pPr>
        <w:widowControl/>
        <w:suppressAutoHyphens w:val="0"/>
        <w:rPr>
          <w:lang w:val="en-US"/>
        </w:rPr>
      </w:pPr>
    </w:p>
    <w:p w14:paraId="08CC060E" w14:textId="77777777" w:rsidR="00325A1D" w:rsidRPr="00E5397A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>
        <w:rPr>
          <w:lang w:val="en-US"/>
        </w:rPr>
        <w:t xml:space="preserve">What </w:t>
      </w:r>
      <w:r w:rsidRPr="00E5397A">
        <w:rPr>
          <w:szCs w:val="22"/>
          <w:lang w:val="en-US"/>
        </w:rPr>
        <w:t>is the purpose of this paper?</w:t>
      </w:r>
    </w:p>
    <w:p w14:paraId="1610EF7A" w14:textId="77777777" w:rsidR="00325A1D" w:rsidRPr="00E5397A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E5397A">
        <w:rPr>
          <w:szCs w:val="22"/>
          <w:lang w:val="en-US"/>
        </w:rPr>
        <w:t>Research questions</w:t>
      </w:r>
    </w:p>
    <w:p w14:paraId="079429CF" w14:textId="57727AA2" w:rsidR="00E5397A" w:rsidRPr="00E5397A" w:rsidRDefault="00E5397A" w:rsidP="00E5397A">
      <w:pPr>
        <w:pStyle w:val="Kommentartext"/>
        <w:numPr>
          <w:ilvl w:val="2"/>
          <w:numId w:val="2"/>
        </w:numPr>
        <w:rPr>
          <w:sz w:val="22"/>
          <w:szCs w:val="22"/>
          <w:lang w:val="en-US"/>
        </w:rPr>
      </w:pPr>
      <w:r w:rsidRPr="00E5397A">
        <w:rPr>
          <w:sz w:val="22"/>
          <w:szCs w:val="22"/>
          <w:lang w:val="en-US"/>
        </w:rPr>
        <w:t>What does</w:t>
      </w:r>
      <w:r w:rsidRPr="00E5397A">
        <w:rPr>
          <w:sz w:val="22"/>
          <w:szCs w:val="22"/>
          <w:lang w:val="en-US"/>
        </w:rPr>
        <w:t xml:space="preserve"> a model</w:t>
      </w:r>
      <w:r w:rsidRPr="00E5397A">
        <w:rPr>
          <w:sz w:val="22"/>
          <w:szCs w:val="22"/>
          <w:lang w:val="en-US"/>
        </w:rPr>
        <w:t>ing</w:t>
      </w:r>
      <w:r w:rsidRPr="00E5397A">
        <w:rPr>
          <w:sz w:val="22"/>
          <w:szCs w:val="22"/>
          <w:lang w:val="en-US"/>
        </w:rPr>
        <w:t xml:space="preserve"> approach look like </w:t>
      </w:r>
      <w:r w:rsidRPr="00E5397A">
        <w:rPr>
          <w:sz w:val="22"/>
          <w:szCs w:val="22"/>
          <w:lang w:val="en-US"/>
        </w:rPr>
        <w:t>that</w:t>
      </w:r>
      <w:r w:rsidRPr="00E5397A">
        <w:rPr>
          <w:sz w:val="22"/>
          <w:szCs w:val="22"/>
          <w:lang w:val="en-US"/>
        </w:rPr>
        <w:t xml:space="preserve"> estimates the walkability between green space supply and demand in </w:t>
      </w:r>
      <w:r w:rsidRPr="00E5397A">
        <w:rPr>
          <w:sz w:val="22"/>
          <w:szCs w:val="22"/>
          <w:lang w:val="en-US"/>
        </w:rPr>
        <w:t>cities?</w:t>
      </w:r>
      <w:r w:rsidRPr="00E5397A">
        <w:rPr>
          <w:sz w:val="22"/>
          <w:szCs w:val="22"/>
          <w:lang w:val="en-US"/>
        </w:rPr>
        <w:t xml:space="preserve"> </w:t>
      </w:r>
    </w:p>
    <w:p w14:paraId="185C7EDE" w14:textId="3EB44C14" w:rsidR="00E5397A" w:rsidRPr="00E5397A" w:rsidRDefault="00E5397A" w:rsidP="00E5397A">
      <w:pPr>
        <w:pStyle w:val="Kommentartext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</w:t>
      </w:r>
      <w:r w:rsidRPr="00E5397A">
        <w:rPr>
          <w:sz w:val="22"/>
          <w:szCs w:val="22"/>
          <w:lang w:val="en-US"/>
        </w:rPr>
        <w:t xml:space="preserve">ow to incorporate </w:t>
      </w:r>
      <w:r>
        <w:rPr>
          <w:sz w:val="22"/>
          <w:szCs w:val="22"/>
          <w:lang w:val="en-US"/>
        </w:rPr>
        <w:t>publicly</w:t>
      </w:r>
      <w:r w:rsidRPr="00E5397A">
        <w:rPr>
          <w:sz w:val="22"/>
          <w:szCs w:val="22"/>
          <w:lang w:val="en-US"/>
        </w:rPr>
        <w:t xml:space="preserve"> accessible data and</w:t>
      </w:r>
      <w:r>
        <w:rPr>
          <w:sz w:val="22"/>
          <w:szCs w:val="22"/>
          <w:lang w:val="en-US"/>
        </w:rPr>
        <w:t xml:space="preserve"> open source</w:t>
      </w:r>
      <w:r w:rsidRPr="00E5397A">
        <w:rPr>
          <w:sz w:val="22"/>
          <w:szCs w:val="22"/>
          <w:lang w:val="en-US"/>
        </w:rPr>
        <w:t xml:space="preserve"> software in order to allow </w:t>
      </w:r>
      <w:r>
        <w:rPr>
          <w:sz w:val="22"/>
          <w:szCs w:val="22"/>
          <w:lang w:val="en-US"/>
        </w:rPr>
        <w:t xml:space="preserve">i.) </w:t>
      </w:r>
      <w:r w:rsidRPr="00E5397A">
        <w:rPr>
          <w:sz w:val="22"/>
          <w:szCs w:val="22"/>
          <w:lang w:val="en-US"/>
        </w:rPr>
        <w:t xml:space="preserve">a reproduction over time (e.g. with more recent data), </w:t>
      </w:r>
      <w:r>
        <w:rPr>
          <w:sz w:val="22"/>
          <w:szCs w:val="22"/>
          <w:lang w:val="en-US"/>
        </w:rPr>
        <w:t xml:space="preserve">ii.) </w:t>
      </w:r>
      <w:r w:rsidRPr="00E5397A">
        <w:rPr>
          <w:sz w:val="22"/>
          <w:szCs w:val="22"/>
          <w:lang w:val="en-US"/>
        </w:rPr>
        <w:t xml:space="preserve">assessments in data-scare regions, and </w:t>
      </w:r>
      <w:r>
        <w:rPr>
          <w:sz w:val="22"/>
          <w:szCs w:val="22"/>
          <w:lang w:val="en-US"/>
        </w:rPr>
        <w:t xml:space="preserve">iii.) </w:t>
      </w:r>
      <w:r w:rsidRPr="00E5397A">
        <w:rPr>
          <w:sz w:val="22"/>
          <w:szCs w:val="22"/>
          <w:lang w:val="en-US"/>
        </w:rPr>
        <w:t>comparative approaches covering a larger sample of cities</w:t>
      </w:r>
    </w:p>
    <w:p w14:paraId="42D04AA8" w14:textId="40E5AF82" w:rsidR="008A3DE3" w:rsidRDefault="008A3DE3" w:rsidP="00325A1D">
      <w:pPr>
        <w:widowControl/>
        <w:numPr>
          <w:ilvl w:val="2"/>
          <w:numId w:val="2"/>
        </w:numPr>
        <w:suppressAutoHyphens w:val="0"/>
        <w:rPr>
          <w:lang w:val="en-US"/>
        </w:rPr>
      </w:pPr>
      <w:r>
        <w:rPr>
          <w:lang w:val="en-US"/>
        </w:rPr>
        <w:t>H</w:t>
      </w:r>
      <w:r w:rsidRPr="00045FA4">
        <w:rPr>
          <w:lang w:val="en-US"/>
        </w:rPr>
        <w:t>ow can easy understandable and applicable indicators be used in order</w:t>
      </w:r>
      <w:r>
        <w:rPr>
          <w:lang w:val="en-US"/>
        </w:rPr>
        <w:t xml:space="preserve"> </w:t>
      </w:r>
      <w:r w:rsidRPr="00045FA4">
        <w:rPr>
          <w:lang w:val="en-US"/>
        </w:rPr>
        <w:t>to support urban planning in detecting mismatches between demand and supply</w:t>
      </w:r>
    </w:p>
    <w:p w14:paraId="468AD928" w14:textId="77777777" w:rsidR="005E4884" w:rsidRDefault="005E4884" w:rsidP="005E4884">
      <w:pPr>
        <w:widowControl/>
        <w:suppressAutoHyphens w:val="0"/>
        <w:ind w:left="1440"/>
        <w:rPr>
          <w:lang w:val="en-US"/>
        </w:rPr>
      </w:pPr>
    </w:p>
    <w:p w14:paraId="3E044BA6" w14:textId="77777777" w:rsidR="00325A1D" w:rsidRDefault="00325A1D" w:rsidP="00325A1D">
      <w:pPr>
        <w:widowControl/>
        <w:numPr>
          <w:ilvl w:val="1"/>
          <w:numId w:val="2"/>
        </w:numPr>
        <w:suppressAutoHyphens w:val="0"/>
        <w:rPr>
          <w:lang w:val="en-US"/>
        </w:rPr>
      </w:pPr>
      <w:bookmarkStart w:id="5" w:name="page8R_mcid5"/>
      <w:bookmarkEnd w:id="5"/>
      <w:commentRangeStart w:id="6"/>
      <w:r>
        <w:rPr>
          <w:lang w:val="en-US"/>
        </w:rPr>
        <w:t>Objective 1:</w:t>
      </w:r>
      <w:commentRangeEnd w:id="6"/>
      <w:r>
        <w:rPr>
          <w:rStyle w:val="Kommentarzeichen"/>
          <w:rFonts w:cs="Mangal"/>
        </w:rPr>
        <w:commentReference w:id="6"/>
      </w:r>
    </w:p>
    <w:p w14:paraId="45D6FE2A" w14:textId="77777777" w:rsidR="00325A1D" w:rsidRPr="00B37370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 xml:space="preserve">Create a homogeneous workflow for the modeling of </w:t>
      </w:r>
      <w:r w:rsidRPr="00B37370">
        <w:rPr>
          <w:szCs w:val="22"/>
          <w:shd w:val="clear" w:color="auto" w:fill="00A933"/>
          <w:lang w:val="en-US"/>
        </w:rPr>
        <w:t xml:space="preserve">service connecting areas / walkable environment </w:t>
      </w:r>
      <w:r w:rsidRPr="00B37370">
        <w:rPr>
          <w:szCs w:val="22"/>
          <w:lang w:val="en-US"/>
        </w:rPr>
        <w:t>(on a building level) across European cities using publicly available data and open source software:</w:t>
      </w:r>
    </w:p>
    <w:p w14:paraId="63E16972" w14:textId="77777777" w:rsidR="00325A1D" w:rsidRPr="00B37370" w:rsidRDefault="00325A1D" w:rsidP="00325A1D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Create Network characteristics for European cities:</w:t>
      </w:r>
    </w:p>
    <w:p w14:paraId="59973299" w14:textId="77777777" w:rsidR="00325A1D" w:rsidRPr="00B37370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Combine buffer distance and network distance (Detour index)</w:t>
      </w:r>
    </w:p>
    <w:p w14:paraId="187CFEE9" w14:textId="77777777" w:rsidR="00325A1D" w:rsidRPr="00B37370" w:rsidRDefault="00325A1D" w:rsidP="00325A1D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Combine population, GBS size network distance (Local significance)</w:t>
      </w:r>
    </w:p>
    <w:p w14:paraId="0E4BF6A2" w14:textId="77777777" w:rsidR="00325A1D" w:rsidRPr="00B37370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Objective 2:</w:t>
      </w:r>
    </w:p>
    <w:p w14:paraId="13414AFE" w14:textId="77777777" w:rsidR="00325A1D" w:rsidRPr="00B37370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Find ways for effective comparisons and pattern detection both within cities</w:t>
      </w:r>
      <w:r w:rsidRPr="00B37370">
        <w:rPr>
          <w:szCs w:val="22"/>
          <w:lang w:val="en-US"/>
        </w:rPr>
        <w:br/>
        <w:t>and between citie</w:t>
      </w:r>
      <w:bookmarkStart w:id="7" w:name="page8R_mcid54"/>
      <w:bookmarkEnd w:id="7"/>
      <w:r w:rsidRPr="00B37370">
        <w:rPr>
          <w:szCs w:val="22"/>
          <w:lang w:val="en-US"/>
        </w:rPr>
        <w:t>s</w:t>
      </w:r>
    </w:p>
    <w:p w14:paraId="4AE6B735" w14:textId="1049D3C5" w:rsidR="00325A1D" w:rsidRPr="00B37370" w:rsidRDefault="00325A1D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>Detect mismatch between provision and demand using the results of objective 1.</w:t>
      </w:r>
    </w:p>
    <w:p w14:paraId="7B4DEDD3" w14:textId="77777777" w:rsidR="00B37370" w:rsidRPr="00B37370" w:rsidRDefault="00B37370" w:rsidP="00B37370">
      <w:pPr>
        <w:widowControl/>
        <w:suppressAutoHyphens w:val="0"/>
        <w:rPr>
          <w:szCs w:val="22"/>
          <w:lang w:val="en-US"/>
        </w:rPr>
      </w:pPr>
    </w:p>
    <w:p w14:paraId="24AB0CFF" w14:textId="161C6FF9" w:rsidR="00B37370" w:rsidRPr="00B37370" w:rsidRDefault="00B37370" w:rsidP="00B37370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B37370">
        <w:rPr>
          <w:szCs w:val="22"/>
          <w:lang w:val="en-US"/>
        </w:rPr>
        <w:t xml:space="preserve">Objective 1:  </w:t>
      </w:r>
      <w:r w:rsidRPr="00B37370">
        <w:rPr>
          <w:szCs w:val="22"/>
          <w:lang w:val="en-US"/>
        </w:rPr>
        <w:t>From concept to workflow (based on service-connecting area/proximity approach)</w:t>
      </w:r>
    </w:p>
    <w:p w14:paraId="5C006C70" w14:textId="77777777" w:rsidR="00B37370" w:rsidRPr="00B37370" w:rsidRDefault="00B37370" w:rsidP="00B37370">
      <w:pPr>
        <w:widowControl/>
        <w:suppressAutoHyphens w:val="0"/>
        <w:ind w:left="720"/>
        <w:rPr>
          <w:szCs w:val="22"/>
          <w:lang w:val="en-US"/>
        </w:rPr>
      </w:pPr>
    </w:p>
    <w:p w14:paraId="511E4969" w14:textId="7002C73B" w:rsidR="00B37370" w:rsidRPr="00B37370" w:rsidRDefault="00B37370" w:rsidP="00B37370">
      <w:pPr>
        <w:pStyle w:val="Kommentartext"/>
        <w:numPr>
          <w:ilvl w:val="1"/>
          <w:numId w:val="2"/>
        </w:numPr>
        <w:rPr>
          <w:sz w:val="22"/>
          <w:szCs w:val="22"/>
          <w:lang w:val="en-US"/>
        </w:rPr>
      </w:pPr>
      <w:r w:rsidRPr="00B37370">
        <w:rPr>
          <w:sz w:val="22"/>
          <w:szCs w:val="22"/>
          <w:lang w:val="en-US"/>
        </w:rPr>
        <w:t xml:space="preserve">Objective 2: </w:t>
      </w:r>
      <w:r w:rsidRPr="00B37370">
        <w:rPr>
          <w:sz w:val="22"/>
          <w:szCs w:val="22"/>
          <w:lang w:val="en-US"/>
        </w:rPr>
        <w:t>Combine data and software which are free, updatable, and comparable over Europe</w:t>
      </w:r>
    </w:p>
    <w:p w14:paraId="28AFF209" w14:textId="77777777" w:rsidR="00B37370" w:rsidRPr="00B37370" w:rsidRDefault="00B37370" w:rsidP="00B37370">
      <w:pPr>
        <w:pStyle w:val="Listenabsatz"/>
        <w:rPr>
          <w:szCs w:val="22"/>
          <w:lang w:val="en-US"/>
        </w:rPr>
      </w:pPr>
    </w:p>
    <w:p w14:paraId="35A2269C" w14:textId="77777777" w:rsidR="00B37370" w:rsidRPr="00B37370" w:rsidRDefault="00B37370" w:rsidP="00B37370">
      <w:pPr>
        <w:pStyle w:val="Kommentartext"/>
        <w:ind w:left="1080"/>
        <w:rPr>
          <w:sz w:val="22"/>
          <w:szCs w:val="22"/>
          <w:lang w:val="en-US"/>
        </w:rPr>
      </w:pPr>
    </w:p>
    <w:p w14:paraId="11F31285" w14:textId="429BD9E4" w:rsidR="00B37370" w:rsidRPr="00B37370" w:rsidRDefault="00B37370" w:rsidP="00B37370">
      <w:pPr>
        <w:pStyle w:val="Kommentartext"/>
        <w:numPr>
          <w:ilvl w:val="1"/>
          <w:numId w:val="2"/>
        </w:numPr>
        <w:rPr>
          <w:sz w:val="22"/>
          <w:szCs w:val="22"/>
          <w:lang w:val="en-US"/>
        </w:rPr>
      </w:pPr>
      <w:r w:rsidRPr="00B37370">
        <w:rPr>
          <w:sz w:val="22"/>
          <w:szCs w:val="22"/>
          <w:lang w:val="en-US"/>
        </w:rPr>
        <w:t xml:space="preserve">Objective 3: </w:t>
      </w:r>
      <w:r w:rsidRPr="00B37370">
        <w:rPr>
          <w:sz w:val="22"/>
          <w:szCs w:val="22"/>
          <w:lang w:val="en-US"/>
        </w:rPr>
        <w:t xml:space="preserve">Develop and apply indicators, display/interpret/compare them </w:t>
      </w:r>
    </w:p>
    <w:p w14:paraId="620E7598" w14:textId="77777777" w:rsidR="005A29C5" w:rsidRPr="00325A1D" w:rsidRDefault="005A29C5">
      <w:pPr>
        <w:rPr>
          <w:lang w:val="en-US"/>
        </w:rPr>
      </w:pPr>
      <w:bookmarkStart w:id="8" w:name="_GoBack"/>
      <w:bookmarkEnd w:id="8"/>
    </w:p>
    <w:sectPr w:rsidR="005A29C5" w:rsidRPr="00325A1D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uel" w:date="2022-04-19T13:19:00Z" w:initials="M">
    <w:p w14:paraId="35A1D126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>Welche frage hast du hier genau?</w:t>
      </w:r>
    </w:p>
  </w:comment>
  <w:comment w:id="1" w:author="Manuel" w:date="2022-04-19T13:19:00Z" w:initials="M">
    <w:p w14:paraId="1BE17799" w14:textId="77777777" w:rsidR="00325A1D" w:rsidRPr="007C33F3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Vielleicht die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zu Europa hoch zum ersten anstrich von „</w:t>
      </w:r>
      <w:proofErr w:type="spellStart"/>
      <w:r w:rsidRPr="007C33F3">
        <w:t>What</w:t>
      </w:r>
      <w:proofErr w:type="spellEnd"/>
      <w:r w:rsidRPr="007C33F3">
        <w:t xml:space="preserve"> do </w:t>
      </w:r>
      <w:proofErr w:type="spellStart"/>
      <w:r w:rsidRPr="007C33F3">
        <w:t>we</w:t>
      </w:r>
      <w:proofErr w:type="spellEnd"/>
      <w:r w:rsidRPr="007C33F3">
        <w:t xml:space="preserve"> </w:t>
      </w:r>
      <w:proofErr w:type="spellStart"/>
      <w:r w:rsidRPr="007C33F3">
        <w:t>know</w:t>
      </w:r>
      <w:proofErr w:type="spellEnd"/>
      <w:r w:rsidRPr="007C33F3">
        <w:t xml:space="preserve"> </w:t>
      </w:r>
      <w:proofErr w:type="spellStart"/>
      <w:r w:rsidRPr="007C33F3">
        <w:t>about</w:t>
      </w:r>
      <w:proofErr w:type="spellEnd"/>
      <w:r w:rsidRPr="007C33F3">
        <w:t xml:space="preserve"> </w:t>
      </w:r>
      <w:proofErr w:type="spellStart"/>
      <w:r w:rsidRPr="007C33F3">
        <w:t>the</w:t>
      </w:r>
      <w:proofErr w:type="spellEnd"/>
      <w:r w:rsidRPr="007C33F3">
        <w:t xml:space="preserve"> </w:t>
      </w:r>
      <w:proofErr w:type="spellStart"/>
      <w:r w:rsidRPr="007C33F3">
        <w:t>problem</w:t>
      </w:r>
      <w:proofErr w:type="spellEnd"/>
      <w:r w:rsidRPr="007C33F3">
        <w:t>?</w:t>
      </w:r>
      <w:r>
        <w:t xml:space="preserve">“ und hier dann gezielt die </w:t>
      </w:r>
      <w:proofErr w:type="spellStart"/>
      <w:r>
        <w:t>studies</w:t>
      </w:r>
      <w:proofErr w:type="spellEnd"/>
      <w:r>
        <w:t xml:space="preserve"> aufführen die sich mit den methodischen </w:t>
      </w:r>
      <w:proofErr w:type="spellStart"/>
      <w:r>
        <w:t>ansätzen</w:t>
      </w:r>
      <w:proofErr w:type="spellEnd"/>
      <w:r>
        <w:t xml:space="preserve"> auseinandersetzen </w:t>
      </w:r>
      <w:proofErr w:type="spellStart"/>
      <w:r>
        <w:t>insb</w:t>
      </w:r>
      <w:proofErr w:type="spellEnd"/>
      <w:r>
        <w:t xml:space="preserve"> zu </w:t>
      </w:r>
      <w:proofErr w:type="spellStart"/>
      <w:r>
        <w:t>fallstudien</w:t>
      </w:r>
      <w:proofErr w:type="spellEnd"/>
    </w:p>
  </w:comment>
  <w:comment w:id="2" w:author="Manuel" w:date="2022-04-19T13:23:00Z" w:initials="M">
    <w:p w14:paraId="33B5E56D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Hier solltest du parallel zu den </w:t>
      </w:r>
      <w:proofErr w:type="spellStart"/>
      <w:r>
        <w:t>argumenten</w:t>
      </w:r>
      <w:proofErr w:type="spellEnd"/>
      <w:r>
        <w:t>/</w:t>
      </w:r>
      <w:proofErr w:type="spellStart"/>
      <w:r>
        <w:t>studien</w:t>
      </w:r>
      <w:proofErr w:type="spellEnd"/>
      <w:r>
        <w:t xml:space="preserve"> aus dem Wolff </w:t>
      </w:r>
      <w:proofErr w:type="spellStart"/>
      <w:r>
        <w:t>paper</w:t>
      </w:r>
      <w:proofErr w:type="spellEnd"/>
      <w:r>
        <w:t xml:space="preserve"> auch unbedingt </w:t>
      </w:r>
      <w:proofErr w:type="spellStart"/>
      <w:r>
        <w:t>bezug</w:t>
      </w:r>
      <w:proofErr w:type="spellEnd"/>
      <w:r>
        <w:t xml:space="preserve"> nehmen zu den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)</w:t>
      </w:r>
    </w:p>
  </w:comment>
  <w:comment w:id="3" w:author="Manuel" w:date="2022-04-19T13:21:00Z" w:initials="M">
    <w:p w14:paraId="642F4CF4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Kann auch ein extra anstrich sein, </w:t>
      </w:r>
      <w:proofErr w:type="spellStart"/>
      <w:r>
        <w:t>argument</w:t>
      </w:r>
      <w:proofErr w:type="spellEnd"/>
      <w:r>
        <w:t xml:space="preserve"> dazu findest du im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pdf</w:t>
      </w:r>
      <w:proofErr w:type="spellEnd"/>
    </w:p>
  </w:comment>
  <w:comment w:id="4" w:author="Manuel" w:date="2022-04-19T13:22:00Z" w:initials="M">
    <w:p w14:paraId="05A81BFD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Hast du </w:t>
      </w:r>
      <w:proofErr w:type="spellStart"/>
      <w:r>
        <w:t>nich</w:t>
      </w:r>
      <w:proofErr w:type="spellEnd"/>
      <w:r>
        <w:t xml:space="preserve"> drin, ich würde ganz stark nur mit der </w:t>
      </w:r>
      <w:proofErr w:type="spellStart"/>
      <w:r>
        <w:t>demand-supply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arbeiten wie im </w:t>
      </w:r>
      <w:proofErr w:type="spellStart"/>
      <w:r>
        <w:t>titel</w:t>
      </w:r>
      <w:proofErr w:type="spellEnd"/>
      <w:r>
        <w:t xml:space="preserve"> anklingt</w:t>
      </w:r>
    </w:p>
  </w:comment>
  <w:comment w:id="6" w:author="Manuel" w:date="2022-04-19T13:37:00Z" w:initials="M">
    <w:p w14:paraId="4BEB4B06" w14:textId="77777777" w:rsidR="00325A1D" w:rsidRDefault="00325A1D" w:rsidP="00325A1D">
      <w:pPr>
        <w:pStyle w:val="Kommentartext"/>
      </w:pPr>
      <w:r>
        <w:rPr>
          <w:rStyle w:val="Kommentarzeichen"/>
        </w:rPr>
        <w:annotationRef/>
      </w:r>
      <w:r>
        <w:t xml:space="preserve">Jo, und wenn du mit den 3 forschungsfragen einverstanden bist dann kann man auch 3 </w:t>
      </w:r>
      <w:proofErr w:type="spellStart"/>
      <w:r>
        <w:t>objectives</w:t>
      </w:r>
      <w:proofErr w:type="spellEnd"/>
      <w:r>
        <w:t xml:space="preserve"> daraus machen:</w:t>
      </w:r>
    </w:p>
    <w:p w14:paraId="1CAA0697" w14:textId="77777777" w:rsidR="00325A1D" w:rsidRPr="00045FA4" w:rsidRDefault="00325A1D" w:rsidP="00325A1D">
      <w:pPr>
        <w:pStyle w:val="Kommentartext"/>
        <w:numPr>
          <w:ilvl w:val="0"/>
          <w:numId w:val="3"/>
        </w:numPr>
        <w:rPr>
          <w:lang w:val="en-US"/>
        </w:rPr>
      </w:pPr>
      <w:r w:rsidRPr="00045FA4">
        <w:rPr>
          <w:lang w:val="en-US"/>
        </w:rPr>
        <w:t>From concept to workflow (based on service-connecting area/proximity approach)</w:t>
      </w:r>
    </w:p>
    <w:p w14:paraId="41CB876D" w14:textId="77777777" w:rsidR="00325A1D" w:rsidRDefault="00325A1D" w:rsidP="00325A1D">
      <w:pPr>
        <w:pStyle w:val="Kommentar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Combine data and software which are free, updatable, and comparable over Europe</w:t>
      </w:r>
    </w:p>
    <w:p w14:paraId="38173FC2" w14:textId="77777777" w:rsidR="00325A1D" w:rsidRPr="00045FA4" w:rsidRDefault="00325A1D" w:rsidP="00325A1D">
      <w:pPr>
        <w:pStyle w:val="Kommentar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and apply indicators, display/interpret/compare them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A1D126" w15:done="0"/>
  <w15:commentEx w15:paraId="1BE17799" w15:done="0"/>
  <w15:commentEx w15:paraId="33B5E56D" w15:done="0"/>
  <w15:commentEx w15:paraId="642F4CF4" w15:done="0"/>
  <w15:commentEx w15:paraId="05A81BFD" w15:done="1"/>
  <w15:commentEx w15:paraId="38173F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A1D126" w16cid:durableId="26251106"/>
  <w16cid:commentId w16cid:paraId="1BE17799" w16cid:durableId="26251107"/>
  <w16cid:commentId w16cid:paraId="33B5E56D" w16cid:durableId="26251108"/>
  <w16cid:commentId w16cid:paraId="642F4CF4" w16cid:durableId="26251109"/>
  <w16cid:commentId w16cid:paraId="05A81BFD" w16cid:durableId="2625110A"/>
  <w16cid:commentId w16cid:paraId="38173FC2" w16cid:durableId="262511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DB5"/>
    <w:multiLevelType w:val="multilevel"/>
    <w:tmpl w:val="162AA1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D946C3"/>
    <w:multiLevelType w:val="hybridMultilevel"/>
    <w:tmpl w:val="C32035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5CFA"/>
    <w:multiLevelType w:val="multilevel"/>
    <w:tmpl w:val="39D85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uel">
    <w15:presenceInfo w15:providerId="None" w15:userId="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C"/>
    <w:rsid w:val="000D3791"/>
    <w:rsid w:val="00112F42"/>
    <w:rsid w:val="001F5459"/>
    <w:rsid w:val="00325A1D"/>
    <w:rsid w:val="003416D1"/>
    <w:rsid w:val="003B1C5E"/>
    <w:rsid w:val="00565C6E"/>
    <w:rsid w:val="005A29C5"/>
    <w:rsid w:val="005E4884"/>
    <w:rsid w:val="00660C72"/>
    <w:rsid w:val="008A3DE3"/>
    <w:rsid w:val="00A913FC"/>
    <w:rsid w:val="00B37370"/>
    <w:rsid w:val="00E5397A"/>
    <w:rsid w:val="00FA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8BDC"/>
  <w15:chartTrackingRefBased/>
  <w15:docId w15:val="{9F14152B-B0B4-494C-9F39-C901FAA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325A1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25A1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25A1D"/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25A1D"/>
    <w:rPr>
      <w:rFonts w:ascii="Calibri" w:eastAsia="NSimSun" w:hAnsi="Calibri" w:cs="Mangal"/>
      <w:kern w:val="3"/>
      <w:sz w:val="20"/>
      <w:szCs w:val="18"/>
      <w:lang w:val="de-DE"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A1D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A1D"/>
    <w:rPr>
      <w:rFonts w:ascii="Segoe UI" w:eastAsia="NSimSun" w:hAnsi="Segoe UI" w:cs="Mangal"/>
      <w:kern w:val="3"/>
      <w:sz w:val="18"/>
      <w:szCs w:val="16"/>
      <w:lang w:val="de-DE" w:eastAsia="zh-CN" w:bidi="hi-IN"/>
    </w:rPr>
  </w:style>
  <w:style w:type="paragraph" w:styleId="Listenabsatz">
    <w:name w:val="List Paragraph"/>
    <w:basedOn w:val="Standard"/>
    <w:uiPriority w:val="34"/>
    <w:qFormat/>
    <w:rsid w:val="00B373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10</cp:revision>
  <dcterms:created xsi:type="dcterms:W3CDTF">2022-05-10T14:38:00Z</dcterms:created>
  <dcterms:modified xsi:type="dcterms:W3CDTF">2022-05-10T15:09:00Z</dcterms:modified>
</cp:coreProperties>
</file>