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Introduction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What is the scope of the problem?</w:t>
      </w:r>
    </w:p>
    <w:p>
      <w:pPr>
        <w:pStyle w:val="Normal"/>
        <w:widowControl/>
        <w:numPr>
          <w:ilvl w:val="1"/>
          <w:numId w:val="1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Improving the modeling of the walkable environment / service connecting area for urban green spaces (UGS) in European cities based on a proximity approach</w:t>
      </w:r>
    </w:p>
    <w:p>
      <w:pPr>
        <w:pStyle w:val="Normal"/>
        <w:widowControl/>
        <w:numPr>
          <w:ilvl w:val="1"/>
          <w:numId w:val="1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Provide solutions for easy-to-handle / understandable indicators based on publicly available data and software</w:t>
      </w:r>
    </w:p>
    <w:p>
      <w:pPr>
        <w:pStyle w:val="Normal"/>
        <w:widowControl/>
        <w:numPr>
          <w:ilvl w:val="1"/>
          <w:numId w:val="1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Develop an approach to combine high-resolution data with a comparative approach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numPr>
          <w:ilvl w:val="0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What do we know about the problem?</w:t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  <w:t>ES = Important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Ecosystems supply ecosystem services (ES) which are critical to human well being (</w:t>
      </w:r>
      <w:r>
        <w:rPr>
          <w:szCs w:val="22"/>
          <w:lang w:val="en-US"/>
        </w:rPr>
        <w:t>Fisher et al. 2019</w:t>
      </w:r>
      <w:r>
        <w:rPr>
          <w:szCs w:val="22"/>
          <w:lang w:val="en-US"/>
        </w:rPr>
        <w:t xml:space="preserve">). 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Living in proximity of urban green spaces (UGS) was found to have positive effects on mental health and physical activity as well as reduce mortality (Kabisch 2017?).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Thus, having access to UGS can enhance inhabitants’ quality of life (EU 2018).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In the Sustainable Development Goal (SDG) 11.</w:t>
      </w:r>
      <w:r>
        <w:rPr>
          <w:szCs w:val="22"/>
          <w:lang w:val="en-US"/>
        </w:rPr>
        <w:t>7</w:t>
      </w:r>
      <w:r>
        <w:rPr>
          <w:szCs w:val="22"/>
          <w:lang w:val="en-US"/>
        </w:rPr>
        <w:t>, the United Nations have agreed to provide universal access to public green spaces by 2030.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(Global) urban pop growing = relevance of ES in cities</w:t>
      </w:r>
    </w:p>
    <w:p>
      <w:pPr>
        <w:pStyle w:val="Normal"/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Urban population is growing worldwide. 55% of the global population were living in cities by 2018 and 68% are projected to do so in 2050 (UN, 2019).</w:t>
      </w:r>
    </w:p>
    <w:p>
      <w:pPr>
        <w:pStyle w:val="Normal"/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(UN, 2019).</w:t>
      </w:r>
    </w:p>
    <w:p>
      <w:pPr>
        <w:pStyle w:val="Normal"/>
        <w:rPr>
          <w:szCs w:val="22"/>
          <w:lang w:val="en-US"/>
        </w:rPr>
      </w:pPr>
      <w:r>
        <w:rPr/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  <w:t>(</w:t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  <w:t>European challenges = narrowing down</w:t>
      </w:r>
    </w:p>
    <w:p>
      <w:pPr>
        <w:pStyle w:val="Normal"/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Due to various influences, in </w:t>
      </w:r>
      <w:r>
        <w:rPr>
          <w:szCs w:val="22"/>
          <w:lang w:val="en-US"/>
        </w:rPr>
        <w:t xml:space="preserve">Europe </w:t>
      </w:r>
      <w:r>
        <w:rPr>
          <w:szCs w:val="22"/>
          <w:lang w:val="en-US"/>
        </w:rPr>
        <w:t>there are regions with g</w:t>
      </w:r>
      <w:r>
        <w:rPr>
          <w:szCs w:val="22"/>
          <w:lang w:val="en-US"/>
        </w:rPr>
        <w:t xml:space="preserve">rowing and </w:t>
      </w:r>
      <w:r>
        <w:rPr>
          <w:szCs w:val="22"/>
          <w:lang w:val="en-US"/>
        </w:rPr>
        <w:t>regions with</w:t>
      </w:r>
      <w:r>
        <w:rPr>
          <w:szCs w:val="22"/>
          <w:lang w:val="en-US"/>
        </w:rPr>
        <w:t xml:space="preserve"> shrinking cities (Kabisch </w:t>
      </w:r>
      <w:r>
        <w:rPr>
          <w:szCs w:val="22"/>
          <w:lang w:val="en-US"/>
        </w:rPr>
        <w:t xml:space="preserve">et al. </w:t>
      </w:r>
      <w:r>
        <w:rPr>
          <w:szCs w:val="22"/>
          <w:lang w:val="en-US"/>
        </w:rPr>
        <w:t>2012).</w:t>
      </w:r>
    </w:p>
    <w:p>
      <w:pPr>
        <w:pStyle w:val="Normal"/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These dynamics pose v</w:t>
      </w:r>
      <w:r>
        <w:rPr>
          <w:szCs w:val="22"/>
          <w:lang w:val="en-US"/>
        </w:rPr>
        <w:t xml:space="preserve">arying challenges and opportunities for the development of </w:t>
      </w:r>
      <w:r>
        <w:rPr>
          <w:szCs w:val="22"/>
          <w:lang w:val="en-US"/>
        </w:rPr>
        <w:t>UGS</w:t>
      </w:r>
      <w:r>
        <w:rPr>
          <w:szCs w:val="22"/>
          <w:lang w:val="en-US"/>
        </w:rPr>
        <w:t xml:space="preserve"> (Kabisch, Haase 2012).</w:t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  <w:t>)</w:t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SPA vs SBA</w:t>
      </w:r>
    </w:p>
    <w:p>
      <w:pPr>
        <w:pStyle w:val="Normal"/>
        <w:widowControl/>
        <w:numPr>
          <w:ilvl w:val="0"/>
          <w:numId w:val="3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Since ES are rarely consumed by humans at the same place where they are produced by the ecosystem, we distinguish s</w:t>
      </w:r>
      <w:r>
        <w:rPr>
          <w:szCs w:val="22"/>
          <w:lang w:val="en-US"/>
        </w:rPr>
        <w:t xml:space="preserve">ervice production areas </w:t>
      </w:r>
      <w:r>
        <w:rPr>
          <w:szCs w:val="22"/>
          <w:lang w:val="en-US"/>
        </w:rPr>
        <w:t>(SPA)</w:t>
      </w:r>
      <w:r>
        <w:rPr>
          <w:szCs w:val="22"/>
          <w:lang w:val="en-US"/>
        </w:rPr>
        <w:t xml:space="preserve"> and service </w:t>
      </w:r>
      <w:r>
        <w:rPr>
          <w:szCs w:val="22"/>
          <w:lang w:val="en-US"/>
        </w:rPr>
        <w:t>benefiting</w:t>
      </w:r>
      <w:r>
        <w:rPr>
          <w:szCs w:val="22"/>
          <w:lang w:val="en-US"/>
        </w:rPr>
        <w:t xml:space="preserve"> areas </w:t>
      </w:r>
      <w:r>
        <w:rPr>
          <w:szCs w:val="22"/>
          <w:lang w:val="en-US"/>
        </w:rPr>
        <w:t>(SBA) (</w:t>
      </w:r>
      <w:r>
        <w:rPr>
          <w:szCs w:val="22"/>
          <w:lang w:val="en-US"/>
        </w:rPr>
        <w:t xml:space="preserve">Fisher et al. 2009, </w:t>
      </w:r>
      <w:r>
        <w:rPr>
          <w:szCs w:val="22"/>
          <w:lang w:val="en-US"/>
        </w:rPr>
        <w:t>Syrbe and Walz, 2012</w:t>
      </w:r>
      <w:r>
        <w:rPr>
          <w:szCs w:val="22"/>
          <w:lang w:val="en-US"/>
        </w:rPr>
        <w:t>).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Service </w:t>
      </w:r>
      <w:r>
        <w:rPr>
          <w:szCs w:val="22"/>
          <w:lang w:val="en-US"/>
        </w:rPr>
        <w:t>production</w:t>
      </w:r>
      <w:r>
        <w:rPr>
          <w:szCs w:val="22"/>
          <w:lang w:val="en-US"/>
        </w:rPr>
        <w:t xml:space="preserve"> areas (SPA) represent the supplying side, the spatial unit where the ES are generated. </w:t>
      </w:r>
    </w:p>
    <w:p>
      <w:pPr>
        <w:pStyle w:val="ListParagraph"/>
        <w:widowControl/>
        <w:numPr>
          <w:ilvl w:val="0"/>
          <w:numId w:val="3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Service benefiting areas (SBA) embody the demand side, the target of an ES flow </w:t>
      </w:r>
      <w:r>
        <w:rPr>
          <w:szCs w:val="22"/>
          <w:lang w:val="en-US"/>
        </w:rPr>
        <w:t>(Syrbe and Walz 2012</w:t>
      </w:r>
      <w:r>
        <w:rPr>
          <w:szCs w:val="22"/>
          <w:lang w:val="en-US"/>
        </w:rPr>
        <w:t>).</w:t>
      </w:r>
    </w:p>
    <w:p>
      <w:pPr>
        <w:pStyle w:val="ListParagraph"/>
        <w:widowControl/>
        <w:numPr>
          <w:ilvl w:val="0"/>
          <w:numId w:val="3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</w:t>
      </w:r>
      <w:r>
        <w:rPr>
          <w:szCs w:val="22"/>
          <w:lang w:val="en-US"/>
        </w:rPr>
        <w:t xml:space="preserve">n the case of UGS in and urban environment, the UGS are the SPA and the residential areas or buildings are the SBA. </w:t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Accessibility of UGS vs availability of UGS: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 a</w:t>
      </w:r>
      <w:r>
        <w:rPr>
          <w:szCs w:val="22"/>
          <w:lang w:val="en-US"/>
        </w:rPr>
        <w:t xml:space="preserve">vailability </w:t>
      </w:r>
      <w:r>
        <w:rPr>
          <w:szCs w:val="22"/>
          <w:lang w:val="en-US"/>
        </w:rPr>
        <w:t>of UGS can be defined by the</w:t>
      </w:r>
      <w:r>
        <w:rPr>
          <w:szCs w:val="22"/>
          <w:lang w:val="en-US"/>
        </w:rPr>
        <w:t xml:space="preserve"> “</w:t>
      </w:r>
      <w:r>
        <w:rPr>
          <w:szCs w:val="22"/>
          <w:lang w:val="en-US"/>
        </w:rPr>
        <w:t>a</w:t>
      </w:r>
      <w:r>
        <w:rPr>
          <w:szCs w:val="22"/>
          <w:lang w:val="en-US"/>
        </w:rPr>
        <w:t>mount of green area in a defined distance to where urban residents live” (Kabisch et al. 2016).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Having actual access to UGS might be limited by </w:t>
      </w:r>
      <w:r>
        <w:rPr>
          <w:szCs w:val="22"/>
          <w:lang w:val="en-US"/>
        </w:rPr>
        <w:t>additional</w:t>
      </w:r>
      <w:r>
        <w:rPr>
          <w:szCs w:val="22"/>
          <w:lang w:val="en-US"/>
        </w:rPr>
        <w:t xml:space="preserve"> factors though.</w:t>
      </w:r>
      <w:r>
        <w:rPr>
          <w:szCs w:val="22"/>
          <w:lang w:val="en-US"/>
        </w:rPr>
        <w:t xml:space="preserve"> 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 p</w:t>
      </w:r>
      <w:r>
        <w:rPr>
          <w:szCs w:val="22"/>
          <w:lang w:val="en-US"/>
        </w:rPr>
        <w:t xml:space="preserve">hysical accessibility, </w:t>
      </w:r>
      <w:r>
        <w:rPr>
          <w:szCs w:val="22"/>
          <w:lang w:val="en-US"/>
        </w:rPr>
        <w:t>for example,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>can be</w:t>
      </w:r>
      <w:r>
        <w:rPr>
          <w:szCs w:val="22"/>
          <w:lang w:val="en-US"/>
        </w:rPr>
        <w:t xml:space="preserve"> limited by fences, or opening hours </w:t>
      </w:r>
      <w:r>
        <w:rPr>
          <w:szCs w:val="22"/>
          <w:lang w:val="en-US"/>
        </w:rPr>
        <w:t xml:space="preserve">of </w:t>
      </w:r>
      <w:r>
        <w:rPr>
          <w:szCs w:val="22"/>
          <w:lang w:val="en-US"/>
        </w:rPr>
        <w:t xml:space="preserve">an </w:t>
      </w:r>
      <w:r>
        <w:rPr>
          <w:szCs w:val="22"/>
          <w:lang w:val="en-US"/>
        </w:rPr>
        <w:t xml:space="preserve">UGS. 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</w:t>
      </w:r>
      <w:r>
        <w:rPr>
          <w:szCs w:val="22"/>
          <w:lang w:val="en-US"/>
        </w:rPr>
        <w:t>dditionally,</w:t>
      </w:r>
      <w:r>
        <w:rPr>
          <w:szCs w:val="22"/>
          <w:lang w:val="en-US"/>
        </w:rPr>
        <w:t xml:space="preserve"> accessibility</w:t>
      </w:r>
      <w:r>
        <w:rPr>
          <w:szCs w:val="22"/>
          <w:lang w:val="en-US"/>
        </w:rPr>
        <w:t xml:space="preserve"> may be </w:t>
      </w:r>
      <w:r>
        <w:rPr>
          <w:szCs w:val="22"/>
          <w:lang w:val="en-US"/>
        </w:rPr>
        <w:t xml:space="preserve">limited by perceived </w:t>
      </w:r>
      <w:r>
        <w:rPr>
          <w:szCs w:val="22"/>
          <w:lang w:val="en-US"/>
        </w:rPr>
        <w:t>overcrowding effects through population pressure (Kabisch et al 2016, Wollf et al. 2020)</w:t>
      </w:r>
      <w:r>
        <w:rPr>
          <w:szCs w:val="22"/>
          <w:lang w:val="en-US"/>
        </w:rPr>
        <w:t>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 population pressure</w:t>
      </w:r>
      <w:r>
        <w:rPr>
          <w:szCs w:val="22"/>
          <w:lang w:val="en-US"/>
        </w:rPr>
        <w:t xml:space="preserve"> might be amplified by the c</w:t>
      </w:r>
      <w:r>
        <w:rPr>
          <w:szCs w:val="22"/>
          <w:lang w:val="en-US"/>
        </w:rPr>
        <w:t xml:space="preserve">ompact city </w:t>
      </w:r>
      <w:r>
        <w:rPr>
          <w:szCs w:val="22"/>
          <w:lang w:val="en-US"/>
        </w:rPr>
        <w:t>paradigm, which is popular among European city planners: A</w:t>
      </w:r>
      <w:r>
        <w:rPr>
          <w:szCs w:val="22"/>
          <w:lang w:val="en-US"/>
        </w:rPr>
        <w:t xml:space="preserve"> more compact city </w:t>
      </w:r>
      <w:r>
        <w:rPr>
          <w:szCs w:val="22"/>
          <w:lang w:val="en-US"/>
        </w:rPr>
        <w:t>can result in shorter traveling distances but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>also in more overcrowding effects</w:t>
      </w:r>
      <w:r>
        <w:rPr>
          <w:szCs w:val="22"/>
          <w:lang w:val="en-US"/>
        </w:rPr>
        <w:t xml:space="preserve"> (</w:t>
      </w:r>
      <w:bookmarkStart w:id="0" w:name="page258R_mcid0"/>
      <w:bookmarkEnd w:id="0"/>
      <w:r>
        <w:rPr>
          <w:rFonts w:ascii="Calibri" w:hAnsi="Calibri"/>
          <w:sz w:val="22"/>
          <w:szCs w:val="22"/>
          <w:lang w:val="en-US"/>
        </w:rPr>
        <w:t xml:space="preserve">Commission of European Communities, 1990; </w:t>
      </w:r>
      <w:r>
        <w:rPr>
          <w:rFonts w:ascii="Calibri" w:hAnsi="Calibri"/>
          <w:sz w:val="22"/>
          <w:szCs w:val="22"/>
          <w:lang w:val="en-US"/>
        </w:rPr>
        <w:t>Bu</w:t>
      </w:r>
      <w:r>
        <w:rPr>
          <w:szCs w:val="22"/>
          <w:lang w:val="en-US"/>
        </w:rPr>
        <w:t xml:space="preserve">rton, 2003 </w:t>
      </w:r>
      <w:hyperlink r:id="rId2">
        <w:r>
          <w:rPr>
            <w:rStyle w:val="Internetverknpfung"/>
            <w:szCs w:val="22"/>
            <w:lang w:val="en-US"/>
          </w:rPr>
          <w:t>https://doi.org/10.4324/9780203362372</w:t>
        </w:r>
      </w:hyperlink>
      <w:r>
        <w:rPr>
          <w:szCs w:val="22"/>
          <w:lang w:val="en-US"/>
        </w:rPr>
        <w:t>).</w:t>
      </w:r>
    </w:p>
    <w:p>
      <w:pPr>
        <w:pStyle w:val="ListParagraph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As u</w:t>
      </w:r>
      <w:r>
        <w:rPr>
          <w:szCs w:val="22"/>
          <w:lang w:val="en-US"/>
        </w:rPr>
        <w:t xml:space="preserve">se intensity can influence ES, </w:t>
      </w:r>
      <w:r>
        <w:rPr>
          <w:szCs w:val="22"/>
          <w:lang w:val="en-US"/>
        </w:rPr>
        <w:t>it can</w:t>
      </w:r>
      <w:r>
        <w:rPr>
          <w:szCs w:val="22"/>
          <w:lang w:val="en-US"/>
        </w:rPr>
        <w:t xml:space="preserve"> creat</w:t>
      </w:r>
      <w:r>
        <w:rPr>
          <w:szCs w:val="22"/>
          <w:lang w:val="en-US"/>
        </w:rPr>
        <w:t xml:space="preserve">e </w:t>
      </w:r>
      <w:r>
        <w:rPr>
          <w:szCs w:val="22"/>
          <w:lang w:val="en-US"/>
        </w:rPr>
        <w:t xml:space="preserve">a mismatch between supply and demand (Syrbe &amp; Grunewald, 2017). 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1080" w:hanging="0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SCA = modeling space between SPA and SBA</w:t>
      </w:r>
    </w:p>
    <w:p>
      <w:pPr>
        <w:pStyle w:val="ListParagraph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In order to account for physical and perceived barriers to green space access, it is beneficial to take a look at the space between SPA and SBA </w:t>
      </w:r>
      <w:r>
        <w:rPr>
          <w:szCs w:val="22"/>
          <w:lang w:val="en-US"/>
        </w:rPr>
        <w:t xml:space="preserve">(Syrbe &amp; </w:t>
      </w:r>
      <w:r>
        <w:rPr>
          <w:szCs w:val="22"/>
          <w:lang w:val="en-US"/>
        </w:rPr>
        <w:t>Walz</w:t>
      </w:r>
      <w:r>
        <w:rPr>
          <w:szCs w:val="22"/>
          <w:lang w:val="en-US"/>
        </w:rPr>
        <w:t xml:space="preserve"> 201</w:t>
      </w:r>
      <w:r>
        <w:rPr>
          <w:szCs w:val="22"/>
          <w:lang w:val="en-US"/>
        </w:rPr>
        <w:t>2</w:t>
      </w:r>
      <w:r>
        <w:rPr>
          <w:szCs w:val="22"/>
          <w:lang w:val="en-US"/>
        </w:rPr>
        <w:t>).</w:t>
      </w:r>
    </w:p>
    <w:p>
      <w:pPr>
        <w:pStyle w:val="ListParagraph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As stated above, the space </w:t>
      </w:r>
      <w:r>
        <w:rPr>
          <w:i/>
          <w:iCs/>
          <w:szCs w:val="22"/>
          <w:lang w:val="en-US"/>
        </w:rPr>
        <w:t>in between</w:t>
      </w:r>
      <w:r>
        <w:rPr>
          <w:szCs w:val="22"/>
          <w:lang w:val="en-US"/>
        </w:rPr>
        <w:t>, also called the s</w:t>
      </w:r>
      <w:r>
        <w:rPr>
          <w:szCs w:val="22"/>
          <w:lang w:val="en-US"/>
        </w:rPr>
        <w:t>ervice connecting area (SCA),</w:t>
      </w:r>
      <w:r>
        <w:rPr>
          <w:szCs w:val="22"/>
          <w:lang w:val="en-US"/>
        </w:rPr>
        <w:t xml:space="preserve"> may affect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the quality of ES and, thus, the accessibility of UGS </w:t>
      </w:r>
      <w:r>
        <w:rPr>
          <w:szCs w:val="22"/>
          <w:lang w:val="en-US"/>
        </w:rPr>
        <w:t>(Syrbe &amp; Walz 2012).</w:t>
      </w:r>
    </w:p>
    <w:p>
      <w:pPr>
        <w:pStyle w:val="ListParagraph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</w:t>
      </w:r>
      <w:r>
        <w:rPr>
          <w:szCs w:val="22"/>
          <w:lang w:val="en-US"/>
        </w:rPr>
        <w:t>herefore it is necessary to model the walkable environment of a city.</w:t>
      </w:r>
    </w:p>
    <w:p>
      <w:pPr>
        <w:pStyle w:val="ListParagraph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Proximity = Modeling green space proximity in cities important (SCA for green space and population in cities)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Three perspectives have been used in past studies to tackle </w:t>
      </w:r>
      <w:r>
        <w:rPr>
          <w:szCs w:val="22"/>
          <w:lang w:val="en-US"/>
        </w:rPr>
        <w:t>model the availability and accessibility of UGS</w:t>
      </w:r>
      <w:r>
        <w:rPr>
          <w:szCs w:val="22"/>
          <w:lang w:val="en-US"/>
        </w:rPr>
        <w:t>: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 p</w:t>
      </w:r>
      <w:r>
        <w:rPr>
          <w:szCs w:val="22"/>
          <w:lang w:val="en-US"/>
        </w:rPr>
        <w:t xml:space="preserve">rovision </w:t>
      </w:r>
      <w:r>
        <w:rPr>
          <w:szCs w:val="22"/>
          <w:lang w:val="en-US"/>
        </w:rPr>
        <w:t xml:space="preserve">perspective looks at the flow from green area to buildings, thus, focusing on UGS provision </w:t>
      </w:r>
      <w:r>
        <w:rPr>
          <w:szCs w:val="22"/>
          <w:lang w:val="en-US"/>
        </w:rPr>
        <w:t>(area / person).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Secondly, the p</w:t>
      </w:r>
      <w:r>
        <w:rPr>
          <w:szCs w:val="22"/>
          <w:lang w:val="en-US"/>
        </w:rPr>
        <w:t xml:space="preserve">ressure </w:t>
      </w:r>
      <w:r>
        <w:rPr>
          <w:szCs w:val="22"/>
          <w:lang w:val="en-US"/>
        </w:rPr>
        <w:t>perspective describes the flow from residential buildings (i.e. the population) to the UGS.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The focus here lies on the pressure on UGS or the demand for green areas </w:t>
      </w:r>
      <w:r>
        <w:rPr>
          <w:szCs w:val="22"/>
          <w:lang w:val="en-US"/>
        </w:rPr>
        <w:t>(person / area).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Lastly, the p</w:t>
      </w:r>
      <w:r>
        <w:rPr>
          <w:szCs w:val="22"/>
          <w:lang w:val="en-US"/>
        </w:rPr>
        <w:t xml:space="preserve">roximity </w:t>
      </w:r>
      <w:r>
        <w:rPr>
          <w:szCs w:val="22"/>
          <w:lang w:val="en-US"/>
        </w:rPr>
        <w:t>perspective takes into account the s</w:t>
      </w:r>
      <w:r>
        <w:rPr>
          <w:szCs w:val="22"/>
          <w:lang w:val="en-US"/>
        </w:rPr>
        <w:t>pace between supply and demand. (min</w:t>
      </w:r>
      <w:r>
        <w:rPr>
          <w:szCs w:val="22"/>
          <w:lang w:val="en-US"/>
        </w:rPr>
        <w:t>imum</w:t>
      </w:r>
      <w:r>
        <w:rPr>
          <w:szCs w:val="22"/>
          <w:lang w:val="en-US"/>
        </w:rPr>
        <w:t xml:space="preserve"> or av</w:t>
      </w:r>
      <w:r>
        <w:rPr>
          <w:szCs w:val="22"/>
          <w:lang w:val="en-US"/>
        </w:rPr>
        <w:t>era</w:t>
      </w:r>
      <w:r>
        <w:rPr>
          <w:szCs w:val="22"/>
          <w:lang w:val="en-US"/>
        </w:rPr>
        <w:t>g</w:t>
      </w:r>
      <w:r>
        <w:rPr>
          <w:szCs w:val="22"/>
          <w:lang w:val="en-US"/>
        </w:rPr>
        <w:t>e</w:t>
      </w:r>
      <w:r>
        <w:rPr>
          <w:szCs w:val="22"/>
          <w:lang w:val="en-US"/>
        </w:rPr>
        <w:t xml:space="preserve"> distance). A proximity perspective is necessary to account for barriers and network characteristics </w:t>
      </w:r>
      <w:r>
        <w:rPr>
          <w:szCs w:val="22"/>
          <w:lang w:val="en-US"/>
        </w:rPr>
        <w:t>like overcrowding effects.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>(Wolff, 2021)</w:t>
      </w:r>
      <w:r>
        <w:rPr>
          <w:szCs w:val="22"/>
          <w:lang w:val="en-US"/>
        </w:rPr>
        <w:t>.</w:t>
      </w:r>
    </w:p>
    <w:p>
      <w:pPr>
        <w:pStyle w:val="Normal"/>
        <w:widowControl/>
        <w:suppressAutoHyphens w:val="false"/>
        <w:ind w:hanging="0"/>
        <w:rPr>
          <w:szCs w:val="22"/>
          <w:shd w:fill="00A933" w:val="clear"/>
          <w:lang w:val="en-US"/>
        </w:rPr>
      </w:pPr>
      <w:r>
        <w:rPr>
          <w:szCs w:val="22"/>
          <w:shd w:fill="00A933" w:val="clear"/>
          <w:lang w:val="en-US"/>
        </w:rPr>
      </w:r>
    </w:p>
    <w:p>
      <w:pPr>
        <w:pStyle w:val="Normal"/>
        <w:rPr>
          <w:szCs w:val="22"/>
          <w:lang w:val="en-US"/>
        </w:rPr>
      </w:pPr>
      <w:r>
        <w:rPr>
          <w:szCs w:val="22"/>
          <w:lang w:val="en-US"/>
        </w:rPr>
        <w:t>State of the art: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</w:t>
      </w:r>
      <w:r>
        <w:rPr>
          <w:szCs w:val="22"/>
          <w:lang w:val="en-US"/>
        </w:rPr>
        <w:t xml:space="preserve">vailability </w:t>
      </w:r>
      <w:r>
        <w:rPr>
          <w:szCs w:val="22"/>
          <w:lang w:val="en-US"/>
        </w:rPr>
        <w:t>and accessibility</w:t>
      </w:r>
      <w:r>
        <w:rPr>
          <w:szCs w:val="22"/>
          <w:lang w:val="en-US"/>
        </w:rPr>
        <w:t xml:space="preserve"> of UGS in Europe ha</w:t>
      </w:r>
      <w:r>
        <w:rPr>
          <w:szCs w:val="22"/>
          <w:lang w:val="en-US"/>
        </w:rPr>
        <w:t xml:space="preserve">ve </w:t>
      </w:r>
      <w:r>
        <w:rPr>
          <w:szCs w:val="22"/>
          <w:lang w:val="en-US"/>
        </w:rPr>
        <w:t>been analyzed and compared in multiple studies.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In their 2016 paper, </w:t>
      </w:r>
      <w:r>
        <w:rPr>
          <w:szCs w:val="22"/>
          <w:lang w:val="en-US"/>
        </w:rPr>
        <w:t xml:space="preserve">Kabisch et al. </w:t>
      </w:r>
      <w:r>
        <w:rPr>
          <w:szCs w:val="22"/>
          <w:lang w:val="en-US"/>
        </w:rPr>
        <w:t>carried out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 xml:space="preserve">an </w:t>
      </w:r>
      <w:r>
        <w:rPr>
          <w:szCs w:val="22"/>
          <w:lang w:val="en-US"/>
        </w:rPr>
        <w:t xml:space="preserve">assessment of green space availability in 299 EU cities. 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They</w:t>
      </w:r>
      <w:r>
        <w:rPr>
          <w:szCs w:val="22"/>
          <w:lang w:val="en-US"/>
        </w:rPr>
        <w:t xml:space="preserve"> us</w:t>
      </w:r>
      <w:r>
        <w:rPr>
          <w:szCs w:val="22"/>
          <w:lang w:val="en-US"/>
        </w:rPr>
        <w:t xml:space="preserve">ed </w:t>
      </w:r>
      <w:r>
        <w:rPr>
          <w:szCs w:val="22"/>
          <w:lang w:val="en-US"/>
        </w:rPr>
        <w:t xml:space="preserve">a population grid of 1 km² and land use data (urban atlas) </w:t>
      </w:r>
      <w:r>
        <w:rPr>
          <w:szCs w:val="22"/>
          <w:lang w:val="en-US"/>
        </w:rPr>
        <w:t>to calculate the population within a buffer distance of UGS.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In 2016, the Joint Research Center (</w:t>
      </w:r>
      <w:r>
        <w:rPr>
          <w:szCs w:val="22"/>
          <w:lang w:val="en-US"/>
        </w:rPr>
        <w:t>JRC</w:t>
      </w:r>
      <w:r>
        <w:rPr>
          <w:szCs w:val="22"/>
          <w:lang w:val="en-US"/>
        </w:rPr>
        <w:t>) of the European Union d</w:t>
      </w:r>
      <w:r>
        <w:rPr>
          <w:szCs w:val="22"/>
          <w:lang w:val="en-US"/>
        </w:rPr>
        <w:t>evelop</w:t>
      </w:r>
      <w:r>
        <w:rPr>
          <w:szCs w:val="22"/>
          <w:lang w:val="en-US"/>
        </w:rPr>
        <w:t>ed an</w:t>
      </w:r>
      <w:r>
        <w:rPr>
          <w:szCs w:val="22"/>
          <w:lang w:val="en-US"/>
        </w:rPr>
        <w:t xml:space="preserve"> indicator </w:t>
      </w:r>
      <w:r>
        <w:rPr>
          <w:szCs w:val="22"/>
          <w:lang w:val="en-US"/>
        </w:rPr>
        <w:t xml:space="preserve">for areas that are served by UGS in European cities. 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In their analysis, the authors</w:t>
      </w:r>
      <w:r>
        <w:rPr>
          <w:szCs w:val="22"/>
          <w:lang w:val="en-US"/>
        </w:rPr>
        <w:t xml:space="preserve"> us</w:t>
      </w:r>
      <w:r>
        <w:rPr>
          <w:szCs w:val="22"/>
          <w:lang w:val="en-US"/>
        </w:rPr>
        <w:t>ed a</w:t>
      </w:r>
      <w:r>
        <w:rPr>
          <w:szCs w:val="22"/>
          <w:lang w:val="en-US"/>
        </w:rPr>
        <w:t xml:space="preserve"> 10 m² resolution land use data </w:t>
      </w:r>
      <w:r>
        <w:rPr>
          <w:szCs w:val="22"/>
          <w:lang w:val="en-US"/>
        </w:rPr>
        <w:t xml:space="preserve">grid </w:t>
      </w:r>
      <w:r>
        <w:rPr>
          <w:szCs w:val="22"/>
          <w:lang w:val="en-US"/>
        </w:rPr>
        <w:t>and a 100 m² population mosaic and a network based approach.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</w:t>
      </w:r>
      <w:r>
        <w:rPr>
          <w:szCs w:val="22"/>
          <w:lang w:val="en-US"/>
        </w:rPr>
        <w:t>n another analysis from 2018, the JRC used urban atlas data and a street network to assess the area that can be reached in a walking distance of 10 minutes (JRC, 2018).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Their analysis also results in an area per population measure on a city level.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In a 2021 paper,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>Wolff tried to c</w:t>
      </w:r>
      <w:r>
        <w:rPr>
          <w:szCs w:val="22"/>
          <w:lang w:val="en-US"/>
        </w:rPr>
        <w:t>oupl</w:t>
      </w:r>
      <w:r>
        <w:rPr>
          <w:szCs w:val="22"/>
          <w:lang w:val="en-US"/>
        </w:rPr>
        <w:t>e</w:t>
      </w:r>
      <w:r>
        <w:rPr>
          <w:szCs w:val="22"/>
          <w:lang w:val="en-US"/>
        </w:rPr>
        <w:t xml:space="preserve"> the </w:t>
      </w:r>
      <w:r>
        <w:rPr>
          <w:szCs w:val="22"/>
          <w:lang w:val="en-US"/>
        </w:rPr>
        <w:t xml:space="preserve">provision, pressure and proximity </w:t>
      </w:r>
      <w:r>
        <w:rPr>
          <w:szCs w:val="22"/>
          <w:lang w:val="en-US"/>
        </w:rPr>
        <w:t xml:space="preserve">perspectives </w:t>
      </w:r>
      <w:r>
        <w:rPr>
          <w:szCs w:val="22"/>
          <w:lang w:val="en-US"/>
        </w:rPr>
        <w:t>by applying n</w:t>
      </w:r>
      <w:r>
        <w:rPr>
          <w:szCs w:val="22"/>
          <w:lang w:val="en-US"/>
        </w:rPr>
        <w:t>etwork characteristics.</w:t>
      </w:r>
      <w:bookmarkStart w:id="1" w:name="_GoBack"/>
      <w:bookmarkEnd w:id="1"/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In his analysis, he</w:t>
      </w:r>
      <w:r>
        <w:rPr>
          <w:szCs w:val="22"/>
          <w:lang w:val="en-US"/>
        </w:rPr>
        <w:t xml:space="preserve"> found two promising indicators, </w:t>
      </w:r>
      <w:r>
        <w:rPr>
          <w:szCs w:val="22"/>
          <w:lang w:val="en-US"/>
        </w:rPr>
        <w:t xml:space="preserve">the </w:t>
      </w:r>
      <w:r>
        <w:rPr>
          <w:szCs w:val="22"/>
          <w:lang w:val="en-US"/>
        </w:rPr>
        <w:t xml:space="preserve">Detour Index (DI) and </w:t>
      </w:r>
      <w:r>
        <w:rPr>
          <w:szCs w:val="22"/>
          <w:lang w:val="en-US"/>
        </w:rPr>
        <w:t>the L</w:t>
      </w:r>
      <w:r>
        <w:rPr>
          <w:szCs w:val="22"/>
          <w:lang w:val="en-US"/>
        </w:rPr>
        <w:t>ocal Significance (LS).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The </w:t>
      </w:r>
      <w:r>
        <w:rPr>
          <w:szCs w:val="22"/>
          <w:lang w:val="en-US"/>
        </w:rPr>
        <w:t xml:space="preserve">DI </w:t>
      </w:r>
      <w:r>
        <w:rPr>
          <w:szCs w:val="22"/>
          <w:lang w:val="en-US"/>
        </w:rPr>
        <w:t>is a</w:t>
      </w:r>
      <w:r>
        <w:rPr>
          <w:szCs w:val="22"/>
          <w:lang w:val="en-US"/>
        </w:rPr>
        <w:t xml:space="preserve"> measure of the efficiency of the paths people take to their next UGS.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This way </w:t>
      </w:r>
      <w:r>
        <w:rPr>
          <w:szCs w:val="22"/>
          <w:lang w:val="en-US"/>
        </w:rPr>
        <w:t xml:space="preserve">barriers </w:t>
      </w:r>
      <w:r>
        <w:rPr>
          <w:szCs w:val="22"/>
          <w:lang w:val="en-US"/>
        </w:rPr>
        <w:t>that people have to overcome on their way can be modeled.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The </w:t>
      </w:r>
      <w:r>
        <w:rPr>
          <w:szCs w:val="22"/>
          <w:lang w:val="en-US"/>
        </w:rPr>
        <w:t xml:space="preserve">LS </w:t>
      </w:r>
      <w:r>
        <w:rPr>
          <w:szCs w:val="22"/>
          <w:lang w:val="en-US"/>
        </w:rPr>
        <w:t>is a</w:t>
      </w:r>
      <w:r>
        <w:rPr>
          <w:szCs w:val="22"/>
          <w:lang w:val="en-US"/>
        </w:rPr>
        <w:t xml:space="preserve"> simple measure to describe the relevance of different edges (Esch 2014).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Wolff used </w:t>
      </w:r>
      <w:r>
        <w:rPr>
          <w:szCs w:val="22"/>
          <w:lang w:val="en-US"/>
        </w:rPr>
        <w:t>the</w:t>
      </w:r>
      <w:r>
        <w:rPr>
          <w:szCs w:val="22"/>
          <w:lang w:val="en-US"/>
        </w:rPr>
        <w:t xml:space="preserve"> LS </w:t>
      </w:r>
      <w:r>
        <w:rPr>
          <w:szCs w:val="22"/>
          <w:lang w:val="en-US"/>
        </w:rPr>
        <w:t>to model</w:t>
      </w:r>
      <w:r>
        <w:rPr>
          <w:szCs w:val="22"/>
          <w:lang w:val="en-US"/>
        </w:rPr>
        <w:t xml:space="preserve"> use-intensity of UGS.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As a consequence LS </w:t>
      </w:r>
      <w:r>
        <w:rPr>
          <w:szCs w:val="22"/>
          <w:lang w:val="en-US"/>
        </w:rPr>
        <w:t xml:space="preserve">might serve as a spatial indicator for overuse of UGS. </w:t>
      </w:r>
    </w:p>
    <w:p>
      <w:pPr>
        <w:pStyle w:val="Normal"/>
        <w:widowControl/>
        <w:numPr>
          <w:ilvl w:val="0"/>
          <w:numId w:val="0"/>
        </w:numPr>
        <w:suppressAutoHyphens w:val="false"/>
        <w:ind w:left="1080"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What do we not know about the problem?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Research gaps (of previously mentioned studies):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The previously mentioned studies have m</w:t>
      </w:r>
      <w:r>
        <w:rPr>
          <w:szCs w:val="22"/>
          <w:lang w:val="en-US"/>
        </w:rPr>
        <w:t>ostly us</w:t>
      </w:r>
      <w:r>
        <w:rPr>
          <w:szCs w:val="22"/>
          <w:lang w:val="en-US"/>
        </w:rPr>
        <w:t>ed</w:t>
      </w:r>
      <w:r>
        <w:rPr>
          <w:szCs w:val="22"/>
          <w:lang w:val="en-US"/>
        </w:rPr>
        <w:t xml:space="preserve"> fixed distances </w:t>
      </w:r>
      <w:r>
        <w:rPr>
          <w:szCs w:val="22"/>
          <w:lang w:val="en-US"/>
        </w:rPr>
        <w:t>for their analysis, leading to binary results of ‘having or not having access to UGS’.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</w:rPr>
      </w:pPr>
      <w:r>
        <w:rPr>
          <w:szCs w:val="22"/>
          <w:lang w:val="en-US"/>
        </w:rPr>
        <w:t>We also saw mostly one perspective being used to assess green space accessibility (provision, pressure or proximity).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</w:rPr>
      </w:pPr>
      <w:r>
        <w:rPr>
          <w:szCs w:val="22"/>
          <w:lang w:val="en-US"/>
        </w:rPr>
        <w:t>Accordingly, previous research did neither</w:t>
      </w:r>
      <w:r>
        <w:rPr>
          <w:szCs w:val="22"/>
          <w:lang w:val="en-US"/>
        </w:rPr>
        <w:t xml:space="preserve"> account for </w:t>
      </w:r>
      <w:r>
        <w:rPr>
          <w:szCs w:val="22"/>
          <w:lang w:val="en-US"/>
        </w:rPr>
        <w:t xml:space="preserve">the </w:t>
      </w:r>
      <w:r>
        <w:rPr>
          <w:szCs w:val="22"/>
          <w:lang w:val="en-US"/>
        </w:rPr>
        <w:t xml:space="preserve">mutual dependencies of supply and demand, </w:t>
      </w:r>
      <w:r>
        <w:rPr>
          <w:szCs w:val="22"/>
          <w:lang w:val="en-US"/>
        </w:rPr>
        <w:t xml:space="preserve">nor did it put the </w:t>
      </w:r>
      <w:r>
        <w:rPr>
          <w:szCs w:val="22"/>
          <w:lang w:val="en-US"/>
        </w:rPr>
        <w:t xml:space="preserve">focus on </w:t>
      </w:r>
      <w:r>
        <w:rPr>
          <w:szCs w:val="22"/>
          <w:lang w:val="en-US"/>
        </w:rPr>
        <w:t>SCA – the</w:t>
      </w:r>
      <w:r>
        <w:rPr>
          <w:szCs w:val="22"/>
          <w:lang w:val="en-US"/>
        </w:rPr>
        <w:t xml:space="preserve"> walkable environment.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In addition to the precious points, the mentioned studies, if on a larger scale, were carried out on a </w:t>
      </w:r>
      <w:r>
        <w:rPr>
          <w:szCs w:val="22"/>
          <w:lang w:val="en-US"/>
        </w:rPr>
        <w:t>coarse resolution.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 f</w:t>
      </w:r>
      <w:r>
        <w:rPr>
          <w:szCs w:val="22"/>
          <w:lang w:val="en-US"/>
        </w:rPr>
        <w:t>ine resolution can reveal spatial patterns at a finer scale enabling targeted intervention.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A finer resolution will also reduce the uncertainty that is introduced if e.g. a grid or a </w:t>
      </w:r>
      <w:r>
        <w:rPr>
          <w:szCs w:val="22"/>
          <w:lang w:val="en-US"/>
        </w:rPr>
        <w:t>city block aggregation</w:t>
      </w:r>
      <w:r>
        <w:rPr>
          <w:szCs w:val="22"/>
          <w:lang w:val="en-US"/>
        </w:rPr>
        <w:t xml:space="preserve"> is used </w:t>
      </w:r>
      <w:r>
        <w:rPr>
          <w:szCs w:val="22"/>
          <w:lang w:val="en-US"/>
        </w:rPr>
        <w:t>as in urban atlas data</w:t>
      </w:r>
      <w:r>
        <w:rPr>
          <w:szCs w:val="22"/>
          <w:lang w:val="en-US"/>
        </w:rPr>
        <w:t>.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widowControl/>
        <w:suppressAutoHyphens w:val="false"/>
        <w:rPr>
          <w:szCs w:val="22"/>
        </w:rPr>
      </w:pPr>
      <w:r>
        <w:rPr>
          <w:szCs w:val="22"/>
          <w:lang w:val="en-US"/>
        </w:rPr>
        <w:t>Conclusion: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All things considered, k</w:t>
      </w:r>
      <w:r>
        <w:rPr>
          <w:szCs w:val="22"/>
          <w:lang w:val="en-US"/>
        </w:rPr>
        <w:t xml:space="preserve">nowledge about </w:t>
      </w:r>
      <w:r>
        <w:rPr>
          <w:szCs w:val="22"/>
          <w:lang w:val="en-US"/>
        </w:rPr>
        <w:t>green space accessibility</w:t>
      </w:r>
      <w:r>
        <w:rPr>
          <w:szCs w:val="22"/>
          <w:lang w:val="en-US"/>
        </w:rPr>
        <w:t xml:space="preserve"> is important for planning and decision making.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A c</w:t>
      </w:r>
      <w:r>
        <w:rPr>
          <w:szCs w:val="22"/>
          <w:lang w:val="en-US"/>
        </w:rPr>
        <w:t>ombin</w:t>
      </w:r>
      <w:r>
        <w:rPr>
          <w:szCs w:val="22"/>
          <w:lang w:val="en-US"/>
        </w:rPr>
        <w:t>ation of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>provision, pressure and proximity</w:t>
      </w:r>
      <w:r>
        <w:rPr>
          <w:szCs w:val="22"/>
          <w:lang w:val="en-US"/>
        </w:rPr>
        <w:t xml:space="preserve"> aspects of green space accessibility </w:t>
      </w:r>
      <w:r>
        <w:rPr>
          <w:szCs w:val="22"/>
          <w:lang w:val="en-US"/>
        </w:rPr>
        <w:t>might prove promising to</w:t>
      </w:r>
      <w:r>
        <w:rPr>
          <w:szCs w:val="22"/>
          <w:lang w:val="en-US"/>
        </w:rPr>
        <w:t xml:space="preserve"> </w:t>
      </w:r>
      <w:r>
        <w:rPr>
          <w:szCs w:val="22"/>
          <w:lang w:val="en-US"/>
        </w:rPr>
        <w:t>d</w:t>
      </w:r>
      <w:r>
        <w:rPr>
          <w:szCs w:val="22"/>
          <w:lang w:val="en-US"/>
        </w:rPr>
        <w:t xml:space="preserve">etect </w:t>
      </w:r>
      <w:r>
        <w:rPr>
          <w:szCs w:val="22"/>
          <w:lang w:val="en-US"/>
        </w:rPr>
        <w:t xml:space="preserve">a </w:t>
      </w:r>
      <w:r>
        <w:rPr>
          <w:szCs w:val="22"/>
          <w:lang w:val="en-US"/>
        </w:rPr>
        <w:t xml:space="preserve">mismatch between </w:t>
      </w:r>
      <w:r>
        <w:rPr>
          <w:szCs w:val="22"/>
          <w:lang w:val="en-US"/>
        </w:rPr>
        <w:t>supply</w:t>
      </w:r>
      <w:r>
        <w:rPr>
          <w:szCs w:val="22"/>
          <w:lang w:val="en-US"/>
        </w:rPr>
        <w:t xml:space="preserve"> and demand.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No comparable studies using e.g. a building-based approach on a European scale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What is the purpose of this paper?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 xml:space="preserve">Modeling the </w:t>
      </w:r>
      <w:r>
        <w:rPr>
          <w:i/>
          <w:szCs w:val="22"/>
          <w:lang w:val="en-US"/>
        </w:rPr>
        <w:t>walkable environment</w:t>
      </w:r>
      <w:r>
        <w:rPr>
          <w:szCs w:val="22"/>
          <w:lang w:val="en-US"/>
        </w:rPr>
        <w:t xml:space="preserve"> of </w:t>
      </w:r>
      <w:r>
        <w:rPr>
          <w:szCs w:val="22"/>
          <w:lang w:val="en-US"/>
        </w:rPr>
        <w:t>European</w:t>
      </w:r>
      <w:r>
        <w:rPr>
          <w:szCs w:val="22"/>
          <w:lang w:val="en-US"/>
        </w:rPr>
        <w:t xml:space="preserve"> cit</w:t>
      </w:r>
      <w:r>
        <w:rPr>
          <w:szCs w:val="22"/>
          <w:lang w:val="en-US"/>
        </w:rPr>
        <w:t>ies</w:t>
      </w:r>
      <w:r>
        <w:rPr>
          <w:szCs w:val="22"/>
          <w:lang w:val="en-US"/>
        </w:rPr>
        <w:t xml:space="preserve"> by including the three perspectives mentioned above </w:t>
      </w:r>
      <w:r>
        <w:rPr>
          <w:szCs w:val="22"/>
          <w:lang w:val="en-US"/>
        </w:rPr>
        <w:t>and using a</w:t>
      </w:r>
      <w:r>
        <w:rPr>
          <w:szCs w:val="22"/>
          <w:lang w:val="en-US"/>
        </w:rPr>
        <w:t xml:space="preserve"> network characteristics approach.</w:t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We want to answer the questions:</w:t>
      </w:r>
    </w:p>
    <w:p>
      <w:pPr>
        <w:pStyle w:val="Annotationtext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>
      <w:pPr>
        <w:pStyle w:val="Annotationtext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>How to incorporate publicly accessible data and open source software in order to allow i.) a reproduction over time (e.g. with more recent data), ii.) assessments in data-scare regions, and iii.) comparative approaches covering a larger sample of cities</w:t>
      </w:r>
      <w:r>
        <w:rPr>
          <w:sz w:val="22"/>
          <w:szCs w:val="22"/>
          <w:lang w:val="en-US"/>
        </w:rPr>
        <w:t>)</w:t>
      </w:r>
    </w:p>
    <w:p>
      <w:pPr>
        <w:pStyle w:val="Normal"/>
        <w:widowControl/>
        <w:numPr>
          <w:ilvl w:val="2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How can eas</w:t>
      </w:r>
      <w:r>
        <w:rPr>
          <w:szCs w:val="22"/>
          <w:lang w:val="en-US"/>
        </w:rPr>
        <w:t>il</w:t>
      </w:r>
      <w:r>
        <w:rPr>
          <w:szCs w:val="22"/>
          <w:lang w:val="en-US"/>
        </w:rPr>
        <w:t>y understandable and applicable indicators be used in order to support urban planning in detecting mismatches between demand and supply?</w:t>
      </w:r>
      <w:bookmarkStart w:id="2" w:name="page8R_mcid5"/>
      <w:bookmarkEnd w:id="2"/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Our objectives are to to develop modeling approach that applies walkability indices, to c</w:t>
      </w:r>
      <w:r>
        <w:rPr>
          <w:szCs w:val="22"/>
          <w:lang w:val="en-US"/>
        </w:rPr>
        <w:t xml:space="preserve">omparing </w:t>
      </w:r>
      <w:r>
        <w:rPr>
          <w:szCs w:val="22"/>
          <w:lang w:val="en-US"/>
        </w:rPr>
        <w:t>the results on a European scale and to implement the indices by showing possible use cases for city planners.</w:t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suppressAutoHyphens w:val="false"/>
        <w:rPr>
          <w:szCs w:val="22"/>
          <w:lang w:val="en-US"/>
        </w:rPr>
      </w:pPr>
      <w:r>
        <w:rPr/>
      </w:r>
    </w:p>
    <w:p>
      <w:pPr>
        <w:pStyle w:val="Normal"/>
        <w:widowControl/>
        <w:numPr>
          <w:ilvl w:val="1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Objective 1:  From concept to workflow (based on service-connecting area/proximity approach)</w:t>
      </w:r>
    </w:p>
    <w:p>
      <w:pPr>
        <w:pStyle w:val="Annotationtext"/>
        <w:numPr>
          <w:ilvl w:val="2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>
      <w:pPr>
        <w:pStyle w:val="Annotationtext"/>
        <w:numPr>
          <w:ilvl w:val="3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Modeling service connecting areas: </w:t>
      </w:r>
    </w:p>
    <w:p>
      <w:pPr>
        <w:pStyle w:val="Annotationtext"/>
        <w:numPr>
          <w:ilvl w:val="3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Description of indices</w:t>
      </w:r>
    </w:p>
    <w:p>
      <w:pPr>
        <w:pStyle w:val="Normal"/>
        <w:widowControl/>
        <w:numPr>
          <w:ilvl w:val="4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Combine buffer distance and network distance (Detour index)</w:t>
      </w:r>
    </w:p>
    <w:p>
      <w:pPr>
        <w:pStyle w:val="Normal"/>
        <w:widowControl/>
        <w:numPr>
          <w:ilvl w:val="4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Combine population, GBS size network distance (Local significance)</w:t>
      </w:r>
    </w:p>
    <w:p>
      <w:pPr>
        <w:pStyle w:val="Annotationtext"/>
        <w:numPr>
          <w:ilvl w:val="3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local significance for streets / detour index for buildings</w:t>
      </w:r>
    </w:p>
    <w:p>
      <w:pPr>
        <w:pStyle w:val="Annotation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Annotationtext"/>
        <w:numPr>
          <w:ilvl w:val="1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Objective 2: Develop and apply indicators, display/interpret/compare them </w:t>
      </w:r>
    </w:p>
    <w:p>
      <w:pPr>
        <w:pStyle w:val="Normal"/>
        <w:widowControl/>
        <w:numPr>
          <w:ilvl w:val="2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How can easily understandable and applicable indicators be used in order to support urban planning in detecting mismatches between demand and supply</w:t>
      </w:r>
    </w:p>
    <w:p>
      <w:pPr>
        <w:pStyle w:val="Normal"/>
        <w:widowControl/>
        <w:numPr>
          <w:ilvl w:val="3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Create Network characteristics for European cities</w:t>
      </w:r>
    </w:p>
    <w:p>
      <w:pPr>
        <w:pStyle w:val="Normal"/>
        <w:widowControl/>
        <w:numPr>
          <w:ilvl w:val="3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Comparison across Europe</w:t>
      </w:r>
    </w:p>
    <w:p>
      <w:pPr>
        <w:pStyle w:val="Normal"/>
        <w:widowControl/>
        <w:numPr>
          <w:ilvl w:val="4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Clustering / aggregation</w:t>
      </w:r>
    </w:p>
    <w:p>
      <w:pPr>
        <w:pStyle w:val="Normal"/>
        <w:widowControl/>
        <w:numPr>
          <w:ilvl w:val="3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City scenarios</w:t>
      </w:r>
    </w:p>
    <w:p>
      <w:pPr>
        <w:pStyle w:val="Normal"/>
        <w:widowControl/>
        <w:numPr>
          <w:ilvl w:val="4"/>
          <w:numId w:val="2"/>
        </w:numPr>
        <w:suppressAutoHyphens w:val="false"/>
        <w:rPr>
          <w:szCs w:val="22"/>
          <w:lang w:val="en-US"/>
        </w:rPr>
      </w:pPr>
      <w:r>
        <w:rPr>
          <w:szCs w:val="22"/>
          <w:lang w:val="en-US"/>
        </w:rPr>
        <w:t>Three scenarios</w:t>
      </w:r>
    </w:p>
    <w:p>
      <w:pPr>
        <w:pStyle w:val="Normal"/>
        <w:widowControl/>
        <w:suppressAutoHyphens w:val="false"/>
        <w:ind w:left="1800" w:hanging="0"/>
        <w:rPr>
          <w:szCs w:val="22"/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25a1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NSimSun" w:cs="Arial" w:asciiTheme="minorHAnsi" w:cstheme="minorBidi" w:hAnsiTheme="minorHAnsi"/>
      <w:color w:val="auto"/>
      <w:kern w:val="2"/>
      <w:sz w:val="22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25a1d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325a1d"/>
    <w:rPr>
      <w:rFonts w:ascii="Calibri" w:hAnsi="Calibri" w:eastAsia="NSimSun" w:cs="Mangal"/>
      <w:kern w:val="2"/>
      <w:sz w:val="20"/>
      <w:szCs w:val="18"/>
      <w:lang w:val="de-DE" w:eastAsia="zh-CN" w:bidi="hi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25a1d"/>
    <w:rPr>
      <w:rFonts w:ascii="Segoe UI" w:hAnsi="Segoe UI" w:eastAsia="NSimSun" w:cs="Mangal"/>
      <w:kern w:val="2"/>
      <w:sz w:val="18"/>
      <w:szCs w:val="16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325a1d"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25a1d"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37370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4324/978020336237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LibreOffice/7.2.6.2$Windows_X86_64 LibreOffice_project/b0ec3a565991f7569a5a7f5d24fed7f52653d754</Application>
  <AppVersion>15.0000</AppVersion>
  <Pages>4</Pages>
  <Words>1468</Words>
  <Characters>7399</Characters>
  <CharactersWithSpaces>8711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2022-05-10T14:38:00Z</dcterms:created>
  <dc:creator>Labohm, Benjamin</dc:creator>
  <dc:description/>
  <dc:language>de-DE</dc:language>
  <cp:lastModifiedBy/>
  <dcterms:modified xsi:type="dcterms:W3CDTF">2022-06-16T19:34:27Z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