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comment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Discussion</w:t>
      </w:r>
    </w:p>
    <w:p>
      <w:pPr>
        <w:pStyle w:val="Normal"/>
        <w:rPr>
          <w:lang w:val="en-US"/>
        </w:rPr>
      </w:pPr>
      <w:r>
        <w:rPr>
          <w:lang w:val="en-US"/>
        </w:rPr>
      </w:r>
    </w:p>
    <w:p>
      <w:pPr>
        <w:pStyle w:val="Normal"/>
        <w:rPr>
          <w:lang w:val="en-US"/>
        </w:rPr>
      </w:pPr>
      <w:r>
        <w:rPr>
          <w:lang w:val="en-US"/>
        </w:rPr>
        <w:t>Summary of the BIG THREE findings (1, 2, 3), i.e. the higher-level idea</w:t>
      </w:r>
    </w:p>
    <w:p>
      <w:pPr>
        <w:pStyle w:val="Normal"/>
        <w:rPr>
          <w:lang w:val="en-US"/>
        </w:rPr>
      </w:pPr>
      <w:r>
        <w:rPr>
          <w:lang w:val="en-US"/>
        </w:rPr>
      </w:r>
    </w:p>
    <w:p>
      <w:pPr>
        <w:pStyle w:val="Normal"/>
        <w:rPr>
          <w:lang w:val="en-US"/>
        </w:rPr>
      </w:pPr>
      <w:r>
        <w:rPr>
          <w:lang w:val="en-US"/>
        </w:rPr>
        <w:t>We managed to create a workflow for modeling the walkable environment using the Detour Index (DI) and the Local Significance Index (LS).</w:t>
      </w:r>
    </w:p>
    <w:p>
      <w:pPr>
        <w:pStyle w:val="Normal"/>
        <w:rPr>
          <w:lang w:val="en-US"/>
        </w:rPr>
      </w:pPr>
      <w:r>
        <w:rPr>
          <w:lang w:val="en-US"/>
        </w:rPr>
        <w:t>Furthermore, we found a way for an intuitive visualization of the two indices that might help future city planners and decision makers.</w:t>
      </w:r>
    </w:p>
    <w:p>
      <w:pPr>
        <w:pStyle w:val="Normal"/>
        <w:rPr>
          <w:lang w:val="en-US"/>
        </w:rPr>
      </w:pPr>
      <w:r>
        <w:rPr>
          <w:lang w:val="en-US"/>
        </w:rPr>
        <w:t>The workflow is applicable, and – with limitations – comparable on a European scale.</w:t>
      </w:r>
    </w:p>
    <w:p>
      <w:pPr>
        <w:pStyle w:val="Normal"/>
        <w:rPr>
          <w:lang w:val="en-US"/>
        </w:rPr>
      </w:pPr>
      <w:r>
        <w:rPr>
          <w:lang w:val="en-US"/>
        </w:rPr>
        <w:t xml:space="preserve">We could show the effect of changing parameters in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Local index maps:</w:t>
      </w:r>
    </w:p>
    <w:p>
      <w:pPr>
        <w:pStyle w:val="Normal"/>
        <w:rPr>
          <w:lang w:val="en-US"/>
        </w:rPr>
      </w:pPr>
      <w:r>
        <w:rPr>
          <w:lang w:val="en-US"/>
        </w:rPr>
      </w:r>
    </w:p>
    <w:p>
      <w:pPr>
        <w:pStyle w:val="Normal"/>
        <w:rPr>
          <w:lang w:val="en-US"/>
        </w:rPr>
      </w:pPr>
      <w:r>
        <w:rPr>
          <w:lang w:val="en-US"/>
        </w:rPr>
        <w:t xml:space="preserve">Local Significance (LS) maps are intuitive </w:t>
      </w:r>
    </w:p>
    <w:p>
      <w:pPr>
        <w:pStyle w:val="Normal"/>
        <w:rPr>
          <w:lang w:val="en-US"/>
        </w:rPr>
      </w:pPr>
      <w:r>
        <w:rPr>
          <w:lang w:val="en-US"/>
        </w:rPr>
        <w:t>Detour Index (DI) are harder to interpret but can also yield inference</w:t>
      </w:r>
    </w:p>
    <w:p>
      <w:pPr>
        <w:pStyle w:val="ListParagraph"/>
        <w:numPr>
          <w:ilvl w:val="0"/>
          <w:numId w:val="3"/>
        </w:numPr>
        <w:rPr>
          <w:lang w:val="en-US"/>
        </w:rPr>
      </w:pPr>
      <w:r>
        <w:rPr>
          <w:lang w:val="en-US"/>
        </w:rPr>
        <w:t>Both indices work (with limitations) also in areas with sub-optimal OSM data coverage</w:t>
      </w:r>
    </w:p>
    <w:p>
      <w:pPr>
        <w:pStyle w:val="ListParagraph"/>
        <w:numPr>
          <w:ilvl w:val="0"/>
          <w:numId w:val="4"/>
        </w:numPr>
        <w:rPr>
          <w:lang w:val="en-US"/>
        </w:rPr>
      </w:pPr>
      <w:r>
        <w:rPr>
          <w:lang w:val="en-US"/>
        </w:rPr>
        <w:t>LS: values might be lower than “in reality” due to incomplete residential building coverage</w:t>
      </w:r>
    </w:p>
    <w:p>
      <w:pPr>
        <w:pStyle w:val="ListParagraph"/>
        <w:numPr>
          <w:ilvl w:val="1"/>
          <w:numId w:val="4"/>
        </w:numPr>
        <w:rPr>
          <w:lang w:val="en-US"/>
        </w:rPr>
      </w:pPr>
      <w:r>
        <w:rPr>
          <w:lang w:val="en-US"/>
        </w:rPr>
      </w:r>
    </w:p>
    <w:p>
      <w:pPr>
        <w:pStyle w:val="ListParagraph"/>
        <w:numPr>
          <w:ilvl w:val="0"/>
          <w:numId w:val="4"/>
        </w:numPr>
        <w:rPr>
          <w:lang w:val="en-US"/>
        </w:rPr>
      </w:pPr>
      <w:r>
        <w:rPr>
          <w:lang w:val="en-US"/>
        </w:rPr>
        <w:t>DI: should be accurate for all buildings that are digitalized in OSM</w:t>
      </w:r>
    </w:p>
    <w:p>
      <w:pPr>
        <w:pStyle w:val="ListParagraph"/>
        <w:numPr>
          <w:ilvl w:val="1"/>
          <w:numId w:val="4"/>
        </w:numPr>
        <w:rPr>
          <w:lang w:val="en-US"/>
        </w:rPr>
      </w:pPr>
      <w:r>
        <w:rPr>
          <w:lang w:val="en-US"/>
        </w:rPr>
        <w:t>One of the largest limitations of the DI is that the DI values do not account for further obstacles people have to overcome on their ways to the nearest UGS.</w:t>
      </w:r>
    </w:p>
    <w:p>
      <w:pPr>
        <w:pStyle w:val="ListParagraph"/>
        <w:numPr>
          <w:ilvl w:val="1"/>
          <w:numId w:val="4"/>
        </w:numPr>
        <w:rPr>
          <w:lang w:val="en-US"/>
        </w:rPr>
      </w:pPr>
      <w:r>
        <w:rPr>
          <w:lang w:val="en-US"/>
        </w:rPr>
        <w:t xml:space="preserve">For example, there can occur high DI values in close proximity to UGS, even though the residents have to cross larger streets or pass traffic lights on their trajectory to the UGS. </w:t>
      </w:r>
      <w:bookmarkStart w:id="0" w:name="_GoBack"/>
      <w:bookmarkEnd w:id="0"/>
    </w:p>
    <w:p>
      <w:pPr>
        <w:pStyle w:val="Normal"/>
        <w:numPr>
          <w:ilvl w:val="1"/>
          <w:numId w:val="4"/>
        </w:numPr>
        <w:rPr>
          <w:lang w:val="en-US"/>
        </w:rPr>
      </w:pPr>
      <w:r>
        <w:rPr>
          <w:shd w:fill="FFFF00" w:val="clear"/>
          <w:lang w:val="en-US"/>
        </w:rPr>
        <w:t xml:space="preserve">Low DI values also occur in close proximity to the LVP as an artifact of small network and Euclidean distances. </w:t>
      </w:r>
    </w:p>
    <w:p>
      <w:pPr>
        <w:pStyle w:val="Normal"/>
        <w:numPr>
          <w:ilvl w:val="1"/>
          <w:numId w:val="4"/>
        </w:numPr>
        <w:rPr>
          <w:lang w:val="en-US"/>
        </w:rPr>
      </w:pPr>
      <w:r>
        <w:rPr>
          <w:shd w:fill="FFFF00" w:val="clear"/>
          <w:lang w:val="en-US"/>
        </w:rPr>
        <w:t>In these cases, a minor difference can lead to a low DI value even though the overall traveling distance to the next green space entry in relatively small (DISCUSSION?).</w:t>
      </w:r>
    </w:p>
    <w:p>
      <w:pPr>
        <w:pStyle w:val="Normal"/>
        <w:ind w:left="1440" w:hanging="0"/>
        <w:rPr>
          <w:lang w:val="en-US"/>
        </w:rPr>
      </w:pPr>
      <w:r>
        <w:rPr>
          <w:lang w:val="en-US"/>
        </w:rPr>
      </w:r>
    </w:p>
    <w:p>
      <w:pPr>
        <w:pStyle w:val="Normal"/>
        <w:ind w:left="1440" w:hanging="0"/>
        <w:rPr>
          <w:lang w:val="en-US"/>
        </w:rPr>
      </w:pPr>
      <w:r>
        <w:rPr>
          <w:lang w:val="en-US"/>
        </w:rPr>
      </w:r>
    </w:p>
    <w:p>
      <w:pPr>
        <w:pStyle w:val="Normal"/>
        <w:numPr>
          <w:ilvl w:val="1"/>
          <w:numId w:val="4"/>
        </w:numPr>
        <w:rPr>
          <w:lang w:val="en-US"/>
        </w:rPr>
      </w:pPr>
      <w:r>
        <w:rPr>
          <w:lang w:val="en-US"/>
        </w:rPr>
        <w:t>Both indices only account for the fasted route from A to B given the underlying network.</w:t>
      </w:r>
    </w:p>
    <w:p>
      <w:pPr>
        <w:pStyle w:val="Normal"/>
        <w:numPr>
          <w:ilvl w:val="1"/>
          <w:numId w:val="4"/>
        </w:numPr>
        <w:rPr>
          <w:lang w:val="en-US"/>
        </w:rPr>
      </w:pPr>
      <w:r>
        <w:rPr>
          <w:lang w:val="en-US"/>
        </w:rPr>
        <w:t>People might choose their trajectories towards UGS based on different factors than pure distance, though.</w:t>
      </w:r>
    </w:p>
    <w:p>
      <w:pPr>
        <w:pStyle w:val="Normal"/>
        <w:rPr>
          <w:lang w:val="en-US"/>
        </w:rPr>
      </w:pPr>
      <w:r>
        <w:rPr>
          <w:lang w:val="en-US"/>
        </w:rPr>
      </w:r>
    </w:p>
    <w:p>
      <w:pPr>
        <w:pStyle w:val="Normal"/>
        <w:rPr>
          <w:lang w:val="en-US"/>
        </w:rPr>
      </w:pPr>
      <w:r>
        <w:rPr>
          <w:lang w:val="en-US"/>
        </w:rPr>
        <w:t>European comparison maps:</w:t>
      </w:r>
    </w:p>
    <w:p>
      <w:pPr>
        <w:pStyle w:val="Normal"/>
        <w:rPr>
          <w:lang w:val="en-US"/>
        </w:rPr>
      </w:pPr>
      <w:r>
        <w:rPr>
          <w:lang w:val="en-US"/>
        </w:rPr>
      </w:r>
    </w:p>
    <w:p>
      <w:pPr>
        <w:pStyle w:val="Normal"/>
        <w:rPr>
          <w:lang w:val="en-US"/>
        </w:rPr>
      </w:pPr>
      <w:r>
        <w:rPr>
          <w:lang w:val="en-US"/>
        </w:rPr>
        <w:t xml:space="preserve">OSM coverage: </w:t>
      </w:r>
    </w:p>
    <w:p>
      <w:pPr>
        <w:pStyle w:val="ListParagraph"/>
        <w:numPr>
          <w:ilvl w:val="0"/>
          <w:numId w:val="1"/>
        </w:numPr>
        <w:rPr>
          <w:lang w:val="en-US"/>
        </w:rPr>
      </w:pPr>
      <w:r>
        <w:rPr>
          <w:lang w:val="en-US"/>
        </w:rPr>
        <w:t>Mostly central European cities (Poland, Czech Republic, Austria, Northern Italy, Switzerland, France, Netherlands)</w:t>
      </w:r>
    </w:p>
    <w:p>
      <w:pPr>
        <w:pStyle w:val="ListParagraph"/>
        <w:numPr>
          <w:ilvl w:val="0"/>
          <w:numId w:val="2"/>
        </w:numPr>
        <w:rPr>
          <w:lang w:val="en-US"/>
        </w:rPr>
      </w:pPr>
      <w:r>
        <w:rPr>
          <w:lang w:val="en-US"/>
        </w:rPr>
        <w:t xml:space="preserve"> </w:t>
      </w:r>
      <w:r>
        <w:rPr>
          <w:lang w:val="en-US"/>
        </w:rPr>
        <w:t xml:space="preserve">Approach not really suited for a European comparison </w:t>
      </w:r>
    </w:p>
    <w:p>
      <w:pPr>
        <w:pStyle w:val="ListParagraph"/>
        <w:numPr>
          <w:ilvl w:val="0"/>
          <w:numId w:val="2"/>
        </w:numPr>
        <w:rPr>
          <w:lang w:val="en-US"/>
        </w:rPr>
      </w:pPr>
      <w:r>
        <w:rPr>
          <w:lang w:val="en-US"/>
        </w:rPr>
        <w:t xml:space="preserve"> </w:t>
      </w:r>
      <w:r>
        <w:rPr>
          <w:lang w:val="en-US"/>
        </w:rPr>
        <w:t>Due to incomplete digitalization of buildings in OSM</w:t>
      </w:r>
    </w:p>
    <w:p>
      <w:pPr>
        <w:pStyle w:val="ListParagraph"/>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For each of the findings:</w:t>
      </w:r>
    </w:p>
    <w:p>
      <w:pPr>
        <w:pStyle w:val="Normal"/>
        <w:rPr>
          <w:lang w:val="en-US"/>
        </w:rPr>
      </w:pPr>
      <w:r>
        <w:rPr>
          <w:lang w:val="en-US"/>
        </w:rPr>
      </w:r>
    </w:p>
    <w:p>
      <w:pPr>
        <w:pStyle w:val="Normal"/>
        <w:rPr>
          <w:lang w:val="en-US"/>
        </w:rPr>
      </w:pPr>
      <w:r>
        <w:rPr>
          <w:lang w:val="en-US"/>
        </w:rPr>
        <w:t>How does this map/relate to previous findings?</w:t>
      </w:r>
    </w:p>
    <w:p>
      <w:pPr>
        <w:pStyle w:val="Normal"/>
        <w:rPr>
          <w:lang w:val="en-US"/>
        </w:rPr>
      </w:pPr>
      <w:r>
        <w:rPr>
          <w:lang w:val="en-US"/>
        </w:rPr>
        <w:t>Compare to e.g.</w:t>
      </w:r>
    </w:p>
    <w:p>
      <w:pPr>
        <w:pStyle w:val="Normal"/>
        <w:rPr>
          <w:lang w:val="en-US"/>
        </w:rPr>
      </w:pPr>
      <w:r>
        <w:rPr>
          <w:lang w:val="en-US"/>
        </w:rPr>
      </w:r>
    </w:p>
    <w:p>
      <w:pPr>
        <w:pStyle w:val="Normal"/>
        <w:rPr>
          <w:lang w:val="en-US"/>
        </w:rPr>
      </w:pPr>
      <w:r>
        <w:rPr>
          <w:lang w:val="en-US"/>
        </w:rPr>
        <w:t>How does this add to previous findings?</w:t>
      </w:r>
    </w:p>
    <w:p>
      <w:pPr>
        <w:pStyle w:val="Normal"/>
        <w:rPr>
          <w:lang w:val="en-US"/>
        </w:rPr>
      </w:pPr>
      <w:r>
        <w:rPr>
          <w:lang w:val="en-US"/>
        </w:rPr>
      </w:r>
    </w:p>
    <w:p>
      <w:pPr>
        <w:pStyle w:val="Normal"/>
        <w:rPr>
          <w:lang w:val="en-US"/>
        </w:rPr>
      </w:pPr>
      <w:r>
        <w:rPr>
          <w:lang w:val="en-US"/>
        </w:rPr>
        <w:t>Comparability / applicability with public data</w:t>
      </w:r>
    </w:p>
    <w:p>
      <w:pPr>
        <w:pStyle w:val="Normal"/>
        <w:rPr>
          <w:lang w:val="en-US"/>
        </w:rPr>
      </w:pPr>
      <w:r>
        <w:rPr>
          <w:lang w:val="en-US"/>
        </w:rPr>
      </w:r>
    </w:p>
    <w:p>
      <w:pPr>
        <w:pStyle w:val="Normal"/>
        <w:rPr>
          <w:lang w:val="en-US"/>
        </w:rPr>
      </w:pPr>
      <w:r>
        <w:rPr>
          <w:lang w:val="en-US"/>
        </w:rPr>
        <w:t>Challenges</w:t>
      </w:r>
    </w:p>
    <w:p>
      <w:pPr>
        <w:pStyle w:val="Normal"/>
        <w:rPr>
          <w:lang w:val="en-US"/>
        </w:rPr>
      </w:pPr>
      <w:r>
        <w:rPr>
          <w:lang w:val="en-US"/>
        </w:rPr>
      </w:r>
    </w:p>
    <w:p>
      <w:pPr>
        <w:pStyle w:val="Normal"/>
        <w:rPr/>
      </w:pPr>
      <w:r>
        <w:rPr/>
        <w:t>Implications</w:t>
      </w:r>
    </w:p>
    <w:p>
      <w:pPr>
        <w:pStyle w:val="Normal"/>
        <w:rPr/>
      </w:pPr>
      <w:r>
        <w:rPr/>
      </w:r>
    </w:p>
    <w:p>
      <w:pPr>
        <w:pStyle w:val="Normal"/>
        <w:rPr>
          <w:lang w:val="en-US"/>
        </w:rPr>
      </w:pPr>
      <w:r>
        <w:rPr/>
      </w:r>
    </w:p>
    <w:p>
      <w:pPr>
        <w:pStyle w:val="Normal"/>
        <w:rPr>
          <w:lang w:val="en-US"/>
        </w:rPr>
      </w:pPr>
      <w:r>
        <w:rPr/>
      </w:r>
    </w:p>
    <w:p>
      <w:pPr>
        <w:pStyle w:val="Normal"/>
        <w:rPr>
          <w:lang w:val="en-US"/>
        </w:rPr>
      </w:pPr>
      <w:r>
        <w:rPr/>
        <w:t>notes:</w:t>
      </w:r>
    </w:p>
    <w:p>
      <w:pPr>
        <w:pStyle w:val="Normal"/>
        <w:rPr>
          <w:lang w:val="en-US"/>
        </w:rPr>
      </w:pPr>
      <w:r>
        <w:rPr/>
      </w:r>
    </w:p>
    <w:p>
      <w:pPr>
        <w:pStyle w:val="Normal"/>
        <w:rPr>
          <w:lang w:val="en-US"/>
        </w:rPr>
      </w:pPr>
      <w:r>
        <w:rPr/>
        <w:t>OSM coverage:</w:t>
      </w:r>
    </w:p>
    <w:p>
      <w:pPr>
        <w:pStyle w:val="Normal"/>
        <w:rPr>
          <w:lang w:val="en-US"/>
        </w:rPr>
      </w:pPr>
      <w:r>
        <w:rPr/>
        <w:t>UA polygons covered by at least one OSM polygon is only a proxy for the „real“ coverage. No real inference about the nature / quality of the OSM data.</w:t>
      </w:r>
    </w:p>
    <w:p>
      <w:pPr>
        <w:pStyle w:val="Normal"/>
        <w:rPr>
          <w:lang w:val="en-US"/>
        </w:rPr>
      </w:pPr>
      <w:r>
        <w:rPr/>
      </w:r>
    </w:p>
    <w:p>
      <w:pPr>
        <w:pStyle w:val="Normal"/>
        <w:rPr>
          <w:lang w:val="en-US"/>
        </w:rPr>
      </w:pPr>
      <w:r>
        <w:rPr>
          <w:b w:val="false"/>
          <w:i w:val="false"/>
          <w:color w:val="000000"/>
          <w:sz w:val="19"/>
        </w:rPr>
        <w:t xml:space="preserve">Cortinovis, C., Haase, D. </w:t>
      </w:r>
      <w:r>
        <w:rPr>
          <w:color w:val="000000"/>
        </w:rPr>
        <w:t>Geneletti, D. 2022. Higher immigration and lower land-take rates are driving a new densification wave in European cities. Nature Sustainability. In press.</w:t>
      </w:r>
    </w:p>
    <w:p>
      <w:pPr>
        <w:pStyle w:val="Normal"/>
        <w:rPr>
          <w:lang w:val="en-US"/>
        </w:rPr>
      </w:pPr>
      <w:r>
        <w:rPr/>
      </w:r>
    </w:p>
    <w:p>
      <w:pPr>
        <w:pStyle w:val="Normal"/>
        <w:rPr>
          <w:lang w:val="en-US"/>
        </w:rPr>
      </w:pPr>
      <w:r>
        <w:rPr/>
      </w:r>
    </w:p>
    <w:p>
      <w:pPr>
        <w:pStyle w:val="Normal"/>
        <w:rPr>
          <w:lang w:val="en-US"/>
        </w:rPr>
      </w:pPr>
      <w:r>
        <w:rPr/>
        <w:t>Yet, there are countries with large city samples and a high percentage of population reaching green spaces in 500 meters network distance, like Germany (126 cities, 73%) or Poland (68 cities, 69%)</w:t>
      </w:r>
    </w:p>
    <w:p>
      <w:pPr>
        <w:pStyle w:val="Normal"/>
        <w:rPr>
          <w:lang w:val="en-US"/>
        </w:rPr>
      </w:pPr>
      <w:r>
        <w:rPr/>
        <w:t xml:space="preserve">→ </w:t>
      </w:r>
      <w:r>
        <w:rPr/>
        <w:t xml:space="preserve"> </w:t>
      </w:r>
      <w:r>
        <w:rPr>
          <w:b w:val="false"/>
          <w:i w:val="false"/>
          <w:sz w:val="19"/>
        </w:rPr>
        <w:t xml:space="preserve">Das bestätigt bisherige </w:t>
      </w:r>
      <w:r>
        <w:rPr/>
        <w:t xml:space="preserve"> studien (kannste in den disc  auch nochmal erwähnen).</w:t>
      </w:r>
    </w:p>
    <w:p>
      <w:pPr>
        <w:pStyle w:val="Normal"/>
        <w:rPr>
          <w:lang w:val="en-US"/>
        </w:rPr>
      </w:pPr>
      <w:r>
        <w:rPr/>
      </w:r>
    </w:p>
    <w:p>
      <w:pPr>
        <w:pStyle w:val="Normal"/>
        <w:rPr>
          <w:lang w:val="en-US"/>
        </w:rPr>
      </w:pPr>
      <w:commentRangeStart w:id="0"/>
      <w:commentRangeStart w:id="1"/>
      <w:r>
        <w:rPr/>
        <w:t>we can for example observe relatively high average LS values at the green space entries in mid- to southwestern Germany</w:t>
      </w:r>
      <w:r>
        <w:rPr/>
      </w:r>
      <w:commentRangeEnd w:id="1"/>
      <w:r>
        <w:commentReference w:id="1"/>
      </w:r>
      <w:r>
        <w:rPr/>
      </w:r>
      <w:commentRangeEnd w:id="0"/>
      <w:r>
        <w:commentReference w:id="0"/>
      </w:r>
      <w:r>
        <w:rPr/>
        <w:t>.</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26:00Z" w:initials="WM">
    <w:p>
      <w:r>
        <w:rPr>
          <w:rFonts w:ascii="Liberation Serif" w:hAnsi="Liberation Serif" w:eastAsia="Segoe UI" w:cs="Tahoma"/>
          <w:kern w:val="0"/>
          <w:sz w:val="24"/>
          <w:lang w:eastAsia="en-US" w:bidi="en-US" w:val="de-DE"/>
        </w:rPr>
        <w:t xml:space="preserve">Jetz muss ich kurz überlegen: das heißt dass es da zu relative großen staueffekten vor den UGS kommt (und die UGS selbst vielleicht sehr stark genutzt/übernutzt werden). Und das wiederum ergibt sich aus einer ungleichen verteilung von UGS und deren Eingängen, einem hohen Bevölkerungsdruck, und ggfs. Kurzen Distanzen. Kannst du dir das nochmal anschauen und das verifizieren </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eastAsia="en-US" w:bidi="en-US" w:val="de-DE"/>
        </w:rPr>
        <w:t>Der zwite indicator in der karte klingt interessant –über den haben wir noch gar nich gesprochen</w:t>
      </w:r>
    </w:p>
  </w:comment>
  <w:comment w:id="0" w:author="Dagmar Haase" w:date="2022-06-15T12:55:00Z" w:initials="DH">
    <w:p>
      <w:r>
        <w:rPr>
          <w:rFonts w:ascii="Liberation Serif" w:hAnsi="Liberation Serif" w:eastAsia="Segoe UI" w:cs="Tahoma"/>
          <w:kern w:val="0"/>
          <w:sz w:val="24"/>
          <w:lang w:eastAsia="en-US" w:bidi="en-US" w:val="de-DE"/>
        </w:rPr>
        <w:t>Ja, so würde ich das auch interpretieren und das sagen auch unsere regionalen Studien zum Raum München:</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eastAsia="en-US" w:bidi="en-US" w:val="en-GB"/>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r>
          <w:rPr>
            <w:rFonts w:ascii="Liberation Serif" w:hAnsi="Liberation Serif" w:eastAsia="Segoe UI" w:cs="Tahoma"/>
            <w:color w:val="000000"/>
            <w:kern w:val="0"/>
            <w:sz w:val="24"/>
            <w:lang w:eastAsia="en-US" w:bidi="en-US" w:val="en-GB"/>
          </w:rPr>
          <w:t>https://doi.org/10.1177/2399808320910161</w:t>
        </w:r>
      </w:hyperlink>
      <w:r>
        <w:rPr>
          <w:rFonts w:ascii="Liberation Serif" w:hAnsi="Liberation Serif" w:eastAsia="Segoe UI" w:cs="Tahoma"/>
          <w:color w:val="000000"/>
          <w:kern w:val="0"/>
          <w:sz w:val="24"/>
          <w:lang w:eastAsia="en-US" w:bidi="en-US" w:val="en-GB"/>
        </w:rPr>
        <w:t>.</w:t>
      </w:r>
    </w:p>
    <w:p>
      <w:r>
        <w:rPr>
          <w:rFonts w:ascii="Liberation Serif" w:hAnsi="Liberation Serif" w:eastAsia="Segoe UI" w:cs="Tahoma"/>
          <w:color w:val="000000"/>
          <w:kern w:val="0"/>
          <w:sz w:val="24"/>
          <w:lang w:eastAsia="en-US" w:bidi="en-US" w:val="en-GB"/>
        </w:rPr>
        <w:t xml:space="preserve">Xu Chao, Dagmar Haase, Didit Pribadi, Stephan Pauleit 2018. Spatial variation of green space equity and its relation with urban dynamics: A case study in the region of Munich. </w:t>
      </w:r>
      <w:r>
        <w:rPr>
          <w:rFonts w:ascii="Liberation Serif" w:hAnsi="Liberation Serif" w:eastAsia="Segoe UI" w:cs="Tahoma"/>
          <w:color w:val="000000"/>
          <w:kern w:val="0"/>
          <w:sz w:val="24"/>
          <w:lang w:eastAsia="en-US" w:bidi="en-US" w:val="de-DE"/>
        </w:rPr>
        <w:t xml:space="preserve">Ecological Indicators 93, 1-12. </w:t>
      </w:r>
      <w:hyperlink r:id="rId2">
        <w:r>
          <w:rPr>
            <w:rFonts w:ascii="Liberation Serif" w:hAnsi="Liberation Serif" w:eastAsia="Segoe UI" w:cs="Tahoma"/>
            <w:color w:val="000000"/>
            <w:kern w:val="0"/>
            <w:sz w:val="24"/>
            <w:lang w:eastAsia="en-US" w:bidi="en-US" w:val="de-DE"/>
          </w:rPr>
          <w:t>https://doi.org/10.1016/j.ecolind.2018.04.058</w:t>
        </w:r>
      </w:hyperlink>
      <w:r>
        <w:rPr>
          <w:rFonts w:ascii="Liberation Serif" w:hAnsi="Liberation Serif" w:eastAsia="Segoe UI" w:cs="Tahoma"/>
          <w:color w:val="000000"/>
          <w:kern w:val="0"/>
          <w:sz w:val="24"/>
          <w:lang w:eastAsia="en-US" w:bidi="en-US" w:val="de-DE"/>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gt;"/>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b1109"/>
    <w:pPr>
      <w:widowControl w:val="false"/>
      <w:suppressAutoHyphens w:val="true"/>
      <w:bidi w:val="0"/>
      <w:spacing w:lineRule="auto" w:line="240" w:before="0" w:after="0"/>
      <w:jc w:val="left"/>
      <w:textAlignment w:val="baseline"/>
    </w:pPr>
    <w:rPr>
      <w:rFonts w:ascii="Calibri" w:hAnsi="Calibri" w:eastAsia="NSimSun" w:cs="Arial"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ListParagraph">
    <w:name w:val="List Paragraph"/>
    <w:basedOn w:val="Normal"/>
    <w:uiPriority w:val="34"/>
    <w:qFormat/>
    <w:rsid w:val="00b6739f"/>
    <w:pPr>
      <w:spacing w:before="0" w:after="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177/2399808320910161" TargetMode="External"/><Relationship Id="rId2" Type="http://schemas.openxmlformats.org/officeDocument/2006/relationships/hyperlink" Target="https://doi.org/10.1016/j.ecolind.2018.04.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LibreOffice/7.2.6.2$Windows_X86_64 LibreOffice_project/b0ec3a565991f7569a5a7f5d24fed7f52653d754</Application>
  <AppVersion>15.0000</AppVersion>
  <Pages>2</Pages>
  <Words>480</Words>
  <Characters>2442</Characters>
  <CharactersWithSpaces>2885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2022-07-01T16:35:35Z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