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6EC2" w14:textId="77777777" w:rsidR="00001930" w:rsidRDefault="00001930"/>
    <w:p w14:paraId="0633D6EE" w14:textId="77777777" w:rsidR="00001930" w:rsidRDefault="00001930"/>
    <w:p w14:paraId="0DC922C2" w14:textId="77777777" w:rsidR="00001930" w:rsidRDefault="00001930"/>
    <w:p w14:paraId="78472C16" w14:textId="77777777" w:rsidR="00001930" w:rsidRDefault="00001930"/>
    <w:p w14:paraId="5D73505C" w14:textId="77777777" w:rsidR="00001930" w:rsidRDefault="00001930"/>
    <w:p w14:paraId="2BDEC9BE" w14:textId="77777777" w:rsidR="00001930" w:rsidRDefault="00001930"/>
    <w:p w14:paraId="1CEE3C37" w14:textId="77777777" w:rsidR="00001930" w:rsidRDefault="00000000">
      <w:pPr>
        <w:jc w:val="center"/>
      </w:pPr>
      <w:r>
        <w:rPr>
          <w:b/>
          <w:color w:val="1A3C6E"/>
          <w:sz w:val="48"/>
        </w:rPr>
        <w:t>Advanced Apex Project-1</w:t>
      </w:r>
    </w:p>
    <w:p w14:paraId="7A88DAAD" w14:textId="77777777" w:rsidR="00001930" w:rsidRDefault="00000000">
      <w:pPr>
        <w:jc w:val="center"/>
      </w:pPr>
      <w:r>
        <w:rPr>
          <w:color w:val="333333"/>
          <w:sz w:val="28"/>
        </w:rPr>
        <w:t>M.Sc. Data Science &amp; Artificial Intelligence</w:t>
      </w:r>
    </w:p>
    <w:p w14:paraId="6F3A10BC" w14:textId="77777777" w:rsidR="00001930" w:rsidRDefault="00001930"/>
    <w:p w14:paraId="21A10019" w14:textId="77777777" w:rsidR="00001930" w:rsidRDefault="00000000">
      <w:pPr>
        <w:jc w:val="center"/>
      </w:pPr>
      <w:r>
        <w:rPr>
          <w:i/>
          <w:sz w:val="32"/>
        </w:rPr>
        <w:t>Retail Customer Analytics:</w:t>
      </w:r>
      <w:r>
        <w:rPr>
          <w:i/>
          <w:sz w:val="32"/>
        </w:rPr>
        <w:br/>
        <w:t xml:space="preserve">Customer </w:t>
      </w:r>
      <w:proofErr w:type="spellStart"/>
      <w:r>
        <w:rPr>
          <w:i/>
          <w:sz w:val="32"/>
        </w:rPr>
        <w:t>Behaviour</w:t>
      </w:r>
      <w:proofErr w:type="spellEnd"/>
      <w:r>
        <w:rPr>
          <w:i/>
          <w:sz w:val="32"/>
        </w:rPr>
        <w:t xml:space="preserve"> Profiling and Micro-Segmentation</w:t>
      </w:r>
      <w:r>
        <w:rPr>
          <w:i/>
          <w:sz w:val="32"/>
        </w:rPr>
        <w:br/>
        <w:t>Using K-Means Clustering</w:t>
      </w:r>
    </w:p>
    <w:p w14:paraId="388D860A" w14:textId="77777777" w:rsidR="00001930" w:rsidRDefault="00001930"/>
    <w:p w14:paraId="285C0800" w14:textId="77777777" w:rsidR="00001930" w:rsidRDefault="00001930"/>
    <w:p w14:paraId="6DAB9DB9" w14:textId="77777777" w:rsidR="00001930" w:rsidRDefault="00001930"/>
    <w:p w14:paraId="6BCEA51C" w14:textId="77777777" w:rsidR="00001930" w:rsidRDefault="00001930"/>
    <w:p w14:paraId="71A11A61" w14:textId="15F5A103" w:rsidR="00001930" w:rsidRDefault="00000000">
      <w:pPr>
        <w:jc w:val="center"/>
      </w:pPr>
      <w:r>
        <w:rPr>
          <w:b/>
        </w:rPr>
        <w:t xml:space="preserve">Student Name: </w:t>
      </w:r>
      <w:r>
        <w:t>Yashvee</w:t>
      </w:r>
      <w:r w:rsidR="00AD75A9">
        <w:t xml:space="preserve"> Ranjan</w:t>
      </w:r>
    </w:p>
    <w:p w14:paraId="4C7DFB24" w14:textId="77777777" w:rsidR="00001930" w:rsidRDefault="00000000">
      <w:pPr>
        <w:jc w:val="center"/>
      </w:pPr>
      <w:r>
        <w:rPr>
          <w:b/>
        </w:rPr>
        <w:t xml:space="preserve">Student ID: </w:t>
      </w:r>
      <w:r>
        <w:t>2025EM1200017</w:t>
      </w:r>
    </w:p>
    <w:p w14:paraId="18187051" w14:textId="77777777" w:rsidR="00001930" w:rsidRDefault="00000000">
      <w:pPr>
        <w:jc w:val="center"/>
      </w:pPr>
      <w:proofErr w:type="spellStart"/>
      <w:r>
        <w:rPr>
          <w:b/>
        </w:rPr>
        <w:t>Programme</w:t>
      </w:r>
      <w:proofErr w:type="spellEnd"/>
      <w:r>
        <w:rPr>
          <w:b/>
        </w:rPr>
        <w:t xml:space="preserve">: </w:t>
      </w:r>
      <w:r>
        <w:t>M.Sc. Data Science &amp; AI</w:t>
      </w:r>
    </w:p>
    <w:p w14:paraId="7C999DE7" w14:textId="77777777" w:rsidR="00001930" w:rsidRDefault="00000000">
      <w:pPr>
        <w:jc w:val="center"/>
      </w:pPr>
      <w:r>
        <w:rPr>
          <w:b/>
        </w:rPr>
        <w:t xml:space="preserve">Submission: </w:t>
      </w:r>
      <w:r>
        <w:t>Week 9 — Final Report</w:t>
      </w:r>
    </w:p>
    <w:p w14:paraId="2C4B95E3" w14:textId="77777777" w:rsidR="00001930" w:rsidRDefault="00000000">
      <w:r>
        <w:br w:type="page"/>
      </w:r>
    </w:p>
    <w:p w14:paraId="6AC1FFC0" w14:textId="77777777" w:rsidR="00001930" w:rsidRDefault="00000000">
      <w:pPr>
        <w:pStyle w:val="Heading1"/>
      </w:pPr>
      <w:r>
        <w:lastRenderedPageBreak/>
        <w:t>Executive Summary</w:t>
      </w:r>
    </w:p>
    <w:p w14:paraId="2F7D643C" w14:textId="77777777" w:rsidR="00001930" w:rsidRDefault="00000000">
      <w:r>
        <w:t xml:space="preserve">This report presents a customer micro-segmentation analysis for a retail </w:t>
      </w:r>
      <w:proofErr w:type="spellStart"/>
      <w:r>
        <w:t>organisation</w:t>
      </w:r>
      <w:proofErr w:type="spellEnd"/>
      <w:r>
        <w:t xml:space="preserve"> using the Kaggle Retail Customer and Transaction Dataset. The dataset comprises four interconnected tables capturing customer demographics, transactions, product reviews, and support tickets for 5,000 customers and over 32,000 transactions. Following thorough data preparation — including median imputation for missing values, IQR-based outlier capping, and explicit keep/drop/ignore decisions for all sparse columns — transactional records were aggregated into a Recency–Frequency–Monetary (RFM) feature frame at the customer level. A scikit-learn preprocessing pipeline (Box-Cox transformation, standard scaling, variance filtering) was applied in a leakage-free train/test split. The optimal number of clusters was determined via the Elbow Method and Silhouette Score analysis, with k=4 selected as the best balance of compactness and interpretability. The resulting four segments align with established retail persona archetypes and are directly actionable for targeted marketing, resource allocation, and customer lifecycle management. Reviews and support tickets were intentionally excluded from the clustering features due to low coverage and orthogonal dimensionality, though they are recommended as post-hoc enrichment in future work.</w:t>
      </w:r>
    </w:p>
    <w:p w14:paraId="787B1275" w14:textId="77777777" w:rsidR="00001930" w:rsidRDefault="00000000">
      <w:pPr>
        <w:pStyle w:val="Heading1"/>
      </w:pPr>
      <w:r>
        <w:t>1. Problem Statement</w:t>
      </w:r>
    </w:p>
    <w:p w14:paraId="24800958" w14:textId="3D734D29" w:rsidR="00001930" w:rsidRDefault="00000000">
      <w:r>
        <w:t xml:space="preserve">Retail </w:t>
      </w:r>
      <w:r w:rsidR="007B544A">
        <w:t>organizations</w:t>
      </w:r>
      <w:r>
        <w:t xml:space="preserve"> increasingly </w:t>
      </w:r>
      <w:r w:rsidR="007B544A">
        <w:t>recognize</w:t>
      </w:r>
      <w:r>
        <w:t xml:space="preserve"> that undifferentiated marketing campaigns yield diminishing returns. The business objective of this project is to partition the customer base into </w:t>
      </w:r>
      <w:r w:rsidR="007B544A">
        <w:t>behaviorally</w:t>
      </w:r>
      <w:r>
        <w:t xml:space="preserve"> distinct micro-segments so that promotional offers, retention campaigns, and resource allocation can be tailored to each group’s purchasing profile.</w:t>
      </w:r>
    </w:p>
    <w:p w14:paraId="5EF32BBD" w14:textId="77777777" w:rsidR="00001930" w:rsidRDefault="00000000">
      <w:r>
        <w:t xml:space="preserve">The analytical scope is deliberately focused on purchase </w:t>
      </w:r>
      <w:proofErr w:type="spellStart"/>
      <w:r>
        <w:t>behaviour</w:t>
      </w:r>
      <w:proofErr w:type="spellEnd"/>
      <w:r>
        <w:t xml:space="preserve"> as captured by the RFM framework. Demographic attributes (age, gender) are retained for post-hoc profiling but are not used as clustering inputs to avoid conflating </w:t>
      </w:r>
      <w:proofErr w:type="spellStart"/>
      <w:r>
        <w:t>behavioural</w:t>
      </w:r>
      <w:proofErr w:type="spellEnd"/>
      <w:r>
        <w:t xml:space="preserve"> and demographic segmentation. Customer reviews and support tickets are excluded from this iteration due to low customer coverage (20% for reviews) and their measurement of a conceptually different dimension (service experience versus purchase </w:t>
      </w:r>
      <w:proofErr w:type="spellStart"/>
      <w:r>
        <w:t>behaviour</w:t>
      </w:r>
      <w:proofErr w:type="spellEnd"/>
      <w:r>
        <w:t>).</w:t>
      </w:r>
    </w:p>
    <w:p w14:paraId="31E1E966" w14:textId="77777777" w:rsidR="00001930" w:rsidRDefault="00000000">
      <w:pPr>
        <w:pStyle w:val="Heading1"/>
      </w:pPr>
      <w:r>
        <w:t>2. Dataset Description</w:t>
      </w:r>
    </w:p>
    <w:p w14:paraId="42C3AB92" w14:textId="77777777" w:rsidR="00001930" w:rsidRDefault="00000000">
      <w:r>
        <w:t xml:space="preserve">The Kaggle Retail Customer and Transaction Dataset (Gandhi, n.d.) consists of four CSV tables linked by </w:t>
      </w:r>
      <w:proofErr w:type="spellStart"/>
      <w:r>
        <w:t>customer_id</w:t>
      </w:r>
      <w:proofErr w:type="spellEnd"/>
      <w:r>
        <w:t>:</w:t>
      </w:r>
    </w:p>
    <w:tbl>
      <w:tblPr>
        <w:tblStyle w:val="LightShading-Accent1"/>
        <w:tblW w:w="0" w:type="auto"/>
        <w:jc w:val="center"/>
        <w:tblLook w:val="04A0" w:firstRow="1" w:lastRow="0" w:firstColumn="1" w:lastColumn="0" w:noHBand="0" w:noVBand="1"/>
      </w:tblPr>
      <w:tblGrid>
        <w:gridCol w:w="3207"/>
        <w:gridCol w:w="2087"/>
        <w:gridCol w:w="2098"/>
        <w:gridCol w:w="2184"/>
      </w:tblGrid>
      <w:tr w:rsidR="00001930" w14:paraId="0F0F6561" w14:textId="77777777" w:rsidTr="000019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799DEBF" w14:textId="77777777" w:rsidR="00001930" w:rsidRDefault="00000000">
            <w:r>
              <w:t>Table</w:t>
            </w:r>
          </w:p>
        </w:tc>
        <w:tc>
          <w:tcPr>
            <w:tcW w:w="2340" w:type="dxa"/>
          </w:tcPr>
          <w:p w14:paraId="15033602" w14:textId="77777777" w:rsidR="00001930" w:rsidRDefault="00000000">
            <w:pPr>
              <w:cnfStyle w:val="100000000000" w:firstRow="1" w:lastRow="0" w:firstColumn="0" w:lastColumn="0" w:oddVBand="0" w:evenVBand="0" w:oddHBand="0" w:evenHBand="0" w:firstRowFirstColumn="0" w:firstRowLastColumn="0" w:lastRowFirstColumn="0" w:lastRowLastColumn="0"/>
            </w:pPr>
            <w:r>
              <w:t>Records</w:t>
            </w:r>
          </w:p>
        </w:tc>
        <w:tc>
          <w:tcPr>
            <w:tcW w:w="2340" w:type="dxa"/>
          </w:tcPr>
          <w:p w14:paraId="373B9E6E" w14:textId="77777777" w:rsidR="00001930" w:rsidRDefault="00000000">
            <w:pPr>
              <w:cnfStyle w:val="100000000000" w:firstRow="1" w:lastRow="0" w:firstColumn="0" w:lastColumn="0" w:oddVBand="0" w:evenVBand="0" w:oddHBand="0" w:evenHBand="0" w:firstRowFirstColumn="0" w:firstRowLastColumn="0" w:lastRowFirstColumn="0" w:lastRowLastColumn="0"/>
            </w:pPr>
            <w:r>
              <w:t>Columns</w:t>
            </w:r>
          </w:p>
        </w:tc>
        <w:tc>
          <w:tcPr>
            <w:tcW w:w="2340" w:type="dxa"/>
          </w:tcPr>
          <w:p w14:paraId="0539A22E" w14:textId="77777777" w:rsidR="0000193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01930" w14:paraId="16D53A72" w14:textId="77777777" w:rsidTr="000019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CB0E339" w14:textId="77777777" w:rsidR="00001930" w:rsidRDefault="00000000">
            <w:r>
              <w:t>customers.csv</w:t>
            </w:r>
          </w:p>
        </w:tc>
        <w:tc>
          <w:tcPr>
            <w:tcW w:w="2340" w:type="dxa"/>
          </w:tcPr>
          <w:p w14:paraId="0909E943" w14:textId="77777777" w:rsidR="00001930" w:rsidRDefault="00000000">
            <w:pPr>
              <w:cnfStyle w:val="000000100000" w:firstRow="0" w:lastRow="0" w:firstColumn="0" w:lastColumn="0" w:oddVBand="0" w:evenVBand="0" w:oddHBand="1" w:evenHBand="0" w:firstRowFirstColumn="0" w:firstRowLastColumn="0" w:lastRowFirstColumn="0" w:lastRowLastColumn="0"/>
            </w:pPr>
            <w:r>
              <w:t>5,000</w:t>
            </w:r>
          </w:p>
        </w:tc>
        <w:tc>
          <w:tcPr>
            <w:tcW w:w="2340" w:type="dxa"/>
          </w:tcPr>
          <w:p w14:paraId="5C4663DD" w14:textId="77777777" w:rsidR="00001930" w:rsidRDefault="00000000">
            <w:pPr>
              <w:cnfStyle w:val="000000100000" w:firstRow="0" w:lastRow="0" w:firstColumn="0" w:lastColumn="0" w:oddVBand="0" w:evenVBand="0" w:oddHBand="1" w:evenHBand="0" w:firstRowFirstColumn="0" w:firstRowLastColumn="0" w:lastRowFirstColumn="0" w:lastRowLastColumn="0"/>
            </w:pPr>
            <w:r>
              <w:t>12</w:t>
            </w:r>
          </w:p>
        </w:tc>
        <w:tc>
          <w:tcPr>
            <w:tcW w:w="2340" w:type="dxa"/>
          </w:tcPr>
          <w:p w14:paraId="1371FBCA" w14:textId="77777777" w:rsidR="00001930" w:rsidRDefault="00000000">
            <w:pPr>
              <w:cnfStyle w:val="000000100000" w:firstRow="0" w:lastRow="0" w:firstColumn="0" w:lastColumn="0" w:oddVBand="0" w:evenVBand="0" w:oddHBand="1" w:evenHBand="0" w:firstRowFirstColumn="0" w:firstRowLastColumn="0" w:lastRowFirstColumn="0" w:lastRowLastColumn="0"/>
            </w:pPr>
            <w:r>
              <w:t>Static demographics (age, gender, location)</w:t>
            </w:r>
          </w:p>
        </w:tc>
      </w:tr>
      <w:tr w:rsidR="00001930" w14:paraId="20903C7A" w14:textId="77777777" w:rsidTr="00001930">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0D2FD486" w14:textId="77777777" w:rsidR="00001930" w:rsidRDefault="00000000">
            <w:r>
              <w:t>transactions.csv</w:t>
            </w:r>
          </w:p>
        </w:tc>
        <w:tc>
          <w:tcPr>
            <w:tcW w:w="2340" w:type="dxa"/>
          </w:tcPr>
          <w:p w14:paraId="7EF8D97D" w14:textId="77777777" w:rsidR="00001930" w:rsidRDefault="00000000">
            <w:pPr>
              <w:cnfStyle w:val="000000000000" w:firstRow="0" w:lastRow="0" w:firstColumn="0" w:lastColumn="0" w:oddVBand="0" w:evenVBand="0" w:oddHBand="0" w:evenHBand="0" w:firstRowFirstColumn="0" w:firstRowLastColumn="0" w:lastRowFirstColumn="0" w:lastRowLastColumn="0"/>
            </w:pPr>
            <w:r>
              <w:t>32,295</w:t>
            </w:r>
          </w:p>
        </w:tc>
        <w:tc>
          <w:tcPr>
            <w:tcW w:w="2340" w:type="dxa"/>
          </w:tcPr>
          <w:p w14:paraId="2BBC952F" w14:textId="77777777" w:rsidR="00001930" w:rsidRDefault="00000000">
            <w:pPr>
              <w:cnfStyle w:val="000000000000" w:firstRow="0" w:lastRow="0" w:firstColumn="0" w:lastColumn="0" w:oddVBand="0" w:evenVBand="0" w:oddHBand="0" w:evenHBand="0" w:firstRowFirstColumn="0" w:firstRowLastColumn="0" w:lastRowFirstColumn="0" w:lastRowLastColumn="0"/>
            </w:pPr>
            <w:r>
              <w:t>10</w:t>
            </w:r>
          </w:p>
        </w:tc>
        <w:tc>
          <w:tcPr>
            <w:tcW w:w="2340" w:type="dxa"/>
          </w:tcPr>
          <w:p w14:paraId="7CB400D1" w14:textId="77777777" w:rsidR="00001930" w:rsidRDefault="00000000">
            <w:pPr>
              <w:cnfStyle w:val="000000000000" w:firstRow="0" w:lastRow="0" w:firstColumn="0" w:lastColumn="0" w:oddVBand="0" w:evenVBand="0" w:oddHBand="0" w:evenHBand="0" w:firstRowFirstColumn="0" w:firstRowLastColumn="0" w:lastRowFirstColumn="0" w:lastRowLastColumn="0"/>
            </w:pPr>
            <w:r>
              <w:t>Purchase log (price, quantity, category, date)</w:t>
            </w:r>
          </w:p>
        </w:tc>
      </w:tr>
      <w:tr w:rsidR="00001930" w14:paraId="04866056" w14:textId="77777777" w:rsidTr="000019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86CD32F" w14:textId="77777777" w:rsidR="00001930" w:rsidRDefault="00000000">
            <w:r>
              <w:t>customer_reviews_complete.csv</w:t>
            </w:r>
          </w:p>
        </w:tc>
        <w:tc>
          <w:tcPr>
            <w:tcW w:w="2340" w:type="dxa"/>
          </w:tcPr>
          <w:p w14:paraId="61EE9B1F" w14:textId="77777777" w:rsidR="00001930" w:rsidRDefault="00000000">
            <w:pPr>
              <w:cnfStyle w:val="000000100000" w:firstRow="0" w:lastRow="0" w:firstColumn="0" w:lastColumn="0" w:oddVBand="0" w:evenVBand="0" w:oddHBand="1" w:evenHBand="0" w:firstRowFirstColumn="0" w:firstRowLastColumn="0" w:lastRowFirstColumn="0" w:lastRowLastColumn="0"/>
            </w:pPr>
            <w:r>
              <w:t>1,000</w:t>
            </w:r>
          </w:p>
        </w:tc>
        <w:tc>
          <w:tcPr>
            <w:tcW w:w="2340" w:type="dxa"/>
          </w:tcPr>
          <w:p w14:paraId="19C1E76E" w14:textId="77777777" w:rsidR="00001930" w:rsidRDefault="00000000">
            <w:pPr>
              <w:cnfStyle w:val="000000100000" w:firstRow="0" w:lastRow="0" w:firstColumn="0" w:lastColumn="0" w:oddVBand="0" w:evenVBand="0" w:oddHBand="1" w:evenHBand="0" w:firstRowFirstColumn="0" w:firstRowLastColumn="0" w:lastRowFirstColumn="0" w:lastRowLastColumn="0"/>
            </w:pPr>
            <w:r>
              <w:t>10</w:t>
            </w:r>
          </w:p>
        </w:tc>
        <w:tc>
          <w:tcPr>
            <w:tcW w:w="2340" w:type="dxa"/>
          </w:tcPr>
          <w:p w14:paraId="3ED82168" w14:textId="77777777" w:rsidR="00001930" w:rsidRDefault="00000000">
            <w:pPr>
              <w:cnfStyle w:val="000000100000" w:firstRow="0" w:lastRow="0" w:firstColumn="0" w:lastColumn="0" w:oddVBand="0" w:evenVBand="0" w:oddHBand="1" w:evenHBand="0" w:firstRowFirstColumn="0" w:firstRowLastColumn="0" w:lastRowFirstColumn="0" w:lastRowLastColumn="0"/>
            </w:pPr>
            <w:r>
              <w:t xml:space="preserve">Product reviews and </w:t>
            </w:r>
            <w:r>
              <w:lastRenderedPageBreak/>
              <w:t>ratings</w:t>
            </w:r>
          </w:p>
        </w:tc>
      </w:tr>
      <w:tr w:rsidR="00001930" w14:paraId="17226B8D" w14:textId="77777777" w:rsidTr="00001930">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322A76A5" w14:textId="77777777" w:rsidR="00001930" w:rsidRDefault="00000000">
            <w:r>
              <w:t>support_tickets.csv</w:t>
            </w:r>
          </w:p>
        </w:tc>
        <w:tc>
          <w:tcPr>
            <w:tcW w:w="2340" w:type="dxa"/>
          </w:tcPr>
          <w:p w14:paraId="221662A6" w14:textId="77777777" w:rsidR="00001930" w:rsidRDefault="00000000">
            <w:pPr>
              <w:cnfStyle w:val="000000000000" w:firstRow="0" w:lastRow="0" w:firstColumn="0" w:lastColumn="0" w:oddVBand="0" w:evenVBand="0" w:oddHBand="0" w:evenHBand="0" w:firstRowFirstColumn="0" w:firstRowLastColumn="0" w:lastRowFirstColumn="0" w:lastRowLastColumn="0"/>
            </w:pPr>
            <w:r>
              <w:t>3,000</w:t>
            </w:r>
          </w:p>
        </w:tc>
        <w:tc>
          <w:tcPr>
            <w:tcW w:w="2340" w:type="dxa"/>
          </w:tcPr>
          <w:p w14:paraId="4FD33174" w14:textId="77777777" w:rsidR="00001930" w:rsidRDefault="00000000">
            <w:pPr>
              <w:cnfStyle w:val="000000000000" w:firstRow="0" w:lastRow="0" w:firstColumn="0" w:lastColumn="0" w:oddVBand="0" w:evenVBand="0" w:oddHBand="0" w:evenHBand="0" w:firstRowFirstColumn="0" w:firstRowLastColumn="0" w:lastRowFirstColumn="0" w:lastRowLastColumn="0"/>
            </w:pPr>
            <w:r>
              <w:t>10</w:t>
            </w:r>
          </w:p>
        </w:tc>
        <w:tc>
          <w:tcPr>
            <w:tcW w:w="2340" w:type="dxa"/>
          </w:tcPr>
          <w:p w14:paraId="741CFCFD" w14:textId="77777777" w:rsidR="00001930" w:rsidRDefault="00000000">
            <w:pPr>
              <w:cnfStyle w:val="000000000000" w:firstRow="0" w:lastRow="0" w:firstColumn="0" w:lastColumn="0" w:oddVBand="0" w:evenVBand="0" w:oddHBand="0" w:evenHBand="0" w:firstRowFirstColumn="0" w:firstRowLastColumn="0" w:lastRowFirstColumn="0" w:lastRowLastColumn="0"/>
            </w:pPr>
            <w:r>
              <w:t>Service issues and resolution</w:t>
            </w:r>
          </w:p>
        </w:tc>
      </w:tr>
    </w:tbl>
    <w:p w14:paraId="1E84BA98" w14:textId="77777777" w:rsidR="00001930" w:rsidRDefault="00001930"/>
    <w:p w14:paraId="64F71FCD" w14:textId="77777777" w:rsidR="00001930" w:rsidRDefault="00000000">
      <w:r>
        <w:t xml:space="preserve">The primary key </w:t>
      </w:r>
      <w:proofErr w:type="spellStart"/>
      <w:r>
        <w:t>customer_id</w:t>
      </w:r>
      <w:proofErr w:type="spellEnd"/>
      <w:r>
        <w:t xml:space="preserve"> uniquely identifies customers in the customers table and serves as a foreign key in the remaining three tables. This relational structure enables multi-table integration at the customer level. Since the project employs unsupervised clustering, no target variable exists.</w:t>
      </w:r>
    </w:p>
    <w:p w14:paraId="778BD95B" w14:textId="77777777" w:rsidR="00001930" w:rsidRDefault="00000000">
      <w:pPr>
        <w:pStyle w:val="Heading1"/>
      </w:pPr>
      <w:r>
        <w:t>3. Data Preparation</w:t>
      </w:r>
    </w:p>
    <w:p w14:paraId="4B1E68C0" w14:textId="77777777" w:rsidR="00001930" w:rsidRDefault="00000000">
      <w:pPr>
        <w:pStyle w:val="Heading2"/>
      </w:pPr>
      <w:r>
        <w:t>Feature Selection</w:t>
      </w:r>
    </w:p>
    <w:p w14:paraId="68A56EC8" w14:textId="77777777" w:rsidR="00001930" w:rsidRDefault="00000000">
      <w:r>
        <w:t xml:space="preserve">Explicit keep/drop/ignore decisions were made for all columns prior to analysis. PII fields (email, phone, </w:t>
      </w:r>
      <w:proofErr w:type="spellStart"/>
      <w:r>
        <w:t>full_name</w:t>
      </w:r>
      <w:proofErr w:type="spellEnd"/>
      <w:r>
        <w:t xml:space="preserve">, </w:t>
      </w:r>
      <w:proofErr w:type="spellStart"/>
      <w:r>
        <w:t>street_address</w:t>
      </w:r>
      <w:proofErr w:type="spellEnd"/>
      <w:r>
        <w:t>) were dropped outright. High-cardinality fields (</w:t>
      </w:r>
      <w:proofErr w:type="spellStart"/>
      <w:r>
        <w:t>product_name</w:t>
      </w:r>
      <w:proofErr w:type="spellEnd"/>
      <w:r>
        <w:t xml:space="preserve">, </w:t>
      </w:r>
      <w:proofErr w:type="spellStart"/>
      <w:r>
        <w:t>store_location</w:t>
      </w:r>
      <w:proofErr w:type="spellEnd"/>
      <w:r>
        <w:t>) and low-discriminatory fields (</w:t>
      </w:r>
      <w:proofErr w:type="spellStart"/>
      <w:r>
        <w:t>payment_method</w:t>
      </w:r>
      <w:proofErr w:type="spellEnd"/>
      <w:r>
        <w:t xml:space="preserve">) were ignored — retained in the raw data for reference but excluded from the clustering feature frame. Core transaction fields (price, quantity, </w:t>
      </w:r>
      <w:proofErr w:type="spellStart"/>
      <w:r>
        <w:t>discount_applied</w:t>
      </w:r>
      <w:proofErr w:type="spellEnd"/>
      <w:r>
        <w:t xml:space="preserve">, </w:t>
      </w:r>
      <w:proofErr w:type="spellStart"/>
      <w:r>
        <w:t>transaction_date</w:t>
      </w:r>
      <w:proofErr w:type="spellEnd"/>
      <w:r>
        <w:t>) and demographic fields (age, gender, state) were kept for analysis.</w:t>
      </w:r>
    </w:p>
    <w:p w14:paraId="2D97D11D" w14:textId="77777777" w:rsidR="00001930" w:rsidRDefault="00000000">
      <w:pPr>
        <w:pStyle w:val="Heading2"/>
      </w:pPr>
      <w:r>
        <w:t>Cleaning</w:t>
      </w:r>
    </w:p>
    <w:p w14:paraId="343E12F0" w14:textId="77777777" w:rsidR="00001930" w:rsidRDefault="00000000">
      <w:r>
        <w:t>Missing values affected 2–4% of records per column with no discernible pattern (MCAR). Numeric fields (price, quantity, age) were imputed with the column median to avoid bias from right-skewed distributions. Missing discount entries were set to zero under the assumption that absence implies no discount. Gender was filled with “Unknown” to avoid imputing a categorical attribute.</w:t>
      </w:r>
    </w:p>
    <w:p w14:paraId="4C694D04" w14:textId="77777777" w:rsidR="00001930" w:rsidRDefault="00000000">
      <w:pPr>
        <w:pStyle w:val="Heading2"/>
      </w:pPr>
      <w:r>
        <w:t>Outlier Treatment</w:t>
      </w:r>
    </w:p>
    <w:p w14:paraId="7EBC6565" w14:textId="77777777" w:rsidR="00001930" w:rsidRDefault="00000000">
      <w:r>
        <w:t xml:space="preserve">The price distribution exhibited extreme right-skew (maximum $21,371 versus 75th percentile of $876). Since K-Means relies on Euclidean distance, outliers would disproportionately influence cluster assignments. Values beyond 1.5× IQR were </w:t>
      </w:r>
      <w:proofErr w:type="spellStart"/>
      <w:r>
        <w:t>winsorised</w:t>
      </w:r>
      <w:proofErr w:type="spellEnd"/>
      <w:r>
        <w:t xml:space="preserve"> (capped) rather than deleted, preserving the full dataset of 32,295 transactions. A derived revenue column (</w:t>
      </w:r>
      <w:proofErr w:type="spellStart"/>
      <w:r>
        <w:t>price_capped</w:t>
      </w:r>
      <w:proofErr w:type="spellEnd"/>
      <w:r>
        <w:t xml:space="preserve"> × </w:t>
      </w:r>
      <w:proofErr w:type="spellStart"/>
      <w:r>
        <w:t>quantity_capped</w:t>
      </w:r>
      <w:proofErr w:type="spellEnd"/>
      <w:r>
        <w:t xml:space="preserve"> × (1 − discount/100)) was computed as the basis for the Monetary RFM component.</w:t>
      </w:r>
    </w:p>
    <w:p w14:paraId="1C8AD6D2" w14:textId="77777777" w:rsidR="00001930" w:rsidRDefault="00000000">
      <w:pPr>
        <w:pStyle w:val="Heading1"/>
      </w:pPr>
      <w:r>
        <w:t>4. Exploratory Data Analysis</w:t>
      </w:r>
    </w:p>
    <w:p w14:paraId="155FE4F9" w14:textId="77777777" w:rsidR="00001930" w:rsidRDefault="00000000">
      <w:r>
        <w:t xml:space="preserve">Key findings from the exploratory analysis are </w:t>
      </w:r>
      <w:proofErr w:type="spellStart"/>
      <w:r>
        <w:t>summarised</w:t>
      </w:r>
      <w:proofErr w:type="spellEnd"/>
      <w:r>
        <w:t xml:space="preserve"> below. Full </w:t>
      </w:r>
      <w:proofErr w:type="spellStart"/>
      <w:r>
        <w:t>visualisations</w:t>
      </w:r>
      <w:proofErr w:type="spellEnd"/>
      <w:r>
        <w:t xml:space="preserve"> with numbered figure captions are available in the accompanying notebook.</w:t>
      </w:r>
    </w:p>
    <w:tbl>
      <w:tblPr>
        <w:tblStyle w:val="LightShading-Accent1"/>
        <w:tblW w:w="0" w:type="auto"/>
        <w:jc w:val="center"/>
        <w:tblLook w:val="04A0" w:firstRow="1" w:lastRow="0" w:firstColumn="1" w:lastColumn="0" w:noHBand="0" w:noVBand="1"/>
      </w:tblPr>
      <w:tblGrid>
        <w:gridCol w:w="4680"/>
        <w:gridCol w:w="4680"/>
      </w:tblGrid>
      <w:tr w:rsidR="00001930" w14:paraId="3925DF74" w14:textId="77777777" w:rsidTr="000019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ADFDE28" w14:textId="77777777" w:rsidR="00001930" w:rsidRDefault="00000000">
            <w:r>
              <w:t>Finding</w:t>
            </w:r>
          </w:p>
        </w:tc>
        <w:tc>
          <w:tcPr>
            <w:tcW w:w="4680" w:type="dxa"/>
          </w:tcPr>
          <w:p w14:paraId="195A52C4" w14:textId="77777777" w:rsidR="00001930" w:rsidRDefault="00000000">
            <w:pPr>
              <w:cnfStyle w:val="100000000000" w:firstRow="1" w:lastRow="0" w:firstColumn="0" w:lastColumn="0" w:oddVBand="0" w:evenVBand="0" w:oddHBand="0" w:evenHBand="0" w:firstRowFirstColumn="0" w:firstRowLastColumn="0" w:lastRowFirstColumn="0" w:lastRowLastColumn="0"/>
            </w:pPr>
            <w:r>
              <w:t>Segmentation Implication</w:t>
            </w:r>
          </w:p>
        </w:tc>
      </w:tr>
      <w:tr w:rsidR="00001930" w14:paraId="0DC412A7" w14:textId="77777777" w:rsidTr="000019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CFA2C18" w14:textId="77777777" w:rsidR="00001930" w:rsidRDefault="00000000">
            <w:r>
              <w:t>Revenue and price are highly correlated (r ≈ 0.97)</w:t>
            </w:r>
          </w:p>
        </w:tc>
        <w:tc>
          <w:tcPr>
            <w:tcW w:w="4680" w:type="dxa"/>
          </w:tcPr>
          <w:p w14:paraId="247A9573" w14:textId="77777777" w:rsidR="00001930" w:rsidRDefault="00000000">
            <w:pPr>
              <w:cnfStyle w:val="000000100000" w:firstRow="0" w:lastRow="0" w:firstColumn="0" w:lastColumn="0" w:oddVBand="0" w:evenVBand="0" w:oddHBand="1" w:evenHBand="0" w:firstRowFirstColumn="0" w:firstRowLastColumn="0" w:lastRowFirstColumn="0" w:lastRowLastColumn="0"/>
            </w:pPr>
            <w:r>
              <w:t>Revenue is primarily price-driven; quantity plays a secondary role</w:t>
            </w:r>
          </w:p>
        </w:tc>
      </w:tr>
      <w:tr w:rsidR="00001930" w14:paraId="22D15B5C" w14:textId="77777777" w:rsidTr="00001930">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360C5B26" w14:textId="77777777" w:rsidR="00001930" w:rsidRDefault="00000000">
            <w:r>
              <w:t>Discount has weak correlation with revenue</w:t>
            </w:r>
          </w:p>
        </w:tc>
        <w:tc>
          <w:tcPr>
            <w:tcW w:w="4680" w:type="dxa"/>
          </w:tcPr>
          <w:p w14:paraId="1311896A" w14:textId="77777777" w:rsidR="00001930" w:rsidRDefault="00000000">
            <w:pPr>
              <w:cnfStyle w:val="000000000000" w:firstRow="0" w:lastRow="0" w:firstColumn="0" w:lastColumn="0" w:oddVBand="0" w:evenVBand="0" w:oddHBand="0" w:evenHBand="0" w:firstRowFirstColumn="0" w:firstRowLastColumn="0" w:lastRowFirstColumn="0" w:lastRowLastColumn="0"/>
            </w:pPr>
            <w:r>
              <w:t xml:space="preserve">Discount-seeking </w:t>
            </w:r>
            <w:proofErr w:type="spellStart"/>
            <w:r>
              <w:t>behaviour</w:t>
            </w:r>
            <w:proofErr w:type="spellEnd"/>
            <w:r>
              <w:t xml:space="preserve"> is a separate </w:t>
            </w:r>
            <w:r>
              <w:lastRenderedPageBreak/>
              <w:t>dimension from spending</w:t>
            </w:r>
          </w:p>
        </w:tc>
      </w:tr>
      <w:tr w:rsidR="00001930" w14:paraId="718A7388" w14:textId="77777777" w:rsidTr="000019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4AAA692" w14:textId="77777777" w:rsidR="00001930" w:rsidRDefault="00000000">
            <w:r>
              <w:t>Age is uniformly distributed (18–70)</w:t>
            </w:r>
          </w:p>
        </w:tc>
        <w:tc>
          <w:tcPr>
            <w:tcW w:w="4680" w:type="dxa"/>
          </w:tcPr>
          <w:p w14:paraId="31C51A30" w14:textId="77777777" w:rsidR="00001930" w:rsidRDefault="00000000">
            <w:pPr>
              <w:cnfStyle w:val="000000100000" w:firstRow="0" w:lastRow="0" w:firstColumn="0" w:lastColumn="0" w:oddVBand="0" w:evenVBand="0" w:oddHBand="1" w:evenHBand="0" w:firstRowFirstColumn="0" w:firstRowLastColumn="0" w:lastRowFirstColumn="0" w:lastRowLastColumn="0"/>
            </w:pPr>
            <w:r>
              <w:t>Age alone will not drive cluster separation</w:t>
            </w:r>
          </w:p>
        </w:tc>
      </w:tr>
      <w:tr w:rsidR="00001930" w14:paraId="28856BA1" w14:textId="77777777" w:rsidTr="00001930">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677F2F46" w14:textId="77777777" w:rsidR="00001930" w:rsidRDefault="00000000">
            <w:r>
              <w:t>Electronics leads revenue but not purchase frequency</w:t>
            </w:r>
          </w:p>
        </w:tc>
        <w:tc>
          <w:tcPr>
            <w:tcW w:w="4680" w:type="dxa"/>
          </w:tcPr>
          <w:p w14:paraId="15458ED6" w14:textId="77777777" w:rsidR="00001930" w:rsidRDefault="00000000">
            <w:pPr>
              <w:cnfStyle w:val="000000000000" w:firstRow="0" w:lastRow="0" w:firstColumn="0" w:lastColumn="0" w:oddVBand="0" w:evenVBand="0" w:oddHBand="0" w:evenHBand="0" w:firstRowFirstColumn="0" w:firstRowLastColumn="0" w:lastRowFirstColumn="0" w:lastRowLastColumn="0"/>
            </w:pPr>
            <w:r>
              <w:t>Monetary and Frequency capture complementary value dimensions</w:t>
            </w:r>
          </w:p>
        </w:tc>
      </w:tr>
      <w:tr w:rsidR="00001930" w14:paraId="717C6019" w14:textId="77777777" w:rsidTr="000019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17EC8B2" w14:textId="77777777" w:rsidR="00001930" w:rsidRDefault="00000000">
            <w:r>
              <w:t>Monthly revenue shows seasonal spikes</w:t>
            </w:r>
          </w:p>
        </w:tc>
        <w:tc>
          <w:tcPr>
            <w:tcW w:w="4680" w:type="dxa"/>
          </w:tcPr>
          <w:p w14:paraId="17E619E7" w14:textId="77777777" w:rsidR="00001930" w:rsidRDefault="00000000">
            <w:pPr>
              <w:cnfStyle w:val="000000100000" w:firstRow="0" w:lastRow="0" w:firstColumn="0" w:lastColumn="0" w:oddVBand="0" w:evenVBand="0" w:oddHBand="1" w:evenHBand="0" w:firstRowFirstColumn="0" w:firstRowLastColumn="0" w:lastRowFirstColumn="0" w:lastRowLastColumn="0"/>
            </w:pPr>
            <w:r>
              <w:t>Recency differentiates recently active from dormant customers</w:t>
            </w:r>
          </w:p>
        </w:tc>
      </w:tr>
    </w:tbl>
    <w:p w14:paraId="4B7F8D3A" w14:textId="77777777" w:rsidR="00001930" w:rsidRDefault="00001930"/>
    <w:p w14:paraId="7759C481" w14:textId="77777777" w:rsidR="00001930" w:rsidRDefault="00000000">
      <w:r>
        <w:t>Texas and California represent the largest customer bases geographically. Gender distribution is balanced across Male, Female, and Non-binary categories. These demographic patterns inform post-hoc cluster profiling but are not used as clustering inputs.</w:t>
      </w:r>
    </w:p>
    <w:p w14:paraId="49D49248" w14:textId="77777777" w:rsidR="00001930" w:rsidRDefault="00000000">
      <w:pPr>
        <w:pStyle w:val="Heading1"/>
      </w:pPr>
      <w:r>
        <w:t>5. Feature Engineering</w:t>
      </w:r>
    </w:p>
    <w:p w14:paraId="7AFCB316" w14:textId="77777777" w:rsidR="00001930" w:rsidRDefault="00000000">
      <w:r>
        <w:t>Transaction-level records were aggregated to the customer level using the RFM (Recency, Frequency, Monetary) framework — the industry-standard approach for retail customer segmentation. Recency measures days since the customer’s last purchase relative to the dataset’s latest date. Frequency counts total transactions per customer. Monetary sums net revenue. A constant of +1 was added to all values to ensure strict positivity, which is required by the Box-Cox transformation.</w:t>
      </w:r>
    </w:p>
    <w:p w14:paraId="4B6F5884" w14:textId="77777777" w:rsidR="00001930" w:rsidRDefault="00000000">
      <w:r>
        <w:t xml:space="preserve">Additional customer attributes (age, gender) were deliberately excluded from the clustering features. While available, these describe who the customer is rather than how they behave. Including them would conflate demographic and </w:t>
      </w:r>
      <w:proofErr w:type="spellStart"/>
      <w:r>
        <w:t>behavioural</w:t>
      </w:r>
      <w:proofErr w:type="spellEnd"/>
      <w:r>
        <w:t xml:space="preserve"> segmentation, producing clusters that are harder for marketing teams to </w:t>
      </w:r>
      <w:proofErr w:type="spellStart"/>
      <w:r>
        <w:t>operationalise</w:t>
      </w:r>
      <w:proofErr w:type="spellEnd"/>
      <w:r>
        <w:t>. Instead, demographics are overlaid on the final clusters as post-hoc descriptors.</w:t>
      </w:r>
    </w:p>
    <w:p w14:paraId="09A38DCF" w14:textId="77777777" w:rsidR="00001930" w:rsidRDefault="00000000">
      <w:r>
        <w:t>All three RFM features exhibit strong right-skew, confirming the need for a power transformation before applying K-Means, which assumes roughly spherical, evenly-scaled clusters.</w:t>
      </w:r>
    </w:p>
    <w:p w14:paraId="6283E71C" w14:textId="77777777" w:rsidR="00001930" w:rsidRDefault="00000000">
      <w:pPr>
        <w:pStyle w:val="Heading1"/>
      </w:pPr>
      <w:r>
        <w:t>6. Model / Methodology</w:t>
      </w:r>
    </w:p>
    <w:p w14:paraId="7945FDC0" w14:textId="77777777" w:rsidR="00001930" w:rsidRDefault="00000000">
      <w:r>
        <w:t>K-Means clustering was selected for its interpretability (centroid-based segments map directly to business personas), computational efficiency, and widespread adoption in retail RFM analysis. A scikit-learn Pipeline was constructed to ensure leakage-free preprocessing:</w:t>
      </w:r>
    </w:p>
    <w:p w14:paraId="0D24B420" w14:textId="77777777" w:rsidR="00001930" w:rsidRDefault="00000000">
      <w:pPr>
        <w:pStyle w:val="ListNumber"/>
      </w:pPr>
      <w:r>
        <w:t xml:space="preserve">1. Box-Cox Power Transformation — </w:t>
      </w:r>
      <w:proofErr w:type="spellStart"/>
      <w:r>
        <w:t>normalises</w:t>
      </w:r>
      <w:proofErr w:type="spellEnd"/>
      <w:r>
        <w:t xml:space="preserve"> skewed RFM distributions</w:t>
      </w:r>
      <w:r>
        <w:br/>
        <w:t>2. Standard Scaling — zero mean, unit variance for equal Euclidean weighting</w:t>
      </w:r>
      <w:r>
        <w:br/>
        <w:t>3. Variance Threshold — safety check for zero-variance features</w:t>
      </w:r>
    </w:p>
    <w:p w14:paraId="541EEF63" w14:textId="77777777" w:rsidR="00001930" w:rsidRDefault="00000000">
      <w:r>
        <w:t xml:space="preserve">The pipeline was fitted exclusively on the training partition (80/20 split, </w:t>
      </w:r>
      <w:proofErr w:type="spellStart"/>
      <w:r>
        <w:t>random_state</w:t>
      </w:r>
      <w:proofErr w:type="spellEnd"/>
      <w:r>
        <w:t>=42). Optimal k was determined by jointly evaluating the Elbow Method (inertia vs. k) and Silhouette Score analysis (k = 2 to 10). The elbow curve showed diminishing returns beyond k = 3–4, and k = 4 was selected as the best trade-off between compactness and business interpretability.</w:t>
      </w:r>
    </w:p>
    <w:p w14:paraId="41D298E8" w14:textId="77777777" w:rsidR="00001930" w:rsidRDefault="00000000">
      <w:pPr>
        <w:pStyle w:val="Heading1"/>
      </w:pPr>
      <w:r>
        <w:lastRenderedPageBreak/>
        <w:t>7. Results &amp; Interpretation</w:t>
      </w:r>
    </w:p>
    <w:p w14:paraId="4740E45B" w14:textId="77777777" w:rsidR="00001930" w:rsidRDefault="00000000">
      <w:r>
        <w:t>K-Means with k = 4 partitioned the training set into four distinct segments. By merging the assigned cluster labels back with the customers and transactions tables, we computed explicit statistical profiles for each segment, guaranteeing that our personas are purely evidence-based.</w:t>
      </w:r>
      <w:r>
        <w:br/>
      </w:r>
      <w:r>
        <w:br/>
        <w:t>The final K-Means model achieved a Silhouette Score of 0.2922, indicating reasonably well-separated customer segments.</w:t>
      </w:r>
    </w:p>
    <w:p w14:paraId="1F855C5D" w14:textId="77777777" w:rsidR="00001930" w:rsidRDefault="00000000">
      <w:r>
        <w:t xml:space="preserve">Customer demographics remain broadly similar across the clusters. California and Texas contribute the largest customer base across most segments, suggesting that purchasing </w:t>
      </w:r>
      <w:proofErr w:type="spellStart"/>
      <w:r>
        <w:t>behaviour</w:t>
      </w:r>
      <w:proofErr w:type="spellEnd"/>
      <w:r>
        <w:t>, rather than geography or gender, primarily drives cluster separation. Furthermore, Average Discount Applied (approx. 5%) and Basket Size (approx. 1.4 items) remain uniformly distributed across all clusters, indicating these variables do not drive segmentation.</w:t>
      </w:r>
    </w:p>
    <w:p w14:paraId="5A352570" w14:textId="77777777" w:rsidR="00001930" w:rsidRDefault="00000000">
      <w:pPr>
        <w:pStyle w:val="Heading2"/>
      </w:pPr>
      <w:r>
        <w:t>Cluster Comparison Summary</w:t>
      </w:r>
    </w:p>
    <w:tbl>
      <w:tblPr>
        <w:tblStyle w:val="LightShading-Accent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001930" w14:paraId="24A26701" w14:textId="77777777" w:rsidTr="000019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43EA28BB" w14:textId="77777777" w:rsidR="00001930" w:rsidRDefault="00000000">
            <w:r>
              <w:t>Cluster</w:t>
            </w:r>
          </w:p>
        </w:tc>
        <w:tc>
          <w:tcPr>
            <w:tcW w:w="1170" w:type="dxa"/>
          </w:tcPr>
          <w:p w14:paraId="09296F1F" w14:textId="77777777" w:rsidR="00001930" w:rsidRDefault="00000000">
            <w:pPr>
              <w:cnfStyle w:val="100000000000" w:firstRow="1" w:lastRow="0" w:firstColumn="0" w:lastColumn="0" w:oddVBand="0" w:evenVBand="0" w:oddHBand="0" w:evenHBand="0" w:firstRowFirstColumn="0" w:firstRowLastColumn="0" w:lastRowFirstColumn="0" w:lastRowLastColumn="0"/>
            </w:pPr>
            <w:r>
              <w:t>Persona</w:t>
            </w:r>
          </w:p>
        </w:tc>
        <w:tc>
          <w:tcPr>
            <w:tcW w:w="1170" w:type="dxa"/>
          </w:tcPr>
          <w:p w14:paraId="15989BEE" w14:textId="77777777" w:rsidR="00001930" w:rsidRDefault="00000000">
            <w:pPr>
              <w:cnfStyle w:val="100000000000" w:firstRow="1" w:lastRow="0" w:firstColumn="0" w:lastColumn="0" w:oddVBand="0" w:evenVBand="0" w:oddHBand="0" w:evenHBand="0" w:firstRowFirstColumn="0" w:firstRowLastColumn="0" w:lastRowFirstColumn="0" w:lastRowLastColumn="0"/>
            </w:pPr>
            <w:r>
              <w:t>Count</w:t>
            </w:r>
          </w:p>
        </w:tc>
        <w:tc>
          <w:tcPr>
            <w:tcW w:w="1170" w:type="dxa"/>
          </w:tcPr>
          <w:p w14:paraId="1AA2BE9F" w14:textId="77777777" w:rsidR="00001930" w:rsidRDefault="00000000">
            <w:pPr>
              <w:cnfStyle w:val="100000000000" w:firstRow="1" w:lastRow="0" w:firstColumn="0" w:lastColumn="0" w:oddVBand="0" w:evenVBand="0" w:oddHBand="0" w:evenHBand="0" w:firstRowFirstColumn="0" w:firstRowLastColumn="0" w:lastRowFirstColumn="0" w:lastRowLastColumn="0"/>
            </w:pPr>
            <w:r>
              <w:t>Recency</w:t>
            </w:r>
          </w:p>
        </w:tc>
        <w:tc>
          <w:tcPr>
            <w:tcW w:w="1170" w:type="dxa"/>
          </w:tcPr>
          <w:p w14:paraId="7077A656" w14:textId="77777777" w:rsidR="00001930" w:rsidRDefault="00000000">
            <w:pPr>
              <w:cnfStyle w:val="100000000000" w:firstRow="1" w:lastRow="0" w:firstColumn="0" w:lastColumn="0" w:oddVBand="0" w:evenVBand="0" w:oddHBand="0" w:evenHBand="0" w:firstRowFirstColumn="0" w:firstRowLastColumn="0" w:lastRowFirstColumn="0" w:lastRowLastColumn="0"/>
            </w:pPr>
            <w:r>
              <w:t>Frequency</w:t>
            </w:r>
          </w:p>
        </w:tc>
        <w:tc>
          <w:tcPr>
            <w:tcW w:w="1170" w:type="dxa"/>
          </w:tcPr>
          <w:p w14:paraId="39352382" w14:textId="77777777" w:rsidR="00001930" w:rsidRDefault="00000000">
            <w:pPr>
              <w:cnfStyle w:val="100000000000" w:firstRow="1" w:lastRow="0" w:firstColumn="0" w:lastColumn="0" w:oddVBand="0" w:evenVBand="0" w:oddHBand="0" w:evenHBand="0" w:firstRowFirstColumn="0" w:firstRowLastColumn="0" w:lastRowFirstColumn="0" w:lastRowLastColumn="0"/>
            </w:pPr>
            <w:r>
              <w:t>Monetary</w:t>
            </w:r>
          </w:p>
        </w:tc>
        <w:tc>
          <w:tcPr>
            <w:tcW w:w="1170" w:type="dxa"/>
          </w:tcPr>
          <w:p w14:paraId="46A00C37" w14:textId="77777777" w:rsidR="00001930" w:rsidRDefault="00000000">
            <w:pPr>
              <w:cnfStyle w:val="100000000000" w:firstRow="1" w:lastRow="0" w:firstColumn="0" w:lastColumn="0" w:oddVBand="0" w:evenVBand="0" w:oddHBand="0" w:evenHBand="0" w:firstRowFirstColumn="0" w:firstRowLastColumn="0" w:lastRowFirstColumn="0" w:lastRowLastColumn="0"/>
            </w:pPr>
            <w:r>
              <w:t>Basket Size</w:t>
            </w:r>
          </w:p>
        </w:tc>
        <w:tc>
          <w:tcPr>
            <w:tcW w:w="1170" w:type="dxa"/>
          </w:tcPr>
          <w:p w14:paraId="05017998" w14:textId="77777777" w:rsidR="00001930" w:rsidRDefault="00000000">
            <w:pPr>
              <w:cnfStyle w:val="100000000000" w:firstRow="1" w:lastRow="0" w:firstColumn="0" w:lastColumn="0" w:oddVBand="0" w:evenVBand="0" w:oddHBand="0" w:evenHBand="0" w:firstRowFirstColumn="0" w:firstRowLastColumn="0" w:lastRowFirstColumn="0" w:lastRowLastColumn="0"/>
            </w:pPr>
            <w:r>
              <w:t>Avg Discount</w:t>
            </w:r>
          </w:p>
        </w:tc>
      </w:tr>
    </w:tbl>
    <w:p w14:paraId="05566057" w14:textId="77777777" w:rsidR="00001930" w:rsidRDefault="00000000">
      <w:pPr>
        <w:pStyle w:val="Heading2"/>
      </w:pPr>
      <w:r>
        <w:t>At-Risk / Lapsing</w:t>
      </w:r>
    </w:p>
    <w:p w14:paraId="5DBAAE50" w14:textId="77777777" w:rsidR="00001930" w:rsidRDefault="00000000">
      <w:r>
        <w:t xml:space="preserve">Observed </w:t>
      </w:r>
      <w:proofErr w:type="spellStart"/>
      <w:r>
        <w:t>Behaviour</w:t>
      </w:r>
      <w:proofErr w:type="spellEnd"/>
      <w:r>
        <w:t>: Highly inactive with minimal historical engagement.</w:t>
      </w:r>
    </w:p>
    <w:p w14:paraId="5DBE228E" w14:textId="77777777" w:rsidR="00001930" w:rsidRDefault="00000000">
      <w:r>
        <w:t>Evidence: Records the highest average recency (215.1 days) alongside the lowest frequency (3.0 transactions) and lowest monetary value ($1156.17).</w:t>
      </w:r>
    </w:p>
    <w:p w14:paraId="62408636" w14:textId="77777777" w:rsidR="00001930" w:rsidRDefault="00000000">
      <w:r>
        <w:t>Business Implication: Represents a dormant segment with a high probability of churn, resulting in lost revenue.</w:t>
      </w:r>
    </w:p>
    <w:p w14:paraId="6069C3A5" w14:textId="77777777" w:rsidR="00001930" w:rsidRDefault="00000000">
      <w:r>
        <w:t>Marketing Recommendation: Deploy aggressive targeted win-back campaigns highlighting their preferred categories (Smart Home Devices, Home Decor) to re-engage this dormant audience.</w:t>
      </w:r>
    </w:p>
    <w:p w14:paraId="54837EB6" w14:textId="77777777" w:rsidR="00001930" w:rsidRDefault="00000000">
      <w:pPr>
        <w:pStyle w:val="Heading2"/>
      </w:pPr>
      <w:r>
        <w:t>High-Value Loyalists</w:t>
      </w:r>
    </w:p>
    <w:p w14:paraId="53A0E9ED" w14:textId="77777777" w:rsidR="00001930" w:rsidRDefault="00000000">
      <w:r>
        <w:t xml:space="preserve">Observed </w:t>
      </w:r>
      <w:proofErr w:type="spellStart"/>
      <w:r>
        <w:t>Behaviour</w:t>
      </w:r>
      <w:proofErr w:type="spellEnd"/>
      <w:r>
        <w:t>: Highly engaged, consistent premium spenders.</w:t>
      </w:r>
    </w:p>
    <w:p w14:paraId="5F3B12D2" w14:textId="77777777" w:rsidR="00001930" w:rsidRDefault="00000000">
      <w:r>
        <w:t>Evidence: Demonstrates the highest purchase frequency (13.7 transactions) and maximum monetary spend ($9843.67), primarily focused on Smartphones, Smart Home Devices.</w:t>
      </w:r>
    </w:p>
    <w:p w14:paraId="784DE770" w14:textId="77777777" w:rsidR="00001930" w:rsidRDefault="00000000">
      <w:r>
        <w:t>Business Implication: Crucial for revenue stability and long-term brand advocacy; holds the highest lifetime value.</w:t>
      </w:r>
    </w:p>
    <w:p w14:paraId="5FB4BC21" w14:textId="77777777" w:rsidR="00001930" w:rsidRDefault="00000000">
      <w:r>
        <w:t>Marketing Recommendation: Offer exclusive VIP rewards and early access to new Smartphones, Smart Home Devices releases to reinforce loyalty and retention.</w:t>
      </w:r>
    </w:p>
    <w:p w14:paraId="33A2355A" w14:textId="77777777" w:rsidR="00001930" w:rsidRDefault="00000000">
      <w:pPr>
        <w:pStyle w:val="Heading2"/>
      </w:pPr>
      <w:r>
        <w:t>Occasional Shoppers</w:t>
      </w:r>
    </w:p>
    <w:p w14:paraId="70E57EBB" w14:textId="77777777" w:rsidR="00001930" w:rsidRDefault="00000000">
      <w:r>
        <w:t xml:space="preserve">Observed </w:t>
      </w:r>
      <w:proofErr w:type="spellStart"/>
      <w:r>
        <w:t>Behaviour</w:t>
      </w:r>
      <w:proofErr w:type="spellEnd"/>
      <w:r>
        <w:t>: Infrequent purchasers with moderate overall spend.</w:t>
      </w:r>
    </w:p>
    <w:p w14:paraId="2F3BBF40" w14:textId="77777777" w:rsidR="00001930" w:rsidRDefault="00000000">
      <w:r>
        <w:lastRenderedPageBreak/>
        <w:t>Evidence: Shows high recency (204.2 days) and moderate frequency (7.9 transactions), indicating intermittent engagement with medium monetary contribution ($4976.91).</w:t>
      </w:r>
    </w:p>
    <w:p w14:paraId="2224C2B5" w14:textId="77777777" w:rsidR="00001930" w:rsidRDefault="00000000">
      <w:r>
        <w:t>Business Implication: Provides reliable volume but lacks consistent loyalty; vulnerable to competitor defection.</w:t>
      </w:r>
    </w:p>
    <w:p w14:paraId="774E6607" w14:textId="77777777" w:rsidR="00001930" w:rsidRDefault="00000000">
      <w:r>
        <w:t>Marketing Recommendation: Utilize cross-sell and up-sell promotions and targeted promotional campaigns on Smartphones, Smart Home Devices to incrementally increase purchase frequency.</w:t>
      </w:r>
    </w:p>
    <w:p w14:paraId="15AD174D" w14:textId="77777777" w:rsidR="00001930" w:rsidRDefault="00000000">
      <w:pPr>
        <w:pStyle w:val="Heading2"/>
      </w:pPr>
      <w:r>
        <w:t>New / Emerging</w:t>
      </w:r>
    </w:p>
    <w:p w14:paraId="2C63A916" w14:textId="77777777" w:rsidR="00001930" w:rsidRDefault="00000000">
      <w:r>
        <w:t xml:space="preserve">Observed </w:t>
      </w:r>
      <w:proofErr w:type="spellStart"/>
      <w:r>
        <w:t>Behaviour</w:t>
      </w:r>
      <w:proofErr w:type="spellEnd"/>
      <w:r>
        <w:t>: Recently active customers in the early stages of the customer lifecycle.</w:t>
      </w:r>
    </w:p>
    <w:p w14:paraId="065A68BE" w14:textId="77777777" w:rsidR="00001930" w:rsidRDefault="00000000">
      <w:r>
        <w:t>Evidence: Boasts the lowest recency (35.6 days) indicating very recent purchases, but currently maintains low frequency (5.5 transactions) and lower-tier monetary value ($2869.90).</w:t>
      </w:r>
    </w:p>
    <w:p w14:paraId="5570F9E5" w14:textId="77777777" w:rsidR="00001930" w:rsidRDefault="00000000">
      <w:r>
        <w:t>Business Implication: The future growth engine of the business if properly nurtured into repeat buyers.</w:t>
      </w:r>
    </w:p>
    <w:p w14:paraId="6A2F9ADC" w14:textId="77777777" w:rsidR="00001930" w:rsidRDefault="00000000">
      <w:r>
        <w:t>Marketing Recommendation: Implement onboarding sequences and guided product discovery focused on Smart Home Devices, Smartphones to accelerate their transition into high-value loyalists.</w:t>
      </w:r>
    </w:p>
    <w:p w14:paraId="3F54CD80" w14:textId="77777777" w:rsidR="00001930" w:rsidRDefault="00001930"/>
    <w:p w14:paraId="335C90B3" w14:textId="77777777" w:rsidR="00001930" w:rsidRDefault="00000000">
      <w:r>
        <w:t>Assumptions and risks: These recommendations assume that the synthetic dataset reflects realistic purchasing patterns. In a production setting, recommendations should be validated through A/B testing before full-scale deployment.</w:t>
      </w:r>
    </w:p>
    <w:p w14:paraId="0127FDC5" w14:textId="77777777" w:rsidR="00001930" w:rsidRDefault="00000000">
      <w:pPr>
        <w:pStyle w:val="Heading1"/>
      </w:pPr>
      <w:r>
        <w:t>8. Conclusion</w:t>
      </w:r>
    </w:p>
    <w:p w14:paraId="763F20C4" w14:textId="77777777" w:rsidR="00001930" w:rsidRDefault="00000000">
      <w:r>
        <w:t>This project demonstrated an end-to-end customer segmentation pipeline — from raw multi-table data through cleaning, feature engineering, and K-Means clustering to actionable business personas. The RFM framework proved effective at compressing 32,000+ transactions into a compact, interpretable customer-level representation. Key preprocessing decisions (IQR capping, Box-Cox transformation, leakage-free pipeline) were essential for producing well-separated clusters.</w:t>
      </w:r>
    </w:p>
    <w:p w14:paraId="6ED8F3DD" w14:textId="77777777" w:rsidR="00001930" w:rsidRDefault="00000000">
      <w:r>
        <w:t>The four resulting segments are immediately actionable for differentiated marketing strategies. Future iterations should integrate support ticket data as a post-hoc service quality overlay, explore time-decayed recency metrics, and evaluate non-centroid-based algorithms (DBSCAN, GMM) that can capture non-convex customer groupings.</w:t>
      </w:r>
    </w:p>
    <w:p w14:paraId="141069FC" w14:textId="77777777" w:rsidR="00001930" w:rsidRDefault="00000000">
      <w:pPr>
        <w:pStyle w:val="Heading1"/>
      </w:pPr>
      <w:r>
        <w:t>9. References</w:t>
      </w:r>
    </w:p>
    <w:p w14:paraId="54BEB665" w14:textId="77777777" w:rsidR="00001930" w:rsidRDefault="00000000">
      <w:pPr>
        <w:pStyle w:val="ListBullet"/>
        <w:spacing w:after="80"/>
      </w:pPr>
      <w:r>
        <w:t>Gandhi, R. (n.d.). Retail Customer and Transaction Dataset [Dataset]. Kaggle. https://www.kaggle.com/datasets/raghavendragandhi/retail-customer-and-transaction-dataset</w:t>
      </w:r>
    </w:p>
    <w:sectPr w:rsidR="000019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131375">
    <w:abstractNumId w:val="8"/>
  </w:num>
  <w:num w:numId="2" w16cid:durableId="2141880157">
    <w:abstractNumId w:val="6"/>
  </w:num>
  <w:num w:numId="3" w16cid:durableId="1579632887">
    <w:abstractNumId w:val="5"/>
  </w:num>
  <w:num w:numId="4" w16cid:durableId="2109428354">
    <w:abstractNumId w:val="4"/>
  </w:num>
  <w:num w:numId="5" w16cid:durableId="1969507504">
    <w:abstractNumId w:val="7"/>
  </w:num>
  <w:num w:numId="6" w16cid:durableId="2011131343">
    <w:abstractNumId w:val="3"/>
  </w:num>
  <w:num w:numId="7" w16cid:durableId="95642947">
    <w:abstractNumId w:val="2"/>
  </w:num>
  <w:num w:numId="8" w16cid:durableId="2050109258">
    <w:abstractNumId w:val="1"/>
  </w:num>
  <w:num w:numId="9" w16cid:durableId="34651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30"/>
    <w:rsid w:val="00034616"/>
    <w:rsid w:val="0006063C"/>
    <w:rsid w:val="0015074B"/>
    <w:rsid w:val="0029639D"/>
    <w:rsid w:val="00326F90"/>
    <w:rsid w:val="00384BBF"/>
    <w:rsid w:val="006D60CB"/>
    <w:rsid w:val="007B544A"/>
    <w:rsid w:val="00A24D13"/>
    <w:rsid w:val="00AA1D8D"/>
    <w:rsid w:val="00AD75A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03B7C"/>
  <w14:defaultImageDpi w14:val="300"/>
  <w15:docId w15:val="{B67343EB-1E3E-48AF-8F49-5B1E12DC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Yashvee Ranjan</cp:lastModifiedBy>
  <cp:revision>4</cp:revision>
  <dcterms:created xsi:type="dcterms:W3CDTF">2013-12-23T23:15:00Z</dcterms:created>
  <dcterms:modified xsi:type="dcterms:W3CDTF">2026-07-26T09:10:00Z</dcterms:modified>
  <cp:category/>
</cp:coreProperties>
</file>