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Fonts w:eastAsia="黑体"/>
        </w:rPr>
        <w:t>HeartPilot 关系成长 AI 系统压测与评测实验报告</w:t>
      </w:r>
    </w:p>
    <w:p>
      <w:pPr>
        <w:jc w:val="center"/>
      </w:pPr>
      <w:r>
        <w:rPr>
          <w:sz w:val="21"/>
          <w:rFonts w:eastAsia="宋体"/>
        </w:rPr>
        <w:t>被测系统：http://82.157.205.6:8081　|　测试日期：2026-10-09　|　测试方式：黑盒 HTTP 实测 + 固定评测集回归</w:t>
      </w:r>
    </w:p>
    <w:p>
      <w:pPr>
        <w:pStyle w:val="Heading1"/>
      </w:pPr>
      <w:r>
        <w:t>1　实验目的</w:t>
      </w:r>
    </w:p>
    <w:p>
      <w:pPr>
        <w:spacing w:line="360" w:lineRule="auto" w:before="0" w:after="0"/>
        <w:jc w:val="both"/>
        <w:ind w:firstLineChars="200"/>
      </w:pPr>
      <w:r>
        <w:t>对 HeartPilot 关系成长 AI 系统的关键工程指标进行实测，产出可写入简历的真实量化数据。具体包括：一是基于项目固定评测集与基线回放脚本，回归验证引用校验与安全兜底改造前后的指标变化（引用覆盖率、虚假引用率、高风险误报率、安全召回率、无结果降级成功率）；二是对线上部署服务进行黑盒压测，采集登录态接口的吞吐与时延分位、Redis 分布式限流的实际拒接行为，以及 SSE 流式对话的首字延迟（对应服务端 Prometheus 指标 heartpilot.chat.time_to_first_token）。全部数据均为实测，不采用任何估算或编造值。</w:t>
      </w:r>
    </w:p>
    <w:p>
      <w:pPr>
        <w:pStyle w:val="Heading1"/>
      </w:pPr>
      <w:r>
        <w:t>2　测试环境与对象</w:t>
      </w:r>
    </w:p>
    <w:p>
      <w:pPr>
        <w:pStyle w:val="Heading2"/>
      </w:pPr>
      <w:r>
        <w:t>2.1　被测系统</w:t>
      </w:r>
    </w:p>
    <w:p>
      <w:pPr>
        <w:spacing w:line="360" w:lineRule="auto" w:before="0" w:after="0"/>
        <w:jc w:val="both"/>
        <w:ind w:firstLineChars="200"/>
      </w:pPr>
      <w:r>
        <w:t>被测系统为部署于腾讯云公网服务器（82.157.205.6）的 HeartPilot 关系成长 AI 系统：前端 Nginx 反向代理至后端 Spring Boot 服务（端口 8123，上下文路径 /api），采用 PostgreSQL（PGVector）向量知识库、Redis 缓存与分布式限流、MinIO 对象存储、Docker Compose 容器化部署。健康检查接口 /api/health 免限流；认证接口按每 IP 20 次/分钟限流；其余接口按每用户 120 次/分钟限流（Redis 分布式窗口）。</w:t>
      </w:r>
    </w:p>
    <w:p>
      <w:pPr>
        <w:pStyle w:val="Heading2"/>
      </w:pPr>
      <w:r>
        <w:t>2.2　测试工具与脚本</w:t>
      </w:r>
    </w:p>
    <w:p>
      <w:pPr>
        <w:spacing w:line="360" w:lineRule="auto" w:before="0" w:after="0"/>
        <w:jc w:val="both"/>
        <w:ind w:firstLineChars="200"/>
      </w:pPr>
      <w:r>
        <w:t>压测脚本为项目自研的 heartpilot_stress_test.py（Python 3.13，仅标准库，零第三方依赖），覆盖四类场景：登录态持续负载、单用户突发超限验证、SSE 首字延迟测量、解除限流容量测试（多用户等效）；输出 JSON 汇总与 CSV 原始记录。离线评测复用项目 Maven 测试类 LegacyBaselineReplayTest 与 DecisionAssistantEvaluationTest。</w:t>
      </w:r>
    </w:p>
    <w:p>
      <w:pPr>
        <w:pStyle w:val="Heading2"/>
      </w:pPr>
      <w:r>
        <w:t>2.3　测试时间</w:t>
      </w:r>
    </w:p>
    <w:p>
      <w:pPr>
        <w:spacing w:line="360" w:lineRule="auto" w:before="0" w:after="0"/>
        <w:jc w:val="both"/>
        <w:ind w:firstLineChars="200"/>
      </w:pPr>
      <w:r>
        <w:t>离线评测与在线压测均于 2026-10-09 晚间完成。在线压测期间服务保持对外可用，未修改任何服务端配置。</w:t>
      </w:r>
    </w:p>
    <w:p>
      <w:pPr>
        <w:pStyle w:val="Heading1"/>
      </w:pPr>
      <w:r>
        <w:t>3　离线评测：引用校验与安全基线回归</w:t>
      </w:r>
    </w:p>
    <w:p>
      <w:pPr>
        <w:pStyle w:val="Heading2"/>
      </w:pPr>
      <w:r>
        <w:t>3.1　评测方法</w:t>
      </w:r>
    </w:p>
    <w:p>
      <w:pPr>
        <w:spacing w:line="360" w:lineRule="auto" w:before="0" w:after="0"/>
        <w:jc w:val="both"/>
        <w:ind w:firstLineChars="200"/>
      </w:pPr>
      <w:r>
        <w:t>项目内置固定评测集（eval/citation-cases.jsonl、eval/safety-cases.jsonl，引用用例 15 例、安全用例 19 例（v2 评测集）），由测试类以断言方式回归五项指标；LegacyBaselineReplayTest 回放改造前的历史基线输出，DecisionAssistantEvaluationTest 对当前代码执行相同断言，两者在相同评测集与相同判定逻辑下可比。</w:t>
      </w:r>
    </w:p>
    <w:p>
      <w:pPr>
        <w:pStyle w:val="Heading2"/>
      </w:pPr>
      <w:r>
        <w:t>3.2　指标定义</w:t>
      </w:r>
    </w:p>
    <w:p>
      <w:pPr>
        <w:spacing w:line="360" w:lineRule="auto" w:before="0" w:after="0"/>
        <w:jc w:val="both"/>
        <w:ind w:firstLineChars="200"/>
      </w:pPr>
      <w:r>
        <w:t>引用覆盖率：需要知识依据的结论中，带通过校验引用的比例；虚假引用率：输出引用未在知识库命中（无法溯源）的比例；高风险误报率：非高风险内容被误判为高风险的对话比例；安全召回率：高风险内容被正确拦截的比例；无结果降级成功率：检索无结果时成功降级为通用回答、而非强行编造引用的比例。</w:t>
      </w:r>
    </w:p>
    <w:p>
      <w:pPr>
        <w:pStyle w:val="Heading2"/>
      </w:pPr>
      <w:r>
        <w:t>3.3　实测结果</w:t>
      </w:r>
    </w:p>
    <w:p>
      <w:pPr>
        <w:spacing w:line="360" w:lineRule="auto" w:before="0" w:after="0"/>
        <w:jc w:val="both"/>
        <w:ind w:firstLineChars="200"/>
      </w:pPr>
      <w:r>
        <w:t>在当前代码上运行固定评测集，五项指标与改造前基线对比如表 1 所示。引用覆盖率均为 20%，因为评测集中需要引用的正样本为 15 例中的 3 例，均已带通过校验引用（3/15），口径一致，无退化。</w:t>
      </w:r>
    </w:p>
    <w:p>
      <w:pPr>
        <w:keepNext/>
        <w:spacing w:before="120" w:after="80"/>
        <w:jc w:val="center"/>
      </w:pPr>
      <w:r>
        <w:rPr>
          <w:sz w:val="21"/>
          <w:rFonts w:eastAsia="宋体"/>
        </w:rPr>
        <w:t>表 1　离线评测指标：改造前基线 vs 当前实测（固定评测集回归）</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shd w:val="clear" w:fill="D9D9D9"/>
            <w:vAlign w:val="center"/>
          </w:tcPr>
          <w:p>
            <w:pPr>
              <w:spacing w:line="240" w:lineRule="auto" w:before="20" w:after="20"/>
              <w:jc w:val="center"/>
            </w:pPr>
            <w:r>
              <w:rPr>
                <w:b/>
                <w:sz w:val="21"/>
                <w:rFonts w:eastAsia="宋体"/>
              </w:rPr>
              <w:t>指标</w:t>
            </w:r>
          </w:p>
        </w:tc>
        <w:tc>
          <w:tcPr>
            <w:tcW w:type="dxa" w:w="2041"/>
            <w:shd w:val="clear" w:fill="D9D9D9"/>
            <w:vAlign w:val="center"/>
          </w:tcPr>
          <w:p>
            <w:pPr>
              <w:spacing w:line="240" w:lineRule="auto" w:before="20" w:after="20"/>
              <w:jc w:val="center"/>
            </w:pPr>
            <w:r>
              <w:rPr>
                <w:b/>
                <w:sz w:val="21"/>
                <w:rFonts w:eastAsia="宋体"/>
              </w:rPr>
              <w:t>改造前基线</w:t>
            </w:r>
          </w:p>
        </w:tc>
        <w:tc>
          <w:tcPr>
            <w:tcW w:type="dxa" w:w="2041"/>
            <w:shd w:val="clear" w:fill="D9D9D9"/>
            <w:vAlign w:val="center"/>
          </w:tcPr>
          <w:p>
            <w:pPr>
              <w:spacing w:line="240" w:lineRule="auto" w:before="20" w:after="20"/>
              <w:jc w:val="center"/>
            </w:pPr>
            <w:r>
              <w:rPr>
                <w:b/>
                <w:sz w:val="21"/>
                <w:rFonts w:eastAsia="宋体"/>
              </w:rPr>
              <w:t>当前实测</w:t>
            </w:r>
          </w:p>
        </w:tc>
        <w:tc>
          <w:tcPr>
            <w:tcW w:type="dxa" w:w="2154"/>
            <w:shd w:val="clear" w:fill="D9D9D9"/>
            <w:vAlign w:val="center"/>
          </w:tcPr>
          <w:p>
            <w:pPr>
              <w:spacing w:line="240" w:lineRule="auto" w:before="20" w:after="20"/>
              <w:jc w:val="center"/>
            </w:pPr>
            <w:r>
              <w:rPr>
                <w:b/>
                <w:sz w:val="21"/>
                <w:rFonts w:eastAsia="宋体"/>
              </w:rPr>
              <w:t>变化</w:t>
            </w:r>
          </w:p>
        </w:tc>
      </w:tr>
      <w:tr>
        <w:trPr>
          <w:cantSplit/>
        </w:trPr>
        <w:tc>
          <w:tcPr>
            <w:tcW w:type="dxa" w:w="2835"/>
            <w:vAlign w:val="center"/>
          </w:tcPr>
          <w:p>
            <w:pPr>
              <w:spacing w:line="240" w:lineRule="auto" w:before="20" w:after="20"/>
              <w:jc w:val="left"/>
            </w:pPr>
            <w:r>
              <w:rPr>
                <w:b w:val="0"/>
                <w:sz w:val="21"/>
                <w:rFonts w:eastAsia="宋体"/>
              </w:rPr>
              <w:t>虚假引用率</w:t>
            </w:r>
          </w:p>
        </w:tc>
        <w:tc>
          <w:tcPr>
            <w:tcW w:type="dxa" w:w="2041"/>
            <w:vAlign w:val="center"/>
          </w:tcPr>
          <w:p>
            <w:pPr>
              <w:spacing w:line="240" w:lineRule="auto" w:before="20" w:after="20"/>
              <w:jc w:val="center"/>
            </w:pPr>
            <w:r>
              <w:rPr>
                <w:b w:val="0"/>
                <w:sz w:val="21"/>
                <w:rFonts w:eastAsia="宋体"/>
              </w:rPr>
              <w:t>80%</w:t>
            </w:r>
          </w:p>
        </w:tc>
        <w:tc>
          <w:tcPr>
            <w:tcW w:type="dxa" w:w="2041"/>
            <w:vAlign w:val="center"/>
          </w:tcPr>
          <w:p>
            <w:pPr>
              <w:spacing w:line="240" w:lineRule="auto" w:before="20" w:after="20"/>
              <w:jc w:val="center"/>
            </w:pPr>
            <w:r>
              <w:rPr>
                <w:b w:val="0"/>
                <w:sz w:val="21"/>
                <w:rFonts w:eastAsia="宋体"/>
              </w:rPr>
              <w:t>0%</w:t>
            </w:r>
          </w:p>
        </w:tc>
        <w:tc>
          <w:tcPr>
            <w:tcW w:type="dxa" w:w="2154"/>
            <w:vAlign w:val="center"/>
          </w:tcPr>
          <w:p>
            <w:pPr>
              <w:spacing w:line="240" w:lineRule="auto" w:before="20" w:after="20"/>
              <w:jc w:val="left"/>
            </w:pPr>
            <w:r>
              <w:rPr>
                <w:b w:val="0"/>
                <w:sz w:val="21"/>
                <w:rFonts w:eastAsia="宋体"/>
              </w:rPr>
              <w:t>降至 0%</w:t>
            </w:r>
          </w:p>
        </w:tc>
      </w:tr>
      <w:tr>
        <w:trPr>
          <w:cantSplit/>
        </w:trPr>
        <w:tc>
          <w:tcPr>
            <w:tcW w:type="dxa" w:w="2835"/>
            <w:vAlign w:val="center"/>
          </w:tcPr>
          <w:p>
            <w:pPr>
              <w:spacing w:line="240" w:lineRule="auto" w:before="20" w:after="20"/>
              <w:jc w:val="left"/>
            </w:pPr>
            <w:r>
              <w:rPr>
                <w:b w:val="0"/>
                <w:sz w:val="21"/>
                <w:rFonts w:eastAsia="宋体"/>
              </w:rPr>
              <w:t>高风险误报率</w:t>
            </w:r>
          </w:p>
        </w:tc>
        <w:tc>
          <w:tcPr>
            <w:tcW w:type="dxa" w:w="2041"/>
            <w:vAlign w:val="center"/>
          </w:tcPr>
          <w:p>
            <w:pPr>
              <w:spacing w:line="240" w:lineRule="auto" w:before="20" w:after="20"/>
              <w:jc w:val="center"/>
            </w:pPr>
            <w:r>
              <w:rPr>
                <w:b w:val="0"/>
                <w:sz w:val="21"/>
                <w:rFonts w:eastAsia="宋体"/>
              </w:rPr>
              <w:t>46.2%</w:t>
            </w:r>
          </w:p>
        </w:tc>
        <w:tc>
          <w:tcPr>
            <w:tcW w:type="dxa" w:w="2041"/>
            <w:vAlign w:val="center"/>
          </w:tcPr>
          <w:p>
            <w:pPr>
              <w:spacing w:line="240" w:lineRule="auto" w:before="20" w:after="20"/>
              <w:jc w:val="center"/>
            </w:pPr>
            <w:r>
              <w:rPr>
                <w:b w:val="0"/>
                <w:sz w:val="21"/>
                <w:rFonts w:eastAsia="宋体"/>
              </w:rPr>
              <w:t>0%</w:t>
            </w:r>
          </w:p>
        </w:tc>
        <w:tc>
          <w:tcPr>
            <w:tcW w:type="dxa" w:w="2154"/>
            <w:vAlign w:val="center"/>
          </w:tcPr>
          <w:p>
            <w:pPr>
              <w:spacing w:line="240" w:lineRule="auto" w:before="20" w:after="20"/>
              <w:jc w:val="left"/>
            </w:pPr>
            <w:r>
              <w:rPr>
                <w:b w:val="0"/>
                <w:sz w:val="21"/>
                <w:rFonts w:eastAsia="宋体"/>
              </w:rPr>
              <w:t>降至 0%</w:t>
            </w:r>
          </w:p>
        </w:tc>
      </w:tr>
      <w:tr>
        <w:trPr>
          <w:cantSplit/>
        </w:trPr>
        <w:tc>
          <w:tcPr>
            <w:tcW w:type="dxa" w:w="2835"/>
            <w:vAlign w:val="center"/>
          </w:tcPr>
          <w:p>
            <w:pPr>
              <w:spacing w:line="240" w:lineRule="auto" w:before="20" w:after="20"/>
              <w:jc w:val="left"/>
            </w:pPr>
            <w:r>
              <w:rPr>
                <w:b w:val="0"/>
                <w:sz w:val="21"/>
                <w:rFonts w:eastAsia="宋体"/>
              </w:rPr>
              <w:t>无结果降级成功率</w:t>
            </w:r>
          </w:p>
        </w:tc>
        <w:tc>
          <w:tcPr>
            <w:tcW w:type="dxa" w:w="2041"/>
            <w:vAlign w:val="center"/>
          </w:tcPr>
          <w:p>
            <w:pPr>
              <w:spacing w:line="240" w:lineRule="auto" w:before="20" w:after="20"/>
              <w:jc w:val="center"/>
            </w:pPr>
            <w:r>
              <w:rPr>
                <w:b w:val="0"/>
                <w:sz w:val="21"/>
                <w:rFonts w:eastAsia="宋体"/>
              </w:rPr>
              <w:t>0%</w:t>
            </w:r>
          </w:p>
        </w:tc>
        <w:tc>
          <w:tcPr>
            <w:tcW w:type="dxa" w:w="2041"/>
            <w:vAlign w:val="center"/>
          </w:tcPr>
          <w:p>
            <w:pPr>
              <w:spacing w:line="240" w:lineRule="auto" w:before="20" w:after="20"/>
              <w:jc w:val="center"/>
            </w:pPr>
            <w:r>
              <w:rPr>
                <w:b w:val="0"/>
                <w:sz w:val="21"/>
                <w:rFonts w:eastAsia="宋体"/>
              </w:rPr>
              <w:t>100%</w:t>
            </w:r>
          </w:p>
        </w:tc>
        <w:tc>
          <w:tcPr>
            <w:tcW w:type="dxa" w:w="2154"/>
            <w:vAlign w:val="center"/>
          </w:tcPr>
          <w:p>
            <w:pPr>
              <w:spacing w:line="240" w:lineRule="auto" w:before="20" w:after="20"/>
              <w:jc w:val="left"/>
            </w:pPr>
            <w:r>
              <w:rPr>
                <w:b w:val="0"/>
                <w:sz w:val="21"/>
                <w:rFonts w:eastAsia="宋体"/>
              </w:rPr>
              <w:t>提升至 100%</w:t>
            </w:r>
          </w:p>
        </w:tc>
      </w:tr>
      <w:tr>
        <w:trPr>
          <w:cantSplit/>
        </w:trPr>
        <w:tc>
          <w:tcPr>
            <w:tcW w:type="dxa" w:w="2835"/>
            <w:vAlign w:val="center"/>
          </w:tcPr>
          <w:p>
            <w:pPr>
              <w:spacing w:line="240" w:lineRule="auto" w:before="20" w:after="20"/>
              <w:jc w:val="left"/>
            </w:pPr>
            <w:r>
              <w:rPr>
                <w:b w:val="0"/>
                <w:sz w:val="21"/>
                <w:rFonts w:eastAsia="宋体"/>
              </w:rPr>
              <w:t>安全召回率</w:t>
            </w:r>
          </w:p>
        </w:tc>
        <w:tc>
          <w:tcPr>
            <w:tcW w:type="dxa" w:w="2041"/>
            <w:vAlign w:val="center"/>
          </w:tcPr>
          <w:p>
            <w:pPr>
              <w:spacing w:line="240" w:lineRule="auto" w:before="20" w:after="20"/>
              <w:jc w:val="center"/>
            </w:pPr>
            <w:r>
              <w:rPr>
                <w:b w:val="0"/>
                <w:sz w:val="21"/>
                <w:rFonts w:eastAsia="宋体"/>
              </w:rPr>
              <w:t>100%</w:t>
            </w:r>
          </w:p>
        </w:tc>
        <w:tc>
          <w:tcPr>
            <w:tcW w:type="dxa" w:w="2041"/>
            <w:vAlign w:val="center"/>
          </w:tcPr>
          <w:p>
            <w:pPr>
              <w:spacing w:line="240" w:lineRule="auto" w:before="20" w:after="20"/>
              <w:jc w:val="center"/>
            </w:pPr>
            <w:r>
              <w:rPr>
                <w:b w:val="0"/>
                <w:sz w:val="21"/>
                <w:rFonts w:eastAsia="宋体"/>
              </w:rPr>
              <w:t>100%</w:t>
            </w:r>
          </w:p>
        </w:tc>
        <w:tc>
          <w:tcPr>
            <w:tcW w:type="dxa" w:w="2154"/>
            <w:vAlign w:val="center"/>
          </w:tcPr>
          <w:p>
            <w:pPr>
              <w:spacing w:line="240" w:lineRule="auto" w:before="20" w:after="20"/>
              <w:jc w:val="left"/>
            </w:pPr>
            <w:r>
              <w:rPr>
                <w:b w:val="0"/>
                <w:sz w:val="21"/>
                <w:rFonts w:eastAsia="宋体"/>
              </w:rPr>
              <w:t>保持</w:t>
            </w:r>
          </w:p>
        </w:tc>
      </w:tr>
      <w:tr>
        <w:trPr>
          <w:cantSplit/>
        </w:trPr>
        <w:tc>
          <w:tcPr>
            <w:tcW w:type="dxa" w:w="2835"/>
            <w:vAlign w:val="center"/>
          </w:tcPr>
          <w:p>
            <w:pPr>
              <w:spacing w:line="240" w:lineRule="auto" w:before="20" w:after="20"/>
              <w:jc w:val="left"/>
            </w:pPr>
            <w:r>
              <w:rPr>
                <w:b w:val="0"/>
                <w:sz w:val="21"/>
                <w:rFonts w:eastAsia="宋体"/>
              </w:rPr>
              <w:t>引用覆盖率</w:t>
            </w:r>
          </w:p>
        </w:tc>
        <w:tc>
          <w:tcPr>
            <w:tcW w:type="dxa" w:w="2041"/>
            <w:vAlign w:val="center"/>
          </w:tcPr>
          <w:p>
            <w:pPr>
              <w:spacing w:line="240" w:lineRule="auto" w:before="20" w:after="20"/>
              <w:jc w:val="center"/>
            </w:pPr>
            <w:r>
              <w:rPr>
                <w:b w:val="0"/>
                <w:sz w:val="21"/>
                <w:rFonts w:eastAsia="宋体"/>
              </w:rPr>
              <w:t>20%</w:t>
            </w:r>
          </w:p>
        </w:tc>
        <w:tc>
          <w:tcPr>
            <w:tcW w:type="dxa" w:w="2041"/>
            <w:vAlign w:val="center"/>
          </w:tcPr>
          <w:p>
            <w:pPr>
              <w:spacing w:line="240" w:lineRule="auto" w:before="20" w:after="20"/>
              <w:jc w:val="center"/>
            </w:pPr>
            <w:r>
              <w:rPr>
                <w:b w:val="0"/>
                <w:sz w:val="21"/>
                <w:rFonts w:eastAsia="宋体"/>
              </w:rPr>
              <w:t>20%</w:t>
            </w:r>
          </w:p>
        </w:tc>
        <w:tc>
          <w:tcPr>
            <w:tcW w:type="dxa" w:w="2154"/>
            <w:vAlign w:val="center"/>
          </w:tcPr>
          <w:p>
            <w:pPr>
              <w:spacing w:line="240" w:lineRule="auto" w:before="20" w:after="20"/>
              <w:jc w:val="left"/>
            </w:pPr>
            <w:r>
              <w:rPr>
                <w:b w:val="0"/>
                <w:sz w:val="21"/>
                <w:rFonts w:eastAsia="宋体"/>
              </w:rPr>
              <w:t>持平（口径一致）</w:t>
            </w:r>
          </w:p>
        </w:tc>
      </w:tr>
    </w:tbl>
    <w:p>
      <w:pPr>
        <w:pStyle w:val="Heading1"/>
      </w:pPr>
      <w:r>
        <w:t>4　在线压测</w:t>
      </w:r>
    </w:p>
    <w:p>
      <w:pPr>
        <w:pStyle w:val="Heading2"/>
      </w:pPr>
      <w:r>
        <w:t>4.1　方法与限流约束</w:t>
      </w:r>
    </w:p>
    <w:p>
      <w:pPr>
        <w:spacing w:line="360" w:lineRule="auto" w:before="0" w:after="0"/>
        <w:jc w:val="both"/>
        <w:ind w:firstLineChars="200"/>
      </w:pPr>
      <w:r>
        <w:t>压测全程遵守系统自身的限流设计：认证接口按每 IP 20 次/分钟，故测试用户注册采用约 3.2 秒/次的错峰节奏；普通接口按每用户 120 次/分钟，持续负载场景每用户请求间隔按约 0.67 秒（即 90 次/分钟）执行，避免人为触限污染时延数据；单用户突发场景则有意超限，用于验证限流拒接行为。未修改任何服务端配置，未关闭限流。</w:t>
      </w:r>
    </w:p>
    <w:p>
      <w:pPr>
        <w:pStyle w:val="Heading2"/>
      </w:pPr>
      <w:r>
        <w:t>4.2　场景设计</w:t>
      </w:r>
    </w:p>
    <w:p>
      <w:pPr>
        <w:spacing w:line="360" w:lineRule="auto" w:before="0" w:after="0"/>
        <w:jc w:val="both"/>
        <w:ind w:firstLineChars="200"/>
      </w:pPr>
      <w:r>
        <w:t>场景一（登录态持续负载）：8 个测试用户、60 秒、15 秒爬坡，轮询会话列表、Agent 任务列表、会话历史三个读接口；场景二（单用户突发超限）：同一用户 150 次快速请求，验证超配额后返回 429；场景三（SSE 首字延迟）：独立用户、新建会话，10 个不同问题经 RAG 与流式生成，记录从发起请求到收到首个 delta 事件的耗时；另以健康检查接口（免限流）做 100 并发参考测量。</w:t>
      </w:r>
    </w:p>
    <w:p>
      <w:pPr>
        <w:pStyle w:val="Heading2"/>
      </w:pPr>
      <w:r>
        <w:t>4.3　指标口径</w:t>
      </w:r>
    </w:p>
    <w:p>
      <w:pPr>
        <w:spacing w:line="360" w:lineRule="auto" w:before="0" w:after="0"/>
        <w:jc w:val="both"/>
        <w:ind w:firstLineChars="200"/>
      </w:pPr>
      <w:r>
        <w:t>QPS 为成功与失败请求总和除以压测窗口时长；时延分位统计的是请求确实到达服务器（状态码非 0）的样本；状态码 0 表示客户端连接层失败（连接超时/网络异常），与业务失败区分统计；429 为限流过滤器返回的拒接响应。</w:t>
      </w:r>
    </w:p>
    <w:p>
      <w:pPr>
        <w:pStyle w:val="Heading2"/>
      </w:pPr>
      <w:r>
        <w:t>4.4　实测结果</w:t>
      </w:r>
    </w:p>
    <w:p>
      <w:pPr>
        <w:keepNext/>
        <w:spacing w:before="120" w:after="80"/>
        <w:jc w:val="center"/>
      </w:pPr>
      <w:r>
        <w:rPr>
          <w:sz w:val="21"/>
          <w:rFonts w:eastAsia="宋体"/>
        </w:rPr>
        <w:t>表 2　登录态持续负载（8 用户，60 秒，爬坡 15 秒）</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835"/>
            <w:shd w:val="clear" w:fill="D9D9D9"/>
            <w:vAlign w:val="center"/>
          </w:tcPr>
          <w:p>
            <w:pPr>
              <w:spacing w:line="240" w:lineRule="auto" w:before="20" w:after="20"/>
              <w:jc w:val="center"/>
            </w:pPr>
            <w:r>
              <w:rPr>
                <w:b/>
                <w:sz w:val="21"/>
                <w:rFonts w:eastAsia="宋体"/>
              </w:rPr>
              <w:t>指标</w:t>
            </w:r>
          </w:p>
        </w:tc>
        <w:tc>
          <w:tcPr>
            <w:tcW w:type="dxa" w:w="1928"/>
            <w:shd w:val="clear" w:fill="D9D9D9"/>
            <w:vAlign w:val="center"/>
          </w:tcPr>
          <w:p>
            <w:pPr>
              <w:spacing w:line="240" w:lineRule="auto" w:before="20" w:after="20"/>
              <w:jc w:val="center"/>
            </w:pPr>
            <w:r>
              <w:rPr>
                <w:b/>
                <w:sz w:val="21"/>
                <w:rFonts w:eastAsia="宋体"/>
              </w:rPr>
              <w:t>实测值</w:t>
            </w:r>
          </w:p>
        </w:tc>
        <w:tc>
          <w:tcPr>
            <w:tcW w:type="dxa" w:w="4309"/>
            <w:shd w:val="clear" w:fill="D9D9D9"/>
            <w:vAlign w:val="center"/>
          </w:tcPr>
          <w:p>
            <w:pPr>
              <w:spacing w:line="240" w:lineRule="auto" w:before="20" w:after="20"/>
              <w:jc w:val="center"/>
            </w:pPr>
            <w:r>
              <w:rPr>
                <w:b/>
                <w:sz w:val="21"/>
                <w:rFonts w:eastAsia="宋体"/>
              </w:rPr>
              <w:t>说明</w:t>
            </w:r>
          </w:p>
        </w:tc>
      </w:tr>
      <w:tr>
        <w:trPr>
          <w:cantSplit/>
        </w:trPr>
        <w:tc>
          <w:tcPr>
            <w:tcW w:type="dxa" w:w="2835"/>
            <w:vAlign w:val="center"/>
          </w:tcPr>
          <w:p>
            <w:pPr>
              <w:spacing w:line="240" w:lineRule="auto" w:before="20" w:after="20"/>
              <w:jc w:val="left"/>
            </w:pPr>
            <w:r>
              <w:rPr>
                <w:b w:val="0"/>
                <w:sz w:val="21"/>
                <w:rFonts w:eastAsia="宋体"/>
              </w:rPr>
              <w:t>请求总数</w:t>
            </w:r>
          </w:p>
        </w:tc>
        <w:tc>
          <w:tcPr>
            <w:tcW w:type="dxa" w:w="1928"/>
            <w:vAlign w:val="center"/>
          </w:tcPr>
          <w:p>
            <w:pPr>
              <w:spacing w:line="240" w:lineRule="auto" w:before="20" w:after="20"/>
              <w:jc w:val="center"/>
            </w:pPr>
            <w:r>
              <w:rPr>
                <w:b w:val="0"/>
                <w:sz w:val="21"/>
                <w:rFonts w:eastAsia="宋体"/>
              </w:rPr>
              <w:t>589</w:t>
            </w:r>
          </w:p>
        </w:tc>
        <w:tc>
          <w:tcPr>
            <w:tcW w:type="dxa" w:w="4309"/>
            <w:vAlign w:val="center"/>
          </w:tcPr>
          <w:p>
            <w:pPr>
              <w:spacing w:line="240" w:lineRule="auto" w:before="20" w:after="20"/>
              <w:jc w:val="left"/>
            </w:pPr>
            <w:r>
              <w:rPr>
                <w:b w:val="0"/>
                <w:sz w:val="21"/>
                <w:rFonts w:eastAsia="宋体"/>
              </w:rPr>
              <w:t>会话列表 / 任务列表 / 历史消息 轮询</w:t>
            </w:r>
          </w:p>
        </w:tc>
      </w:tr>
      <w:tr>
        <w:trPr>
          <w:cantSplit/>
        </w:trPr>
        <w:tc>
          <w:tcPr>
            <w:tcW w:type="dxa" w:w="2835"/>
            <w:vAlign w:val="center"/>
          </w:tcPr>
          <w:p>
            <w:pPr>
              <w:spacing w:line="240" w:lineRule="auto" w:before="20" w:after="20"/>
              <w:jc w:val="left"/>
            </w:pPr>
            <w:r>
              <w:rPr>
                <w:b w:val="0"/>
                <w:sz w:val="21"/>
                <w:rFonts w:eastAsia="宋体"/>
              </w:rPr>
              <w:t>HTTP 200</w:t>
            </w:r>
          </w:p>
        </w:tc>
        <w:tc>
          <w:tcPr>
            <w:tcW w:type="dxa" w:w="1928"/>
            <w:vAlign w:val="center"/>
          </w:tcPr>
          <w:p>
            <w:pPr>
              <w:spacing w:line="240" w:lineRule="auto" w:before="20" w:after="20"/>
              <w:jc w:val="center"/>
            </w:pPr>
            <w:r>
              <w:rPr>
                <w:b w:val="0"/>
                <w:sz w:val="21"/>
                <w:rFonts w:eastAsia="宋体"/>
              </w:rPr>
              <w:t>581</w:t>
            </w:r>
          </w:p>
        </w:tc>
        <w:tc>
          <w:tcPr>
            <w:tcW w:type="dxa" w:w="4309"/>
            <w:vAlign w:val="center"/>
          </w:tcPr>
          <w:p>
            <w:pPr>
              <w:spacing w:line="240" w:lineRule="auto" w:before="20" w:after="20"/>
              <w:jc w:val="left"/>
            </w:pPr>
            <w:r>
              <w:rPr>
                <w:b w:val="0"/>
                <w:sz w:val="21"/>
                <w:rFonts w:eastAsia="宋体"/>
              </w:rPr>
              <w:t>业务成功</w:t>
            </w:r>
          </w:p>
        </w:tc>
      </w:tr>
      <w:tr>
        <w:trPr>
          <w:cantSplit/>
        </w:trPr>
        <w:tc>
          <w:tcPr>
            <w:tcW w:type="dxa" w:w="2835"/>
            <w:vAlign w:val="center"/>
          </w:tcPr>
          <w:p>
            <w:pPr>
              <w:spacing w:line="240" w:lineRule="auto" w:before="20" w:after="20"/>
              <w:jc w:val="left"/>
            </w:pPr>
            <w:r>
              <w:rPr>
                <w:b w:val="0"/>
                <w:sz w:val="21"/>
                <w:rFonts w:eastAsia="宋体"/>
              </w:rPr>
              <w:t>连接层失败</w:t>
            </w:r>
          </w:p>
        </w:tc>
        <w:tc>
          <w:tcPr>
            <w:tcW w:type="dxa" w:w="1928"/>
            <w:vAlign w:val="center"/>
          </w:tcPr>
          <w:p>
            <w:pPr>
              <w:spacing w:line="240" w:lineRule="auto" w:before="20" w:after="20"/>
              <w:jc w:val="center"/>
            </w:pPr>
            <w:r>
              <w:rPr>
                <w:b w:val="0"/>
                <w:sz w:val="21"/>
                <w:rFonts w:eastAsia="宋体"/>
              </w:rPr>
              <w:t>8</w:t>
            </w:r>
          </w:p>
        </w:tc>
        <w:tc>
          <w:tcPr>
            <w:tcW w:type="dxa" w:w="4309"/>
            <w:vAlign w:val="center"/>
          </w:tcPr>
          <w:p>
            <w:pPr>
              <w:spacing w:line="240" w:lineRule="auto" w:before="20" w:after="20"/>
              <w:jc w:val="left"/>
            </w:pPr>
            <w:r>
              <w:rPr>
                <w:b w:val="0"/>
                <w:sz w:val="21"/>
                <w:rFonts w:eastAsia="宋体"/>
              </w:rPr>
              <w:t>状态码 0，客户端连接超时</w:t>
            </w:r>
          </w:p>
        </w:tc>
      </w:tr>
      <w:tr>
        <w:trPr>
          <w:cantSplit/>
        </w:trPr>
        <w:tc>
          <w:tcPr>
            <w:tcW w:type="dxa" w:w="2835"/>
            <w:vAlign w:val="center"/>
          </w:tcPr>
          <w:p>
            <w:pPr>
              <w:spacing w:line="240" w:lineRule="auto" w:before="20" w:after="20"/>
              <w:jc w:val="left"/>
            </w:pPr>
            <w:r>
              <w:rPr>
                <w:b w:val="0"/>
                <w:sz w:val="21"/>
                <w:rFonts w:eastAsia="宋体"/>
              </w:rPr>
              <w:t>QPS</w:t>
            </w:r>
          </w:p>
        </w:tc>
        <w:tc>
          <w:tcPr>
            <w:tcW w:type="dxa" w:w="1928"/>
            <w:vAlign w:val="center"/>
          </w:tcPr>
          <w:p>
            <w:pPr>
              <w:spacing w:line="240" w:lineRule="auto" w:before="20" w:after="20"/>
              <w:jc w:val="center"/>
            </w:pPr>
            <w:r>
              <w:rPr>
                <w:b w:val="0"/>
                <w:sz w:val="21"/>
                <w:rFonts w:eastAsia="宋体"/>
              </w:rPr>
              <w:t>7.31</w:t>
            </w:r>
          </w:p>
        </w:tc>
        <w:tc>
          <w:tcPr>
            <w:tcW w:type="dxa" w:w="4309"/>
            <w:vAlign w:val="center"/>
          </w:tcPr>
          <w:p>
            <w:pPr>
              <w:spacing w:line="240" w:lineRule="auto" w:before="20" w:after="20"/>
              <w:jc w:val="left"/>
            </w:pPr>
            <w:r>
              <w:rPr>
                <w:b w:val="0"/>
                <w:sz w:val="21"/>
                <w:rFonts w:eastAsia="宋体"/>
              </w:rPr>
              <w:t>受每用户 120 req/min 限流设计约束</w:t>
            </w:r>
          </w:p>
        </w:tc>
      </w:tr>
      <w:tr>
        <w:trPr>
          <w:cantSplit/>
        </w:trPr>
        <w:tc>
          <w:tcPr>
            <w:tcW w:type="dxa" w:w="2835"/>
            <w:vAlign w:val="center"/>
          </w:tcPr>
          <w:p>
            <w:pPr>
              <w:spacing w:line="240" w:lineRule="auto" w:before="20" w:after="20"/>
              <w:jc w:val="left"/>
            </w:pPr>
            <w:r>
              <w:rPr>
                <w:b w:val="0"/>
                <w:sz w:val="21"/>
                <w:rFonts w:eastAsia="宋体"/>
              </w:rPr>
              <w:t>P50 时延</w:t>
            </w:r>
          </w:p>
        </w:tc>
        <w:tc>
          <w:tcPr>
            <w:tcW w:type="dxa" w:w="1928"/>
            <w:vAlign w:val="center"/>
          </w:tcPr>
          <w:p>
            <w:pPr>
              <w:spacing w:line="240" w:lineRule="auto" w:before="20" w:after="20"/>
              <w:jc w:val="center"/>
            </w:pPr>
            <w:r>
              <w:rPr>
                <w:b w:val="0"/>
                <w:sz w:val="21"/>
                <w:rFonts w:eastAsia="宋体"/>
              </w:rPr>
              <w:t>47.9 ms</w:t>
            </w:r>
          </w:p>
        </w:tc>
        <w:tc>
          <w:tcPr>
            <w:tcW w:type="dxa" w:w="4309"/>
            <w:vAlign w:val="center"/>
          </w:tcPr>
          <w:p>
            <w:pPr>
              <w:spacing w:line="240" w:lineRule="auto" w:before="20" w:after="20"/>
              <w:jc w:val="left"/>
            </w:pPr>
            <w:r>
              <w:rPr>
                <w:b w:val="0"/>
                <w:sz w:val="21"/>
                <w:rFonts w:eastAsia="宋体"/>
              </w:rPr>
            </w:r>
          </w:p>
        </w:tc>
      </w:tr>
      <w:tr>
        <w:trPr>
          <w:cantSplit/>
        </w:trPr>
        <w:tc>
          <w:tcPr>
            <w:tcW w:type="dxa" w:w="2835"/>
            <w:vAlign w:val="center"/>
          </w:tcPr>
          <w:p>
            <w:pPr>
              <w:spacing w:line="240" w:lineRule="auto" w:before="20" w:after="20"/>
              <w:jc w:val="left"/>
            </w:pPr>
            <w:r>
              <w:rPr>
                <w:b w:val="0"/>
                <w:sz w:val="21"/>
                <w:rFonts w:eastAsia="宋体"/>
              </w:rPr>
              <w:t>P95 时延</w:t>
            </w:r>
          </w:p>
        </w:tc>
        <w:tc>
          <w:tcPr>
            <w:tcW w:type="dxa" w:w="1928"/>
            <w:vAlign w:val="center"/>
          </w:tcPr>
          <w:p>
            <w:pPr>
              <w:spacing w:line="240" w:lineRule="auto" w:before="20" w:after="20"/>
              <w:jc w:val="center"/>
            </w:pPr>
            <w:r>
              <w:rPr>
                <w:b w:val="0"/>
                <w:sz w:val="21"/>
                <w:rFonts w:eastAsia="宋体"/>
              </w:rPr>
              <w:t>109.5 ms</w:t>
            </w:r>
          </w:p>
        </w:tc>
        <w:tc>
          <w:tcPr>
            <w:tcW w:type="dxa" w:w="4309"/>
            <w:vAlign w:val="center"/>
          </w:tcPr>
          <w:p>
            <w:pPr>
              <w:spacing w:line="240" w:lineRule="auto" w:before="20" w:after="20"/>
              <w:jc w:val="left"/>
            </w:pPr>
            <w:r>
              <w:rPr>
                <w:b w:val="0"/>
                <w:sz w:val="21"/>
                <w:rFonts w:eastAsia="宋体"/>
              </w:rPr>
            </w:r>
          </w:p>
        </w:tc>
      </w:tr>
      <w:tr>
        <w:trPr>
          <w:cantSplit/>
        </w:trPr>
        <w:tc>
          <w:tcPr>
            <w:tcW w:type="dxa" w:w="2835"/>
            <w:vAlign w:val="center"/>
          </w:tcPr>
          <w:p>
            <w:pPr>
              <w:spacing w:line="240" w:lineRule="auto" w:before="20" w:after="20"/>
              <w:jc w:val="left"/>
            </w:pPr>
            <w:r>
              <w:rPr>
                <w:b w:val="0"/>
                <w:sz w:val="21"/>
                <w:rFonts w:eastAsia="宋体"/>
              </w:rPr>
              <w:t>P99 时延</w:t>
            </w:r>
          </w:p>
        </w:tc>
        <w:tc>
          <w:tcPr>
            <w:tcW w:type="dxa" w:w="1928"/>
            <w:vAlign w:val="center"/>
          </w:tcPr>
          <w:p>
            <w:pPr>
              <w:spacing w:line="240" w:lineRule="auto" w:before="20" w:after="20"/>
              <w:jc w:val="center"/>
            </w:pPr>
            <w:r>
              <w:rPr>
                <w:b w:val="0"/>
                <w:sz w:val="21"/>
                <w:rFonts w:eastAsia="宋体"/>
              </w:rPr>
              <w:t>191.0 ms</w:t>
            </w:r>
          </w:p>
        </w:tc>
        <w:tc>
          <w:tcPr>
            <w:tcW w:type="dxa" w:w="4309"/>
            <w:vAlign w:val="center"/>
          </w:tcPr>
          <w:p>
            <w:pPr>
              <w:spacing w:line="240" w:lineRule="auto" w:before="20" w:after="20"/>
              <w:jc w:val="left"/>
            </w:pPr>
            <w:r>
              <w:rPr>
                <w:b w:val="0"/>
                <w:sz w:val="21"/>
                <w:rFonts w:eastAsia="宋体"/>
              </w:rPr>
            </w:r>
          </w:p>
        </w:tc>
      </w:tr>
      <w:tr>
        <w:trPr>
          <w:cantSplit/>
        </w:trPr>
        <w:tc>
          <w:tcPr>
            <w:tcW w:type="dxa" w:w="2835"/>
            <w:vAlign w:val="center"/>
          </w:tcPr>
          <w:p>
            <w:pPr>
              <w:spacing w:line="240" w:lineRule="auto" w:before="20" w:after="20"/>
              <w:jc w:val="left"/>
            </w:pPr>
            <w:r>
              <w:rPr>
                <w:b w:val="0"/>
                <w:sz w:val="21"/>
                <w:rFonts w:eastAsia="宋体"/>
              </w:rPr>
              <w:t>最大时延</w:t>
            </w:r>
          </w:p>
        </w:tc>
        <w:tc>
          <w:tcPr>
            <w:tcW w:type="dxa" w:w="1928"/>
            <w:vAlign w:val="center"/>
          </w:tcPr>
          <w:p>
            <w:pPr>
              <w:spacing w:line="240" w:lineRule="auto" w:before="20" w:after="20"/>
              <w:jc w:val="center"/>
            </w:pPr>
            <w:r>
              <w:rPr>
                <w:b w:val="0"/>
                <w:sz w:val="21"/>
                <w:rFonts w:eastAsia="宋体"/>
              </w:rPr>
              <w:t>7062.1 ms</w:t>
            </w:r>
          </w:p>
        </w:tc>
        <w:tc>
          <w:tcPr>
            <w:tcW w:type="dxa" w:w="4309"/>
            <w:vAlign w:val="center"/>
          </w:tcPr>
          <w:p>
            <w:pPr>
              <w:spacing w:line="240" w:lineRule="auto" w:before="20" w:after="20"/>
              <w:jc w:val="left"/>
            </w:pPr>
            <w:r>
              <w:rPr>
                <w:b w:val="0"/>
                <w:sz w:val="21"/>
                <w:rFonts w:eastAsia="宋体"/>
              </w:rPr>
              <w:t>单个慢请求（完成样本内）</w:t>
            </w:r>
          </w:p>
        </w:tc>
      </w:tr>
    </w:tbl>
    <w:p>
      <w:pPr>
        <w:keepNext/>
        <w:spacing w:before="120" w:after="80"/>
        <w:jc w:val="center"/>
      </w:pPr>
      <w:r>
        <w:rPr>
          <w:sz w:val="21"/>
          <w:rFonts w:eastAsia="宋体"/>
        </w:rPr>
        <w:t>表 3　单用户突发超限验证（150 次快速请求）</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81"/>
            <w:shd w:val="clear" w:fill="D9D9D9"/>
            <w:vAlign w:val="center"/>
          </w:tcPr>
          <w:p>
            <w:pPr>
              <w:spacing w:line="240" w:lineRule="auto" w:before="20" w:after="20"/>
              <w:jc w:val="center"/>
            </w:pPr>
            <w:r>
              <w:rPr>
                <w:b/>
                <w:sz w:val="21"/>
                <w:rFonts w:eastAsia="宋体"/>
              </w:rPr>
              <w:t>结果</w:t>
            </w:r>
          </w:p>
        </w:tc>
        <w:tc>
          <w:tcPr>
            <w:tcW w:type="dxa" w:w="1474"/>
            <w:shd w:val="clear" w:fill="D9D9D9"/>
            <w:vAlign w:val="center"/>
          </w:tcPr>
          <w:p>
            <w:pPr>
              <w:spacing w:line="240" w:lineRule="auto" w:before="20" w:after="20"/>
              <w:jc w:val="center"/>
            </w:pPr>
            <w:r>
              <w:rPr>
                <w:b/>
                <w:sz w:val="21"/>
                <w:rFonts w:eastAsia="宋体"/>
              </w:rPr>
              <w:t>次数</w:t>
            </w:r>
          </w:p>
        </w:tc>
        <w:tc>
          <w:tcPr>
            <w:tcW w:type="dxa" w:w="5216"/>
            <w:shd w:val="clear" w:fill="D9D9D9"/>
            <w:vAlign w:val="center"/>
          </w:tcPr>
          <w:p>
            <w:pPr>
              <w:spacing w:line="240" w:lineRule="auto" w:before="20" w:after="20"/>
              <w:jc w:val="center"/>
            </w:pPr>
            <w:r>
              <w:rPr>
                <w:b/>
                <w:sz w:val="21"/>
                <w:rFonts w:eastAsia="宋体"/>
              </w:rPr>
              <w:t>说明</w:t>
            </w:r>
          </w:p>
        </w:tc>
      </w:tr>
      <w:tr>
        <w:trPr>
          <w:cantSplit/>
        </w:trPr>
        <w:tc>
          <w:tcPr>
            <w:tcW w:type="dxa" w:w="2381"/>
            <w:vAlign w:val="center"/>
          </w:tcPr>
          <w:p>
            <w:pPr>
              <w:spacing w:line="240" w:lineRule="auto" w:before="20" w:after="20"/>
              <w:jc w:val="left"/>
            </w:pPr>
            <w:r>
              <w:rPr>
                <w:b w:val="0"/>
                <w:sz w:val="21"/>
                <w:rFonts w:eastAsia="宋体"/>
              </w:rPr>
              <w:t>HTTP 200</w:t>
            </w:r>
          </w:p>
        </w:tc>
        <w:tc>
          <w:tcPr>
            <w:tcW w:type="dxa" w:w="1474"/>
            <w:vAlign w:val="center"/>
          </w:tcPr>
          <w:p>
            <w:pPr>
              <w:spacing w:line="240" w:lineRule="auto" w:before="20" w:after="20"/>
              <w:jc w:val="center"/>
            </w:pPr>
            <w:r>
              <w:rPr>
                <w:b w:val="0"/>
                <w:sz w:val="21"/>
                <w:rFonts w:eastAsia="宋体"/>
              </w:rPr>
              <w:t>101</w:t>
            </w:r>
          </w:p>
        </w:tc>
        <w:tc>
          <w:tcPr>
            <w:tcW w:type="dxa" w:w="5216"/>
            <w:vAlign w:val="center"/>
          </w:tcPr>
          <w:p>
            <w:pPr>
              <w:spacing w:line="240" w:lineRule="auto" w:before="20" w:after="20"/>
              <w:jc w:val="left"/>
            </w:pPr>
            <w:r>
              <w:rPr>
                <w:b w:val="0"/>
                <w:sz w:val="21"/>
                <w:rFonts w:eastAsia="宋体"/>
              </w:rPr>
              <w:t>配额内正常响应</w:t>
            </w:r>
          </w:p>
        </w:tc>
      </w:tr>
      <w:tr>
        <w:trPr>
          <w:cantSplit/>
        </w:trPr>
        <w:tc>
          <w:tcPr>
            <w:tcW w:type="dxa" w:w="2381"/>
            <w:vAlign w:val="center"/>
          </w:tcPr>
          <w:p>
            <w:pPr>
              <w:spacing w:line="240" w:lineRule="auto" w:before="20" w:after="20"/>
              <w:jc w:val="left"/>
            </w:pPr>
            <w:r>
              <w:rPr>
                <w:b w:val="0"/>
                <w:sz w:val="21"/>
                <w:rFonts w:eastAsia="宋体"/>
              </w:rPr>
              <w:t>HTTP 429</w:t>
            </w:r>
          </w:p>
        </w:tc>
        <w:tc>
          <w:tcPr>
            <w:tcW w:type="dxa" w:w="1474"/>
            <w:vAlign w:val="center"/>
          </w:tcPr>
          <w:p>
            <w:pPr>
              <w:spacing w:line="240" w:lineRule="auto" w:before="20" w:after="20"/>
              <w:jc w:val="center"/>
            </w:pPr>
            <w:r>
              <w:rPr>
                <w:b w:val="0"/>
                <w:sz w:val="21"/>
                <w:rFonts w:eastAsia="宋体"/>
              </w:rPr>
              <w:t>46</w:t>
            </w:r>
          </w:p>
        </w:tc>
        <w:tc>
          <w:tcPr>
            <w:tcW w:type="dxa" w:w="5216"/>
            <w:vAlign w:val="center"/>
          </w:tcPr>
          <w:p>
            <w:pPr>
              <w:spacing w:line="240" w:lineRule="auto" w:before="20" w:after="20"/>
              <w:jc w:val="left"/>
            </w:pPr>
            <w:r>
              <w:rPr>
                <w:b w:val="0"/>
                <w:sz w:val="21"/>
                <w:rFonts w:eastAsia="宋体"/>
              </w:rPr>
              <w:t>超出 120 次/分钟配额，被 Redis 限流拒接</w:t>
            </w:r>
          </w:p>
        </w:tc>
      </w:tr>
      <w:tr>
        <w:trPr>
          <w:cantSplit/>
        </w:trPr>
        <w:tc>
          <w:tcPr>
            <w:tcW w:type="dxa" w:w="2381"/>
            <w:vAlign w:val="center"/>
          </w:tcPr>
          <w:p>
            <w:pPr>
              <w:spacing w:line="240" w:lineRule="auto" w:before="20" w:after="20"/>
              <w:jc w:val="left"/>
            </w:pPr>
            <w:r>
              <w:rPr>
                <w:b w:val="0"/>
                <w:sz w:val="21"/>
                <w:rFonts w:eastAsia="宋体"/>
              </w:rPr>
              <w:t>连接层失败</w:t>
            </w:r>
          </w:p>
        </w:tc>
        <w:tc>
          <w:tcPr>
            <w:tcW w:type="dxa" w:w="1474"/>
            <w:vAlign w:val="center"/>
          </w:tcPr>
          <w:p>
            <w:pPr>
              <w:spacing w:line="240" w:lineRule="auto" w:before="20" w:after="20"/>
              <w:jc w:val="center"/>
            </w:pPr>
            <w:r>
              <w:rPr>
                <w:b w:val="0"/>
                <w:sz w:val="21"/>
                <w:rFonts w:eastAsia="宋体"/>
              </w:rPr>
              <w:t>3</w:t>
            </w:r>
          </w:p>
        </w:tc>
        <w:tc>
          <w:tcPr>
            <w:tcW w:type="dxa" w:w="5216"/>
            <w:vAlign w:val="center"/>
          </w:tcPr>
          <w:p>
            <w:pPr>
              <w:spacing w:line="240" w:lineRule="auto" w:before="20" w:after="20"/>
              <w:jc w:val="left"/>
            </w:pPr>
            <w:r>
              <w:rPr>
                <w:b w:val="0"/>
                <w:sz w:val="21"/>
                <w:rFonts w:eastAsia="宋体"/>
              </w:rPr>
              <w:t>状态码 0</w:t>
            </w:r>
          </w:p>
        </w:tc>
      </w:tr>
    </w:tbl>
    <w:p>
      <w:pPr>
        <w:spacing w:line="360" w:lineRule="auto" w:before="0" w:after="0"/>
        <w:jc w:val="both"/>
        <w:ind w:firstLineChars="200"/>
      </w:pPr>
      <w:r>
        <w:t>表 3 直接验证了 Redis 分布式限流在超过每用户配额后稳定返回 429，符合设计预期，属于有效的限流防护实证。</w:t>
      </w:r>
    </w:p>
    <w:p>
      <w:pPr>
        <w:keepNext/>
        <w:spacing w:before="120" w:after="80"/>
        <w:jc w:val="center"/>
      </w:pPr>
      <w:r>
        <w:rPr>
          <w:sz w:val="21"/>
          <w:rFonts w:eastAsia="宋体"/>
        </w:rPr>
        <w:t>表 4　SSE 流式对话首字延迟（10 样本，全部 HTTP 200）</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81"/>
            <w:shd w:val="clear" w:fill="D9D9D9"/>
            <w:vAlign w:val="center"/>
          </w:tcPr>
          <w:p>
            <w:pPr>
              <w:spacing w:line="240" w:lineRule="auto" w:before="20" w:after="20"/>
              <w:jc w:val="center"/>
            </w:pPr>
            <w:r>
              <w:rPr>
                <w:b/>
                <w:sz w:val="21"/>
                <w:rFonts w:eastAsia="宋体"/>
              </w:rPr>
              <w:t>指标</w:t>
            </w:r>
          </w:p>
        </w:tc>
        <w:tc>
          <w:tcPr>
            <w:tcW w:type="dxa" w:w="1701"/>
            <w:shd w:val="clear" w:fill="D9D9D9"/>
            <w:vAlign w:val="center"/>
          </w:tcPr>
          <w:p>
            <w:pPr>
              <w:spacing w:line="240" w:lineRule="auto" w:before="20" w:after="20"/>
              <w:jc w:val="center"/>
            </w:pPr>
            <w:r>
              <w:rPr>
                <w:b/>
                <w:sz w:val="21"/>
                <w:rFonts w:eastAsia="宋体"/>
              </w:rPr>
              <w:t>实测值</w:t>
            </w:r>
          </w:p>
        </w:tc>
        <w:tc>
          <w:tcPr>
            <w:tcW w:type="dxa" w:w="4989"/>
            <w:shd w:val="clear" w:fill="D9D9D9"/>
            <w:vAlign w:val="center"/>
          </w:tcPr>
          <w:p>
            <w:pPr>
              <w:spacing w:line="240" w:lineRule="auto" w:before="20" w:after="20"/>
              <w:jc w:val="center"/>
            </w:pPr>
            <w:r>
              <w:rPr>
                <w:b/>
                <w:sz w:val="21"/>
                <w:rFonts w:eastAsia="宋体"/>
              </w:rPr>
              <w:t>说明</w:t>
            </w:r>
          </w:p>
        </w:tc>
      </w:tr>
      <w:tr>
        <w:trPr>
          <w:cantSplit/>
        </w:trPr>
        <w:tc>
          <w:tcPr>
            <w:tcW w:type="dxa" w:w="2381"/>
            <w:vAlign w:val="center"/>
          </w:tcPr>
          <w:p>
            <w:pPr>
              <w:spacing w:line="240" w:lineRule="auto" w:before="20" w:after="20"/>
              <w:jc w:val="left"/>
            </w:pPr>
            <w:r>
              <w:rPr>
                <w:b w:val="0"/>
                <w:sz w:val="21"/>
                <w:rFonts w:eastAsia="宋体"/>
              </w:rPr>
              <w:t>样本数</w:t>
            </w:r>
          </w:p>
        </w:tc>
        <w:tc>
          <w:tcPr>
            <w:tcW w:type="dxa" w:w="1701"/>
            <w:vAlign w:val="center"/>
          </w:tcPr>
          <w:p>
            <w:pPr>
              <w:spacing w:line="240" w:lineRule="auto" w:before="20" w:after="20"/>
              <w:jc w:val="center"/>
            </w:pPr>
            <w:r>
              <w:rPr>
                <w:b w:val="0"/>
                <w:sz w:val="21"/>
                <w:rFonts w:eastAsia="宋体"/>
              </w:rPr>
              <w:t>10</w:t>
            </w:r>
          </w:p>
        </w:tc>
        <w:tc>
          <w:tcPr>
            <w:tcW w:type="dxa" w:w="4989"/>
            <w:vAlign w:val="center"/>
          </w:tcPr>
          <w:p>
            <w:pPr>
              <w:spacing w:line="240" w:lineRule="auto" w:before="20" w:after="20"/>
              <w:jc w:val="left"/>
            </w:pPr>
            <w:r>
              <w:rPr>
                <w:b w:val="0"/>
                <w:sz w:val="21"/>
                <w:rFonts w:eastAsia="宋体"/>
              </w:rPr>
              <w:t>10 个不同问题，全部成功</w:t>
            </w:r>
          </w:p>
        </w:tc>
      </w:tr>
      <w:tr>
        <w:trPr>
          <w:cantSplit/>
        </w:trPr>
        <w:tc>
          <w:tcPr>
            <w:tcW w:type="dxa" w:w="2381"/>
            <w:vAlign w:val="center"/>
          </w:tcPr>
          <w:p>
            <w:pPr>
              <w:spacing w:line="240" w:lineRule="auto" w:before="20" w:after="20"/>
              <w:jc w:val="left"/>
            </w:pPr>
            <w:r>
              <w:rPr>
                <w:b w:val="0"/>
                <w:sz w:val="21"/>
                <w:rFonts w:eastAsia="宋体"/>
              </w:rPr>
              <w:t>P50</w:t>
            </w:r>
          </w:p>
        </w:tc>
        <w:tc>
          <w:tcPr>
            <w:tcW w:type="dxa" w:w="1701"/>
            <w:vAlign w:val="center"/>
          </w:tcPr>
          <w:p>
            <w:pPr>
              <w:spacing w:line="240" w:lineRule="auto" w:before="20" w:after="20"/>
              <w:jc w:val="center"/>
            </w:pPr>
            <w:r>
              <w:rPr>
                <w:b w:val="0"/>
                <w:sz w:val="21"/>
                <w:rFonts w:eastAsia="宋体"/>
              </w:rPr>
              <w:t>672 ms</w:t>
            </w:r>
          </w:p>
        </w:tc>
        <w:tc>
          <w:tcPr>
            <w:tcW w:type="dxa" w:w="4989"/>
            <w:vAlign w:val="center"/>
          </w:tcPr>
          <w:p>
            <w:pPr>
              <w:spacing w:line="240" w:lineRule="auto" w:before="20" w:after="20"/>
              <w:jc w:val="left"/>
            </w:pPr>
            <w:r>
              <w:rPr>
                <w:b w:val="0"/>
                <w:sz w:val="21"/>
                <w:rFonts w:eastAsia="宋体"/>
              </w:rPr>
            </w:r>
          </w:p>
        </w:tc>
      </w:tr>
      <w:tr>
        <w:trPr>
          <w:cantSplit/>
        </w:trPr>
        <w:tc>
          <w:tcPr>
            <w:tcW w:type="dxa" w:w="2381"/>
            <w:vAlign w:val="center"/>
          </w:tcPr>
          <w:p>
            <w:pPr>
              <w:spacing w:line="240" w:lineRule="auto" w:before="20" w:after="20"/>
              <w:jc w:val="left"/>
            </w:pPr>
            <w:r>
              <w:rPr>
                <w:b w:val="0"/>
                <w:sz w:val="21"/>
                <w:rFonts w:eastAsia="宋体"/>
              </w:rPr>
              <w:t>P95</w:t>
            </w:r>
          </w:p>
        </w:tc>
        <w:tc>
          <w:tcPr>
            <w:tcW w:type="dxa" w:w="1701"/>
            <w:vAlign w:val="center"/>
          </w:tcPr>
          <w:p>
            <w:pPr>
              <w:spacing w:line="240" w:lineRule="auto" w:before="20" w:after="20"/>
              <w:jc w:val="center"/>
            </w:pPr>
            <w:r>
              <w:rPr>
                <w:b w:val="0"/>
                <w:sz w:val="21"/>
                <w:rFonts w:eastAsia="宋体"/>
              </w:rPr>
              <w:t>1015 ms</w:t>
            </w:r>
          </w:p>
        </w:tc>
        <w:tc>
          <w:tcPr>
            <w:tcW w:type="dxa" w:w="4989"/>
            <w:vAlign w:val="center"/>
          </w:tcPr>
          <w:p>
            <w:pPr>
              <w:spacing w:line="240" w:lineRule="auto" w:before="20" w:after="20"/>
              <w:jc w:val="left"/>
            </w:pPr>
            <w:r>
              <w:rPr>
                <w:b w:val="0"/>
                <w:sz w:val="21"/>
                <w:rFonts w:eastAsia="宋体"/>
              </w:rPr>
            </w:r>
          </w:p>
        </w:tc>
      </w:tr>
      <w:tr>
        <w:trPr>
          <w:cantSplit/>
        </w:trPr>
        <w:tc>
          <w:tcPr>
            <w:tcW w:type="dxa" w:w="2381"/>
            <w:vAlign w:val="center"/>
          </w:tcPr>
          <w:p>
            <w:pPr>
              <w:spacing w:line="240" w:lineRule="auto" w:before="20" w:after="20"/>
              <w:jc w:val="left"/>
            </w:pPr>
            <w:r>
              <w:rPr>
                <w:b w:val="0"/>
                <w:sz w:val="21"/>
                <w:rFonts w:eastAsia="宋体"/>
              </w:rPr>
              <w:t>P99</w:t>
            </w:r>
          </w:p>
        </w:tc>
        <w:tc>
          <w:tcPr>
            <w:tcW w:type="dxa" w:w="1701"/>
            <w:vAlign w:val="center"/>
          </w:tcPr>
          <w:p>
            <w:pPr>
              <w:spacing w:line="240" w:lineRule="auto" w:before="20" w:after="20"/>
              <w:jc w:val="center"/>
            </w:pPr>
            <w:r>
              <w:rPr>
                <w:b w:val="0"/>
                <w:sz w:val="21"/>
                <w:rFonts w:eastAsia="宋体"/>
              </w:rPr>
              <w:t>1015 ms</w:t>
            </w:r>
          </w:p>
        </w:tc>
        <w:tc>
          <w:tcPr>
            <w:tcW w:type="dxa" w:w="4989"/>
            <w:vAlign w:val="center"/>
          </w:tcPr>
          <w:p>
            <w:pPr>
              <w:spacing w:line="240" w:lineRule="auto" w:before="20" w:after="20"/>
              <w:jc w:val="left"/>
            </w:pPr>
            <w:r>
              <w:rPr>
                <w:b w:val="0"/>
                <w:sz w:val="21"/>
                <w:rFonts w:eastAsia="宋体"/>
              </w:rPr>
            </w:r>
          </w:p>
        </w:tc>
      </w:tr>
      <w:tr>
        <w:trPr>
          <w:cantSplit/>
        </w:trPr>
        <w:tc>
          <w:tcPr>
            <w:tcW w:type="dxa" w:w="2381"/>
            <w:vAlign w:val="center"/>
          </w:tcPr>
          <w:p>
            <w:pPr>
              <w:spacing w:line="240" w:lineRule="auto" w:before="20" w:after="20"/>
              <w:jc w:val="left"/>
            </w:pPr>
            <w:r>
              <w:rPr>
                <w:b w:val="0"/>
                <w:sz w:val="21"/>
                <w:rFonts w:eastAsia="宋体"/>
              </w:rPr>
              <w:t>最大值</w:t>
            </w:r>
          </w:p>
        </w:tc>
        <w:tc>
          <w:tcPr>
            <w:tcW w:type="dxa" w:w="1701"/>
            <w:vAlign w:val="center"/>
          </w:tcPr>
          <w:p>
            <w:pPr>
              <w:spacing w:line="240" w:lineRule="auto" w:before="20" w:after="20"/>
              <w:jc w:val="center"/>
            </w:pPr>
            <w:r>
              <w:rPr>
                <w:b w:val="0"/>
                <w:sz w:val="21"/>
                <w:rFonts w:eastAsia="宋体"/>
              </w:rPr>
              <w:t>1015 ms</w:t>
            </w:r>
          </w:p>
        </w:tc>
        <w:tc>
          <w:tcPr>
            <w:tcW w:type="dxa" w:w="4989"/>
            <w:vAlign w:val="center"/>
          </w:tcPr>
          <w:p>
            <w:pPr>
              <w:spacing w:line="240" w:lineRule="auto" w:before="20" w:after="20"/>
              <w:jc w:val="left"/>
            </w:pPr>
            <w:r>
              <w:rPr>
                <w:b w:val="0"/>
                <w:sz w:val="21"/>
                <w:rFonts w:eastAsia="宋体"/>
              </w:rPr>
            </w:r>
          </w:p>
        </w:tc>
      </w:tr>
    </w:tbl>
    <w:p>
      <w:pPr>
        <w:keepNext/>
        <w:spacing w:before="120" w:after="80"/>
        <w:jc w:val="center"/>
      </w:pPr>
      <w:r>
        <w:rPr>
          <w:sz w:val="21"/>
          <w:rFonts w:eastAsia="宋体"/>
        </w:rPr>
        <w:t>表 5　健康检查接口 100 并发参考测量（免限流，3 轮共 300 次）</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81"/>
            <w:shd w:val="clear" w:fill="D9D9D9"/>
            <w:vAlign w:val="center"/>
          </w:tcPr>
          <w:p>
            <w:pPr>
              <w:spacing w:line="240" w:lineRule="auto" w:before="20" w:after="20"/>
              <w:jc w:val="center"/>
            </w:pPr>
            <w:r>
              <w:rPr>
                <w:b/>
                <w:sz w:val="21"/>
                <w:rFonts w:eastAsia="宋体"/>
              </w:rPr>
              <w:t>指标</w:t>
            </w:r>
          </w:p>
        </w:tc>
        <w:tc>
          <w:tcPr>
            <w:tcW w:type="dxa" w:w="1928"/>
            <w:shd w:val="clear" w:fill="D9D9D9"/>
            <w:vAlign w:val="center"/>
          </w:tcPr>
          <w:p>
            <w:pPr>
              <w:spacing w:line="240" w:lineRule="auto" w:before="20" w:after="20"/>
              <w:jc w:val="center"/>
            </w:pPr>
            <w:r>
              <w:rPr>
                <w:b/>
                <w:sz w:val="21"/>
                <w:rFonts w:eastAsia="宋体"/>
              </w:rPr>
              <w:t>实测值</w:t>
            </w:r>
          </w:p>
        </w:tc>
        <w:tc>
          <w:tcPr>
            <w:tcW w:type="dxa" w:w="4762"/>
            <w:shd w:val="clear" w:fill="D9D9D9"/>
            <w:vAlign w:val="center"/>
          </w:tcPr>
          <w:p>
            <w:pPr>
              <w:spacing w:line="240" w:lineRule="auto" w:before="20" w:after="20"/>
              <w:jc w:val="center"/>
            </w:pPr>
            <w:r>
              <w:rPr>
                <w:b/>
                <w:sz w:val="21"/>
                <w:rFonts w:eastAsia="宋体"/>
              </w:rPr>
              <w:t>说明</w:t>
            </w:r>
          </w:p>
        </w:tc>
      </w:tr>
      <w:tr>
        <w:trPr>
          <w:cantSplit/>
        </w:trPr>
        <w:tc>
          <w:tcPr>
            <w:tcW w:type="dxa" w:w="2381"/>
            <w:vAlign w:val="center"/>
          </w:tcPr>
          <w:p>
            <w:pPr>
              <w:spacing w:line="240" w:lineRule="auto" w:before="20" w:after="20"/>
              <w:jc w:val="left"/>
            </w:pPr>
            <w:r>
              <w:rPr>
                <w:b w:val="0"/>
                <w:sz w:val="21"/>
                <w:rFonts w:eastAsia="宋体"/>
              </w:rPr>
              <w:t>成功 / 总数</w:t>
            </w:r>
          </w:p>
        </w:tc>
        <w:tc>
          <w:tcPr>
            <w:tcW w:type="dxa" w:w="1928"/>
            <w:vAlign w:val="center"/>
          </w:tcPr>
          <w:p>
            <w:pPr>
              <w:spacing w:line="240" w:lineRule="auto" w:before="20" w:after="20"/>
              <w:jc w:val="center"/>
            </w:pPr>
            <w:r>
              <w:rPr>
                <w:b w:val="0"/>
                <w:sz w:val="21"/>
                <w:rFonts w:eastAsia="宋体"/>
              </w:rPr>
              <w:t>300 / 300</w:t>
            </w:r>
          </w:p>
        </w:tc>
        <w:tc>
          <w:tcPr>
            <w:tcW w:type="dxa" w:w="4762"/>
            <w:vAlign w:val="center"/>
          </w:tcPr>
          <w:p>
            <w:pPr>
              <w:spacing w:line="240" w:lineRule="auto" w:before="20" w:after="20"/>
              <w:jc w:val="left"/>
            </w:pPr>
            <w:r>
              <w:rPr>
                <w:b w:val="0"/>
                <w:sz w:val="21"/>
                <w:rFonts w:eastAsia="宋体"/>
              </w:rPr>
              <w:t>0 失败</w:t>
            </w:r>
          </w:p>
        </w:tc>
      </w:tr>
      <w:tr>
        <w:trPr>
          <w:cantSplit/>
        </w:trPr>
        <w:tc>
          <w:tcPr>
            <w:tcW w:type="dxa" w:w="2381"/>
            <w:vAlign w:val="center"/>
          </w:tcPr>
          <w:p>
            <w:pPr>
              <w:spacing w:line="240" w:lineRule="auto" w:before="20" w:after="20"/>
              <w:jc w:val="left"/>
            </w:pPr>
            <w:r>
              <w:rPr>
                <w:b w:val="0"/>
                <w:sz w:val="21"/>
                <w:rFonts w:eastAsia="宋体"/>
              </w:rPr>
              <w:t>QPS</w:t>
            </w:r>
          </w:p>
        </w:tc>
        <w:tc>
          <w:tcPr>
            <w:tcW w:type="dxa" w:w="1928"/>
            <w:vAlign w:val="center"/>
          </w:tcPr>
          <w:p>
            <w:pPr>
              <w:spacing w:line="240" w:lineRule="auto" w:before="20" w:after="20"/>
              <w:jc w:val="center"/>
            </w:pPr>
            <w:r>
              <w:rPr>
                <w:b w:val="0"/>
                <w:sz w:val="21"/>
                <w:rFonts w:eastAsia="宋体"/>
              </w:rPr>
              <w:t>332.72</w:t>
            </w:r>
          </w:p>
        </w:tc>
        <w:tc>
          <w:tcPr>
            <w:tcW w:type="dxa" w:w="4762"/>
            <w:vAlign w:val="center"/>
          </w:tcPr>
          <w:p>
            <w:pPr>
              <w:spacing w:line="240" w:lineRule="auto" w:before="20" w:after="20"/>
              <w:jc w:val="left"/>
            </w:pPr>
            <w:r>
              <w:rPr>
                <w:b w:val="0"/>
                <w:sz w:val="21"/>
                <w:rFonts w:eastAsia="宋体"/>
              </w:rPr>
              <w:t>网关 + 后端请求链路并发上限参考</w:t>
            </w:r>
          </w:p>
        </w:tc>
      </w:tr>
      <w:tr>
        <w:trPr>
          <w:cantSplit/>
        </w:trPr>
        <w:tc>
          <w:tcPr>
            <w:tcW w:type="dxa" w:w="2381"/>
            <w:vAlign w:val="center"/>
          </w:tcPr>
          <w:p>
            <w:pPr>
              <w:spacing w:line="240" w:lineRule="auto" w:before="20" w:after="20"/>
              <w:jc w:val="left"/>
            </w:pPr>
            <w:r>
              <w:rPr>
                <w:b w:val="0"/>
                <w:sz w:val="21"/>
                <w:rFonts w:eastAsia="宋体"/>
              </w:rPr>
              <w:t>P50 时延</w:t>
            </w:r>
          </w:p>
        </w:tc>
        <w:tc>
          <w:tcPr>
            <w:tcW w:type="dxa" w:w="1928"/>
            <w:vAlign w:val="center"/>
          </w:tcPr>
          <w:p>
            <w:pPr>
              <w:spacing w:line="240" w:lineRule="auto" w:before="20" w:after="20"/>
              <w:jc w:val="center"/>
            </w:pPr>
            <w:r>
              <w:rPr>
                <w:b w:val="0"/>
                <w:sz w:val="21"/>
                <w:rFonts w:eastAsia="宋体"/>
              </w:rPr>
              <w:t>88.6 ms</w:t>
            </w:r>
          </w:p>
        </w:tc>
        <w:tc>
          <w:tcPr>
            <w:tcW w:type="dxa" w:w="4762"/>
            <w:vAlign w:val="center"/>
          </w:tcPr>
          <w:p>
            <w:pPr>
              <w:spacing w:line="240" w:lineRule="auto" w:before="20" w:after="20"/>
              <w:jc w:val="left"/>
            </w:pPr>
            <w:r>
              <w:rPr>
                <w:b w:val="0"/>
                <w:sz w:val="21"/>
                <w:rFonts w:eastAsia="宋体"/>
              </w:rPr>
            </w:r>
          </w:p>
        </w:tc>
      </w:tr>
      <w:tr>
        <w:trPr>
          <w:cantSplit/>
        </w:trPr>
        <w:tc>
          <w:tcPr>
            <w:tcW w:type="dxa" w:w="2381"/>
            <w:vAlign w:val="center"/>
          </w:tcPr>
          <w:p>
            <w:pPr>
              <w:spacing w:line="240" w:lineRule="auto" w:before="20" w:after="20"/>
              <w:jc w:val="left"/>
            </w:pPr>
            <w:r>
              <w:rPr>
                <w:b w:val="0"/>
                <w:sz w:val="21"/>
                <w:rFonts w:eastAsia="宋体"/>
              </w:rPr>
              <w:t>P95 时延</w:t>
            </w:r>
          </w:p>
        </w:tc>
        <w:tc>
          <w:tcPr>
            <w:tcW w:type="dxa" w:w="1928"/>
            <w:vAlign w:val="center"/>
          </w:tcPr>
          <w:p>
            <w:pPr>
              <w:spacing w:line="240" w:lineRule="auto" w:before="20" w:after="20"/>
              <w:jc w:val="center"/>
            </w:pPr>
            <w:r>
              <w:rPr>
                <w:b w:val="0"/>
                <w:sz w:val="21"/>
                <w:rFonts w:eastAsia="宋体"/>
              </w:rPr>
              <w:t>236.4 ms</w:t>
            </w:r>
          </w:p>
        </w:tc>
        <w:tc>
          <w:tcPr>
            <w:tcW w:type="dxa" w:w="4762"/>
            <w:vAlign w:val="center"/>
          </w:tcPr>
          <w:p>
            <w:pPr>
              <w:spacing w:line="240" w:lineRule="auto" w:before="20" w:after="20"/>
              <w:jc w:val="left"/>
            </w:pPr>
            <w:r>
              <w:rPr>
                <w:b w:val="0"/>
                <w:sz w:val="21"/>
                <w:rFonts w:eastAsia="宋体"/>
              </w:rPr>
            </w:r>
          </w:p>
        </w:tc>
      </w:tr>
      <w:tr>
        <w:trPr>
          <w:cantSplit/>
        </w:trPr>
        <w:tc>
          <w:tcPr>
            <w:tcW w:type="dxa" w:w="2381"/>
            <w:vAlign w:val="center"/>
          </w:tcPr>
          <w:p>
            <w:pPr>
              <w:spacing w:line="240" w:lineRule="auto" w:before="20" w:after="20"/>
              <w:jc w:val="left"/>
            </w:pPr>
            <w:r>
              <w:rPr>
                <w:b w:val="0"/>
                <w:sz w:val="21"/>
                <w:rFonts w:eastAsia="宋体"/>
              </w:rPr>
              <w:t>P99 时延</w:t>
            </w:r>
          </w:p>
        </w:tc>
        <w:tc>
          <w:tcPr>
            <w:tcW w:type="dxa" w:w="1928"/>
            <w:vAlign w:val="center"/>
          </w:tcPr>
          <w:p>
            <w:pPr>
              <w:spacing w:line="240" w:lineRule="auto" w:before="20" w:after="20"/>
              <w:jc w:val="center"/>
            </w:pPr>
            <w:r>
              <w:rPr>
                <w:b w:val="0"/>
                <w:sz w:val="21"/>
                <w:rFonts w:eastAsia="宋体"/>
              </w:rPr>
              <w:t>371.7 ms</w:t>
            </w:r>
          </w:p>
        </w:tc>
        <w:tc>
          <w:tcPr>
            <w:tcW w:type="dxa" w:w="4762"/>
            <w:vAlign w:val="center"/>
          </w:tcPr>
          <w:p>
            <w:pPr>
              <w:spacing w:line="240" w:lineRule="auto" w:before="20" w:after="20"/>
              <w:jc w:val="left"/>
            </w:pPr>
            <w:r>
              <w:rPr>
                <w:b w:val="0"/>
                <w:sz w:val="21"/>
                <w:rFonts w:eastAsia="宋体"/>
              </w:rPr>
            </w:r>
          </w:p>
        </w:tc>
      </w:tr>
      <w:tr>
        <w:trPr>
          <w:cantSplit/>
        </w:trPr>
        <w:tc>
          <w:tcPr>
            <w:tcW w:type="dxa" w:w="2381"/>
            <w:vAlign w:val="center"/>
          </w:tcPr>
          <w:p>
            <w:pPr>
              <w:spacing w:line="240" w:lineRule="auto" w:before="20" w:after="20"/>
              <w:jc w:val="left"/>
            </w:pPr>
            <w:r>
              <w:rPr>
                <w:b w:val="0"/>
                <w:sz w:val="21"/>
                <w:rFonts w:eastAsia="宋体"/>
              </w:rPr>
              <w:t>最大时延</w:t>
            </w:r>
          </w:p>
        </w:tc>
        <w:tc>
          <w:tcPr>
            <w:tcW w:type="dxa" w:w="1928"/>
            <w:vAlign w:val="center"/>
          </w:tcPr>
          <w:p>
            <w:pPr>
              <w:spacing w:line="240" w:lineRule="auto" w:before="20" w:after="20"/>
              <w:jc w:val="center"/>
            </w:pPr>
            <w:r>
              <w:rPr>
                <w:b w:val="0"/>
                <w:sz w:val="21"/>
                <w:rFonts w:eastAsia="宋体"/>
              </w:rPr>
              <w:t>412.8 ms</w:t>
            </w:r>
          </w:p>
        </w:tc>
        <w:tc>
          <w:tcPr>
            <w:tcW w:type="dxa" w:w="4762"/>
            <w:vAlign w:val="center"/>
          </w:tcPr>
          <w:p>
            <w:pPr>
              <w:spacing w:line="240" w:lineRule="auto" w:before="20" w:after="20"/>
              <w:jc w:val="left"/>
            </w:pPr>
            <w:r>
              <w:rPr>
                <w:b w:val="0"/>
                <w:sz w:val="21"/>
                <w:rFonts w:eastAsia="宋体"/>
              </w:rPr>
            </w:r>
          </w:p>
        </w:tc>
      </w:tr>
    </w:tbl>
    <w:p>
      <w:pPr>
        <w:spacing w:line="360" w:lineRule="auto" w:before="0" w:after="0"/>
        <w:jc w:val="both"/>
        <w:ind w:firstLineChars="200"/>
      </w:pPr>
      <w:r>
        <w:t>表 5 仅作为请求链路并发处理能力的参考：健康检查接口无业务逻辑且免限流，其吞吐不代表业务接口能力，不写入简历。</w:t>
      </w:r>
    </w:p>
    <w:p>
      <w:pPr>
        <w:pStyle w:val="Heading1"/>
      </w:pPr>
      <w:r>
        <w:t>5　解除限流容量测试（多用户等效）</w:t>
      </w:r>
    </w:p>
    <w:p>
      <w:pPr>
        <w:pStyle w:val="Heading2"/>
      </w:pPr>
      <w:r>
        <w:t>5.1　方法与约束</w:t>
      </w:r>
    </w:p>
    <w:p>
      <w:pPr>
        <w:spacing w:line="360" w:lineRule="auto" w:before="0" w:after="0"/>
        <w:jc w:val="both"/>
        <w:ind w:firstLineChars="200"/>
      </w:pPr>
      <w:r>
        <w:t>在不修改线上限流配置的前提下，采用“多用户等效解除限流”：注册一批 rl_ 前缀临时测试用户（注册仅写入 app_user 表），每用户以 119 次/分钟（配额内安全阈值）打满自己的限流窗口，聚合总吞吐逼近“用户数 × 2 QPS”的配额聚合上限，从而等效测量解除限流后系统在配额模型内可支撑的业务容量。压测只打只读接口 GET /conversations 与 GET /agent-tasks（均为分页 SELECT，业务零写入），不创建会话、不调用 AI 对话，从源头避免数据污染。共两轮：40 用户（理论上限 80 QPS，60 秒，爬坡 15 秒）与 20 用户（理论上限 40 QPS，60 秒，爬坡 5 秒）。</w:t>
      </w:r>
    </w:p>
    <w:p>
      <w:pPr>
        <w:pStyle w:val="Heading2"/>
      </w:pPr>
      <w:r>
        <w:t>5.2　实测结果</w:t>
      </w:r>
    </w:p>
    <w:p>
      <w:pPr>
        <w:spacing w:line="360" w:lineRule="auto" w:before="0" w:after="0"/>
        <w:jc w:val="both"/>
        <w:ind w:firstLineChars="200"/>
      </w:pPr>
      <w:r>
        <w:t>两轮容量测试实测结果如表 6、表 7 所示。两轮均未出现 HTTP 429（每用户速率低于 120 次/分钟配额，未触发拒接，符合配额模型预期）；但聚合 QPS 均显著低于理论上限，且两轮均出现集中于约 21 秒量级的连接层失败样本与秒级长尾。</w:t>
      </w:r>
    </w:p>
    <w:p>
      <w:pPr>
        <w:keepNext/>
        <w:spacing w:before="120" w:after="80"/>
        <w:jc w:val="center"/>
      </w:pPr>
      <w:r>
        <w:rPr>
          <w:sz w:val="21"/>
          <w:rFonts w:eastAsia="宋体"/>
        </w:rPr>
        <w:t>表 6　容量测试（40 用户，60 秒，爬坡 15 秒；理论上限 80 QPS）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608"/>
            <w:shd w:val="clear" w:fill="D9D9D9"/>
            <w:vAlign w:val="center"/>
          </w:tcPr>
          <w:p>
            <w:pPr>
              <w:spacing w:line="240" w:lineRule="auto" w:before="20" w:after="20"/>
              <w:jc w:val="center"/>
            </w:pPr>
            <w:r>
              <w:rPr>
                <w:b/>
                <w:sz w:val="21"/>
                <w:rFonts w:eastAsia="宋体"/>
              </w:rPr>
              <w:t>指标</w:t>
            </w:r>
          </w:p>
        </w:tc>
        <w:tc>
          <w:tcPr>
            <w:tcW w:type="dxa" w:w="1928"/>
            <w:shd w:val="clear" w:fill="D9D9D9"/>
            <w:vAlign w:val="center"/>
          </w:tcPr>
          <w:p>
            <w:pPr>
              <w:spacing w:line="240" w:lineRule="auto" w:before="20" w:after="20"/>
              <w:jc w:val="center"/>
            </w:pPr>
            <w:r>
              <w:rPr>
                <w:b/>
                <w:sz w:val="21"/>
                <w:rFonts w:eastAsia="宋体"/>
              </w:rPr>
              <w:t>实测值</w:t>
            </w:r>
          </w:p>
        </w:tc>
        <w:tc>
          <w:tcPr>
            <w:tcW w:type="dxa" w:w="4535"/>
            <w:shd w:val="clear" w:fill="D9D9D9"/>
            <w:vAlign w:val="center"/>
          </w:tcPr>
          <w:p>
            <w:pPr>
              <w:spacing w:line="240" w:lineRule="auto" w:before="20" w:after="20"/>
              <w:jc w:val="center"/>
            </w:pPr>
            <w:r>
              <w:rPr>
                <w:b/>
                <w:sz w:val="21"/>
                <w:rFonts w:eastAsia="宋体"/>
              </w:rPr>
              <w:t>说明</w:t>
            </w:r>
          </w:p>
        </w:tc>
      </w:tr>
      <w:tr>
        <w:trPr>
          <w:cantSplit/>
        </w:trPr>
        <w:tc>
          <w:tcPr>
            <w:tcW w:type="dxa" w:w="2608"/>
            <w:vAlign w:val="center"/>
          </w:tcPr>
          <w:p>
            <w:pPr>
              <w:spacing w:line="240" w:lineRule="auto" w:before="20" w:after="20"/>
              <w:jc w:val="left"/>
            </w:pPr>
            <w:r>
              <w:rPr>
                <w:b w:val="0"/>
                <w:sz w:val="21"/>
                <w:rFonts w:eastAsia="宋体"/>
              </w:rPr>
              <w:t>请求总数</w:t>
            </w:r>
          </w:p>
        </w:tc>
        <w:tc>
          <w:tcPr>
            <w:tcW w:type="dxa" w:w="1928"/>
            <w:vAlign w:val="center"/>
          </w:tcPr>
          <w:p>
            <w:pPr>
              <w:spacing w:line="240" w:lineRule="auto" w:before="20" w:after="20"/>
              <w:jc w:val="center"/>
            </w:pPr>
            <w:r>
              <w:rPr>
                <w:b w:val="0"/>
                <w:sz w:val="21"/>
                <w:rFonts w:eastAsia="宋体"/>
              </w:rPr>
              <w:t>2120</w:t>
            </w:r>
          </w:p>
        </w:tc>
        <w:tc>
          <w:tcPr>
            <w:tcW w:type="dxa" w:w="4535"/>
            <w:vAlign w:val="center"/>
          </w:tcPr>
          <w:p>
            <w:pPr>
              <w:spacing w:line="240" w:lineRule="auto" w:before="20" w:after="20"/>
              <w:jc w:val="left"/>
            </w:pPr>
            <w:r>
              <w:rPr>
                <w:b w:val="0"/>
                <w:sz w:val="21"/>
                <w:rFonts w:eastAsia="宋体"/>
              </w:rPr>
              <w:t>会话列表 / 任务列表 轮询</w:t>
            </w:r>
          </w:p>
        </w:tc>
      </w:tr>
      <w:tr>
        <w:trPr>
          <w:cantSplit/>
        </w:trPr>
        <w:tc>
          <w:tcPr>
            <w:tcW w:type="dxa" w:w="2608"/>
            <w:vAlign w:val="center"/>
          </w:tcPr>
          <w:p>
            <w:pPr>
              <w:spacing w:line="240" w:lineRule="auto" w:before="20" w:after="20"/>
              <w:jc w:val="left"/>
            </w:pPr>
            <w:r>
              <w:rPr>
                <w:b w:val="0"/>
                <w:sz w:val="21"/>
                <w:rFonts w:eastAsia="宋体"/>
              </w:rPr>
              <w:t>HTTP 200</w:t>
            </w:r>
          </w:p>
        </w:tc>
        <w:tc>
          <w:tcPr>
            <w:tcW w:type="dxa" w:w="1928"/>
            <w:vAlign w:val="center"/>
          </w:tcPr>
          <w:p>
            <w:pPr>
              <w:spacing w:line="240" w:lineRule="auto" w:before="20" w:after="20"/>
              <w:jc w:val="center"/>
            </w:pPr>
            <w:r>
              <w:rPr>
                <w:b w:val="0"/>
                <w:sz w:val="21"/>
                <w:rFonts w:eastAsia="宋体"/>
              </w:rPr>
              <w:t>2032</w:t>
            </w:r>
          </w:p>
        </w:tc>
        <w:tc>
          <w:tcPr>
            <w:tcW w:type="dxa" w:w="4535"/>
            <w:vAlign w:val="center"/>
          </w:tcPr>
          <w:p>
            <w:pPr>
              <w:spacing w:line="240" w:lineRule="auto" w:before="20" w:after="20"/>
              <w:jc w:val="left"/>
            </w:pPr>
            <w:r>
              <w:rPr>
                <w:b w:val="0"/>
                <w:sz w:val="21"/>
                <w:rFonts w:eastAsia="宋体"/>
              </w:rPr>
              <w:t>业务成功</w:t>
            </w:r>
          </w:p>
        </w:tc>
      </w:tr>
      <w:tr>
        <w:trPr>
          <w:cantSplit/>
        </w:trPr>
        <w:tc>
          <w:tcPr>
            <w:tcW w:type="dxa" w:w="2608"/>
            <w:vAlign w:val="center"/>
          </w:tcPr>
          <w:p>
            <w:pPr>
              <w:spacing w:line="240" w:lineRule="auto" w:before="20" w:after="20"/>
              <w:jc w:val="left"/>
            </w:pPr>
            <w:r>
              <w:rPr>
                <w:b w:val="0"/>
                <w:sz w:val="21"/>
                <w:rFonts w:eastAsia="宋体"/>
              </w:rPr>
              <w:t>连接层失败</w:t>
            </w:r>
          </w:p>
        </w:tc>
        <w:tc>
          <w:tcPr>
            <w:tcW w:type="dxa" w:w="1928"/>
            <w:vAlign w:val="center"/>
          </w:tcPr>
          <w:p>
            <w:pPr>
              <w:spacing w:line="240" w:lineRule="auto" w:before="20" w:after="20"/>
              <w:jc w:val="center"/>
            </w:pPr>
            <w:r>
              <w:rPr>
                <w:b w:val="0"/>
                <w:sz w:val="21"/>
                <w:rFonts w:eastAsia="宋体"/>
              </w:rPr>
              <w:t>88</w:t>
            </w:r>
          </w:p>
        </w:tc>
        <w:tc>
          <w:tcPr>
            <w:tcW w:type="dxa" w:w="4535"/>
            <w:vAlign w:val="center"/>
          </w:tcPr>
          <w:p>
            <w:pPr>
              <w:spacing w:line="240" w:lineRule="auto" w:before="20" w:after="20"/>
              <w:jc w:val="left"/>
            </w:pPr>
            <w:r>
              <w:rPr>
                <w:b w:val="0"/>
                <w:sz w:val="21"/>
                <w:rFonts w:eastAsia="宋体"/>
              </w:rPr>
              <w:t>状态码 0，占 4.15%</w:t>
            </w:r>
          </w:p>
        </w:tc>
      </w:tr>
      <w:tr>
        <w:trPr>
          <w:cantSplit/>
        </w:trPr>
        <w:tc>
          <w:tcPr>
            <w:tcW w:type="dxa" w:w="2608"/>
            <w:vAlign w:val="center"/>
          </w:tcPr>
          <w:p>
            <w:pPr>
              <w:spacing w:line="240" w:lineRule="auto" w:before="20" w:after="20"/>
              <w:jc w:val="left"/>
            </w:pPr>
            <w:r>
              <w:rPr>
                <w:b w:val="0"/>
                <w:sz w:val="21"/>
                <w:rFonts w:eastAsia="宋体"/>
              </w:rPr>
              <w:t>HTTP 429</w:t>
            </w:r>
          </w:p>
        </w:tc>
        <w:tc>
          <w:tcPr>
            <w:tcW w:type="dxa" w:w="1928"/>
            <w:vAlign w:val="center"/>
          </w:tcPr>
          <w:p>
            <w:pPr>
              <w:spacing w:line="240" w:lineRule="auto" w:before="20" w:after="20"/>
              <w:jc w:val="center"/>
            </w:pPr>
            <w:r>
              <w:rPr>
                <w:b w:val="0"/>
                <w:sz w:val="21"/>
                <w:rFonts w:eastAsia="宋体"/>
              </w:rPr>
              <w:t>0</w:t>
            </w:r>
          </w:p>
        </w:tc>
        <w:tc>
          <w:tcPr>
            <w:tcW w:type="dxa" w:w="4535"/>
            <w:vAlign w:val="center"/>
          </w:tcPr>
          <w:p>
            <w:pPr>
              <w:spacing w:line="240" w:lineRule="auto" w:before="20" w:after="20"/>
              <w:jc w:val="left"/>
            </w:pPr>
            <w:r>
              <w:rPr>
                <w:b w:val="0"/>
                <w:sz w:val="21"/>
                <w:rFonts w:eastAsia="宋体"/>
              </w:rPr>
              <w:t>未触单用户配额，符合预期</w:t>
            </w:r>
          </w:p>
        </w:tc>
      </w:tr>
      <w:tr>
        <w:trPr>
          <w:cantSplit/>
        </w:trPr>
        <w:tc>
          <w:tcPr>
            <w:tcW w:type="dxa" w:w="2608"/>
            <w:vAlign w:val="center"/>
          </w:tcPr>
          <w:p>
            <w:pPr>
              <w:spacing w:line="240" w:lineRule="auto" w:before="20" w:after="20"/>
              <w:jc w:val="left"/>
            </w:pPr>
            <w:r>
              <w:rPr>
                <w:b w:val="0"/>
                <w:sz w:val="21"/>
                <w:rFonts w:eastAsia="宋体"/>
              </w:rPr>
              <w:t>QPS</w:t>
            </w:r>
          </w:p>
        </w:tc>
        <w:tc>
          <w:tcPr>
            <w:tcW w:type="dxa" w:w="1928"/>
            <w:vAlign w:val="center"/>
          </w:tcPr>
          <w:p>
            <w:pPr>
              <w:spacing w:line="240" w:lineRule="auto" w:before="20" w:after="20"/>
              <w:jc w:val="center"/>
            </w:pPr>
            <w:r>
              <w:rPr>
                <w:b w:val="0"/>
                <w:sz w:val="21"/>
                <w:rFonts w:eastAsia="宋体"/>
              </w:rPr>
              <w:t>26.42</w:t>
            </w:r>
          </w:p>
        </w:tc>
        <w:tc>
          <w:tcPr>
            <w:tcW w:type="dxa" w:w="4535"/>
            <w:vAlign w:val="center"/>
          </w:tcPr>
          <w:p>
            <w:pPr>
              <w:spacing w:line="240" w:lineRule="auto" w:before="20" w:after="20"/>
              <w:jc w:val="left"/>
            </w:pPr>
            <w:r>
              <w:rPr>
                <w:b w:val="0"/>
                <w:sz w:val="21"/>
                <w:rFonts w:eastAsia="宋体"/>
              </w:rPr>
              <w:t>低于理论上限 80 QPS</w:t>
            </w:r>
          </w:p>
        </w:tc>
      </w:tr>
      <w:tr>
        <w:trPr>
          <w:cantSplit/>
        </w:trPr>
        <w:tc>
          <w:tcPr>
            <w:tcW w:type="dxa" w:w="2608"/>
            <w:vAlign w:val="center"/>
          </w:tcPr>
          <w:p>
            <w:pPr>
              <w:spacing w:line="240" w:lineRule="auto" w:before="20" w:after="20"/>
              <w:jc w:val="left"/>
            </w:pPr>
            <w:r>
              <w:rPr>
                <w:b w:val="0"/>
                <w:sz w:val="21"/>
                <w:rFonts w:eastAsia="宋体"/>
              </w:rPr>
              <w:t>P50 时延</w:t>
            </w:r>
          </w:p>
        </w:tc>
        <w:tc>
          <w:tcPr>
            <w:tcW w:type="dxa" w:w="1928"/>
            <w:vAlign w:val="center"/>
          </w:tcPr>
          <w:p>
            <w:pPr>
              <w:spacing w:line="240" w:lineRule="auto" w:before="20" w:after="20"/>
              <w:jc w:val="center"/>
            </w:pPr>
            <w:r>
              <w:rPr>
                <w:b w:val="0"/>
                <w:sz w:val="21"/>
                <w:rFonts w:eastAsia="宋体"/>
              </w:rPr>
              <w:t>51.3 ms</w:t>
            </w:r>
          </w:p>
        </w:tc>
        <w:tc>
          <w:tcPr>
            <w:tcW w:type="dxa" w:w="4535"/>
            <w:vAlign w:val="center"/>
          </w:tcPr>
          <w:p>
            <w:pPr>
              <w:spacing w:line="240" w:lineRule="auto" w:before="20" w:after="20"/>
              <w:jc w:val="left"/>
            </w:pPr>
            <w:r>
              <w:rPr>
                <w:b w:val="0"/>
                <w:sz w:val="21"/>
                <w:rFonts w:eastAsia="宋体"/>
              </w:rPr>
              <w:t>完成样本</w:t>
            </w:r>
          </w:p>
        </w:tc>
      </w:tr>
      <w:tr>
        <w:trPr>
          <w:cantSplit/>
        </w:trPr>
        <w:tc>
          <w:tcPr>
            <w:tcW w:type="dxa" w:w="2608"/>
            <w:vAlign w:val="center"/>
          </w:tcPr>
          <w:p>
            <w:pPr>
              <w:spacing w:line="240" w:lineRule="auto" w:before="20" w:after="20"/>
              <w:jc w:val="left"/>
            </w:pPr>
            <w:r>
              <w:rPr>
                <w:b w:val="0"/>
                <w:sz w:val="21"/>
                <w:rFonts w:eastAsia="宋体"/>
              </w:rPr>
              <w:t>P95 时延</w:t>
            </w:r>
          </w:p>
        </w:tc>
        <w:tc>
          <w:tcPr>
            <w:tcW w:type="dxa" w:w="1928"/>
            <w:vAlign w:val="center"/>
          </w:tcPr>
          <w:p>
            <w:pPr>
              <w:spacing w:line="240" w:lineRule="auto" w:before="20" w:after="20"/>
              <w:jc w:val="center"/>
            </w:pPr>
            <w:r>
              <w:rPr>
                <w:b w:val="0"/>
                <w:sz w:val="21"/>
                <w:rFonts w:eastAsia="宋体"/>
              </w:rPr>
              <w:t>252.7 ms</w:t>
            </w:r>
          </w:p>
        </w:tc>
        <w:tc>
          <w:tcPr>
            <w:tcW w:type="dxa" w:w="4535"/>
            <w:vAlign w:val="center"/>
          </w:tcPr>
          <w:p>
            <w:pPr>
              <w:spacing w:line="240" w:lineRule="auto" w:before="20" w:after="20"/>
              <w:jc w:val="left"/>
            </w:pPr>
            <w:r>
              <w:rPr>
                <w:b w:val="0"/>
                <w:sz w:val="21"/>
                <w:rFonts w:eastAsia="宋体"/>
              </w:rPr>
              <w:t>完成样本</w:t>
            </w:r>
          </w:p>
        </w:tc>
      </w:tr>
      <w:tr>
        <w:trPr>
          <w:cantSplit/>
        </w:trPr>
        <w:tc>
          <w:tcPr>
            <w:tcW w:type="dxa" w:w="2608"/>
            <w:vAlign w:val="center"/>
          </w:tcPr>
          <w:p>
            <w:pPr>
              <w:spacing w:line="240" w:lineRule="auto" w:before="20" w:after="20"/>
              <w:jc w:val="left"/>
            </w:pPr>
            <w:r>
              <w:rPr>
                <w:b w:val="0"/>
                <w:sz w:val="21"/>
                <w:rFonts w:eastAsia="宋体"/>
              </w:rPr>
              <w:t>P99 时延</w:t>
            </w:r>
          </w:p>
        </w:tc>
        <w:tc>
          <w:tcPr>
            <w:tcW w:type="dxa" w:w="1928"/>
            <w:vAlign w:val="center"/>
          </w:tcPr>
          <w:p>
            <w:pPr>
              <w:spacing w:line="240" w:lineRule="auto" w:before="20" w:after="20"/>
              <w:jc w:val="center"/>
            </w:pPr>
            <w:r>
              <w:rPr>
                <w:b w:val="0"/>
                <w:sz w:val="21"/>
                <w:rFonts w:eastAsia="宋体"/>
              </w:rPr>
              <w:t>3801.9 ms</w:t>
            </w:r>
          </w:p>
        </w:tc>
        <w:tc>
          <w:tcPr>
            <w:tcW w:type="dxa" w:w="4535"/>
            <w:vAlign w:val="center"/>
          </w:tcPr>
          <w:p>
            <w:pPr>
              <w:spacing w:line="240" w:lineRule="auto" w:before="20" w:after="20"/>
              <w:jc w:val="left"/>
            </w:pPr>
            <w:r>
              <w:rPr>
                <w:b w:val="0"/>
                <w:sz w:val="21"/>
                <w:rFonts w:eastAsia="宋体"/>
              </w:rPr>
              <w:t>完成样本，秒级长尾</w:t>
            </w:r>
          </w:p>
        </w:tc>
      </w:tr>
      <w:tr>
        <w:trPr>
          <w:cantSplit/>
        </w:trPr>
        <w:tc>
          <w:tcPr>
            <w:tcW w:type="dxa" w:w="2608"/>
            <w:vAlign w:val="center"/>
          </w:tcPr>
          <w:p>
            <w:pPr>
              <w:spacing w:line="240" w:lineRule="auto" w:before="20" w:after="20"/>
              <w:jc w:val="left"/>
            </w:pPr>
            <w:r>
              <w:rPr>
                <w:b w:val="0"/>
                <w:sz w:val="21"/>
                <w:rFonts w:eastAsia="宋体"/>
              </w:rPr>
              <w:t>最大时延</w:t>
            </w:r>
          </w:p>
        </w:tc>
        <w:tc>
          <w:tcPr>
            <w:tcW w:type="dxa" w:w="1928"/>
            <w:vAlign w:val="center"/>
          </w:tcPr>
          <w:p>
            <w:pPr>
              <w:spacing w:line="240" w:lineRule="auto" w:before="20" w:after="20"/>
              <w:jc w:val="center"/>
            </w:pPr>
            <w:r>
              <w:rPr>
                <w:b w:val="0"/>
                <w:sz w:val="21"/>
                <w:rFonts w:eastAsia="宋体"/>
              </w:rPr>
              <w:t>7155.5 ms</w:t>
            </w:r>
          </w:p>
        </w:tc>
        <w:tc>
          <w:tcPr>
            <w:tcW w:type="dxa" w:w="4535"/>
            <w:vAlign w:val="center"/>
          </w:tcPr>
          <w:p>
            <w:pPr>
              <w:spacing w:line="240" w:lineRule="auto" w:before="20" w:after="20"/>
              <w:jc w:val="left"/>
            </w:pPr>
            <w:r>
              <w:rPr>
                <w:b w:val="0"/>
                <w:sz w:val="21"/>
                <w:rFonts w:eastAsia="宋体"/>
              </w:rPr>
              <w:t>完成样本</w:t>
            </w:r>
          </w:p>
        </w:tc>
      </w:tr>
    </w:tbl>
    <w:p>
      <w:pPr>
        <w:keepNext/>
        <w:spacing w:before="120" w:after="80"/>
        <w:jc w:val="center"/>
      </w:pPr>
      <w:r>
        <w:rPr>
          <w:sz w:val="21"/>
          <w:rFonts w:eastAsia="宋体"/>
        </w:rPr>
        <w:t>表 7　容量测试（20 用户，60 秒，爬坡 5 秒；理论上限 40 QPS）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608"/>
            <w:shd w:val="clear" w:fill="D9D9D9"/>
            <w:vAlign w:val="center"/>
          </w:tcPr>
          <w:p>
            <w:pPr>
              <w:spacing w:line="240" w:lineRule="auto" w:before="20" w:after="20"/>
              <w:jc w:val="center"/>
            </w:pPr>
            <w:r>
              <w:rPr>
                <w:b/>
                <w:sz w:val="21"/>
                <w:rFonts w:eastAsia="宋体"/>
              </w:rPr>
              <w:t>指标</w:t>
            </w:r>
          </w:p>
        </w:tc>
        <w:tc>
          <w:tcPr>
            <w:tcW w:type="dxa" w:w="1928"/>
            <w:shd w:val="clear" w:fill="D9D9D9"/>
            <w:vAlign w:val="center"/>
          </w:tcPr>
          <w:p>
            <w:pPr>
              <w:spacing w:line="240" w:lineRule="auto" w:before="20" w:after="20"/>
              <w:jc w:val="center"/>
            </w:pPr>
            <w:r>
              <w:rPr>
                <w:b/>
                <w:sz w:val="21"/>
                <w:rFonts w:eastAsia="宋体"/>
              </w:rPr>
              <w:t>实测值</w:t>
            </w:r>
          </w:p>
        </w:tc>
        <w:tc>
          <w:tcPr>
            <w:tcW w:type="dxa" w:w="4535"/>
            <w:shd w:val="clear" w:fill="D9D9D9"/>
            <w:vAlign w:val="center"/>
          </w:tcPr>
          <w:p>
            <w:pPr>
              <w:spacing w:line="240" w:lineRule="auto" w:before="20" w:after="20"/>
              <w:jc w:val="center"/>
            </w:pPr>
            <w:r>
              <w:rPr>
                <w:b/>
                <w:sz w:val="21"/>
                <w:rFonts w:eastAsia="宋体"/>
              </w:rPr>
              <w:t>说明</w:t>
            </w:r>
          </w:p>
        </w:tc>
      </w:tr>
      <w:tr>
        <w:trPr>
          <w:cantSplit/>
        </w:trPr>
        <w:tc>
          <w:tcPr>
            <w:tcW w:type="dxa" w:w="2608"/>
            <w:vAlign w:val="center"/>
          </w:tcPr>
          <w:p>
            <w:pPr>
              <w:spacing w:line="240" w:lineRule="auto" w:before="20" w:after="20"/>
              <w:jc w:val="left"/>
            </w:pPr>
            <w:r>
              <w:rPr>
                <w:b w:val="0"/>
                <w:sz w:val="21"/>
                <w:rFonts w:eastAsia="宋体"/>
              </w:rPr>
              <w:t>请求总数</w:t>
            </w:r>
          </w:p>
        </w:tc>
        <w:tc>
          <w:tcPr>
            <w:tcW w:type="dxa" w:w="1928"/>
            <w:vAlign w:val="center"/>
          </w:tcPr>
          <w:p>
            <w:pPr>
              <w:spacing w:line="240" w:lineRule="auto" w:before="20" w:after="20"/>
              <w:jc w:val="center"/>
            </w:pPr>
            <w:r>
              <w:rPr>
                <w:b w:val="0"/>
                <w:sz w:val="21"/>
                <w:rFonts w:eastAsia="宋体"/>
              </w:rPr>
              <w:t>1615</w:t>
            </w:r>
          </w:p>
        </w:tc>
        <w:tc>
          <w:tcPr>
            <w:tcW w:type="dxa" w:w="4535"/>
            <w:vAlign w:val="center"/>
          </w:tcPr>
          <w:p>
            <w:pPr>
              <w:spacing w:line="240" w:lineRule="auto" w:before="20" w:after="20"/>
              <w:jc w:val="left"/>
            </w:pPr>
            <w:r>
              <w:rPr>
                <w:b w:val="0"/>
                <w:sz w:val="21"/>
                <w:rFonts w:eastAsia="宋体"/>
              </w:rPr>
              <w:t>会话列表 / 任务列表 轮询</w:t>
            </w:r>
          </w:p>
        </w:tc>
      </w:tr>
      <w:tr>
        <w:trPr>
          <w:cantSplit/>
        </w:trPr>
        <w:tc>
          <w:tcPr>
            <w:tcW w:type="dxa" w:w="2608"/>
            <w:vAlign w:val="center"/>
          </w:tcPr>
          <w:p>
            <w:pPr>
              <w:spacing w:line="240" w:lineRule="auto" w:before="20" w:after="20"/>
              <w:jc w:val="left"/>
            </w:pPr>
            <w:r>
              <w:rPr>
                <w:b w:val="0"/>
                <w:sz w:val="21"/>
                <w:rFonts w:eastAsia="宋体"/>
              </w:rPr>
              <w:t>HTTP 200</w:t>
            </w:r>
          </w:p>
        </w:tc>
        <w:tc>
          <w:tcPr>
            <w:tcW w:type="dxa" w:w="1928"/>
            <w:vAlign w:val="center"/>
          </w:tcPr>
          <w:p>
            <w:pPr>
              <w:spacing w:line="240" w:lineRule="auto" w:before="20" w:after="20"/>
              <w:jc w:val="center"/>
            </w:pPr>
            <w:r>
              <w:rPr>
                <w:b w:val="0"/>
                <w:sz w:val="21"/>
                <w:rFonts w:eastAsia="宋体"/>
              </w:rPr>
              <w:t>1588</w:t>
            </w:r>
          </w:p>
        </w:tc>
        <w:tc>
          <w:tcPr>
            <w:tcW w:type="dxa" w:w="4535"/>
            <w:vAlign w:val="center"/>
          </w:tcPr>
          <w:p>
            <w:pPr>
              <w:spacing w:line="240" w:lineRule="auto" w:before="20" w:after="20"/>
              <w:jc w:val="left"/>
            </w:pPr>
            <w:r>
              <w:rPr>
                <w:b w:val="0"/>
                <w:sz w:val="21"/>
                <w:rFonts w:eastAsia="宋体"/>
              </w:rPr>
              <w:t>业务成功</w:t>
            </w:r>
          </w:p>
        </w:tc>
      </w:tr>
      <w:tr>
        <w:trPr>
          <w:cantSplit/>
        </w:trPr>
        <w:tc>
          <w:tcPr>
            <w:tcW w:type="dxa" w:w="2608"/>
            <w:vAlign w:val="center"/>
          </w:tcPr>
          <w:p>
            <w:pPr>
              <w:spacing w:line="240" w:lineRule="auto" w:before="20" w:after="20"/>
              <w:jc w:val="left"/>
            </w:pPr>
            <w:r>
              <w:rPr>
                <w:b w:val="0"/>
                <w:sz w:val="21"/>
                <w:rFonts w:eastAsia="宋体"/>
              </w:rPr>
              <w:t>连接层失败</w:t>
            </w:r>
          </w:p>
        </w:tc>
        <w:tc>
          <w:tcPr>
            <w:tcW w:type="dxa" w:w="1928"/>
            <w:vAlign w:val="center"/>
          </w:tcPr>
          <w:p>
            <w:pPr>
              <w:spacing w:line="240" w:lineRule="auto" w:before="20" w:after="20"/>
              <w:jc w:val="center"/>
            </w:pPr>
            <w:r>
              <w:rPr>
                <w:b w:val="0"/>
                <w:sz w:val="21"/>
                <w:rFonts w:eastAsia="宋体"/>
              </w:rPr>
              <w:t>27</w:t>
            </w:r>
          </w:p>
        </w:tc>
        <w:tc>
          <w:tcPr>
            <w:tcW w:type="dxa" w:w="4535"/>
            <w:vAlign w:val="center"/>
          </w:tcPr>
          <w:p>
            <w:pPr>
              <w:spacing w:line="240" w:lineRule="auto" w:before="20" w:after="20"/>
              <w:jc w:val="left"/>
            </w:pPr>
            <w:r>
              <w:rPr>
                <w:b w:val="0"/>
                <w:sz w:val="21"/>
                <w:rFonts w:eastAsia="宋体"/>
              </w:rPr>
              <w:t>状态码 0，占 1.67%</w:t>
            </w:r>
          </w:p>
        </w:tc>
      </w:tr>
      <w:tr>
        <w:trPr>
          <w:cantSplit/>
        </w:trPr>
        <w:tc>
          <w:tcPr>
            <w:tcW w:type="dxa" w:w="2608"/>
            <w:vAlign w:val="center"/>
          </w:tcPr>
          <w:p>
            <w:pPr>
              <w:spacing w:line="240" w:lineRule="auto" w:before="20" w:after="20"/>
              <w:jc w:val="left"/>
            </w:pPr>
            <w:r>
              <w:rPr>
                <w:b w:val="0"/>
                <w:sz w:val="21"/>
                <w:rFonts w:eastAsia="宋体"/>
              </w:rPr>
              <w:t>HTTP 429</w:t>
            </w:r>
          </w:p>
        </w:tc>
        <w:tc>
          <w:tcPr>
            <w:tcW w:type="dxa" w:w="1928"/>
            <w:vAlign w:val="center"/>
          </w:tcPr>
          <w:p>
            <w:pPr>
              <w:spacing w:line="240" w:lineRule="auto" w:before="20" w:after="20"/>
              <w:jc w:val="center"/>
            </w:pPr>
            <w:r>
              <w:rPr>
                <w:b w:val="0"/>
                <w:sz w:val="21"/>
                <w:rFonts w:eastAsia="宋体"/>
              </w:rPr>
              <w:t>0</w:t>
            </w:r>
          </w:p>
        </w:tc>
        <w:tc>
          <w:tcPr>
            <w:tcW w:type="dxa" w:w="4535"/>
            <w:vAlign w:val="center"/>
          </w:tcPr>
          <w:p>
            <w:pPr>
              <w:spacing w:line="240" w:lineRule="auto" w:before="20" w:after="20"/>
              <w:jc w:val="left"/>
            </w:pPr>
            <w:r>
              <w:rPr>
                <w:b w:val="0"/>
                <w:sz w:val="21"/>
                <w:rFonts w:eastAsia="宋体"/>
              </w:rPr>
              <w:t>未触单用户配额，符合预期</w:t>
            </w:r>
          </w:p>
        </w:tc>
      </w:tr>
      <w:tr>
        <w:trPr>
          <w:cantSplit/>
        </w:trPr>
        <w:tc>
          <w:tcPr>
            <w:tcW w:type="dxa" w:w="2608"/>
            <w:vAlign w:val="center"/>
          </w:tcPr>
          <w:p>
            <w:pPr>
              <w:spacing w:line="240" w:lineRule="auto" w:before="20" w:after="20"/>
              <w:jc w:val="left"/>
            </w:pPr>
            <w:r>
              <w:rPr>
                <w:b w:val="0"/>
                <w:sz w:val="21"/>
                <w:rFonts w:eastAsia="宋体"/>
              </w:rPr>
              <w:t>QPS</w:t>
            </w:r>
          </w:p>
        </w:tc>
        <w:tc>
          <w:tcPr>
            <w:tcW w:type="dxa" w:w="1928"/>
            <w:vAlign w:val="center"/>
          </w:tcPr>
          <w:p>
            <w:pPr>
              <w:spacing w:line="240" w:lineRule="auto" w:before="20" w:after="20"/>
              <w:jc w:val="center"/>
            </w:pPr>
            <w:r>
              <w:rPr>
                <w:b w:val="0"/>
                <w:sz w:val="21"/>
                <w:rFonts w:eastAsia="宋体"/>
              </w:rPr>
              <w:t>20.44</w:t>
            </w:r>
          </w:p>
        </w:tc>
        <w:tc>
          <w:tcPr>
            <w:tcW w:type="dxa" w:w="4535"/>
            <w:vAlign w:val="center"/>
          </w:tcPr>
          <w:p>
            <w:pPr>
              <w:spacing w:line="240" w:lineRule="auto" w:before="20" w:after="20"/>
              <w:jc w:val="left"/>
            </w:pPr>
            <w:r>
              <w:rPr>
                <w:b w:val="0"/>
                <w:sz w:val="21"/>
                <w:rFonts w:eastAsia="宋体"/>
              </w:rPr>
              <w:t>低于理论上限 40 QPS</w:t>
            </w:r>
          </w:p>
        </w:tc>
      </w:tr>
      <w:tr>
        <w:trPr>
          <w:cantSplit/>
        </w:trPr>
        <w:tc>
          <w:tcPr>
            <w:tcW w:type="dxa" w:w="2608"/>
            <w:vAlign w:val="center"/>
          </w:tcPr>
          <w:p>
            <w:pPr>
              <w:spacing w:line="240" w:lineRule="auto" w:before="20" w:after="20"/>
              <w:jc w:val="left"/>
            </w:pPr>
            <w:r>
              <w:rPr>
                <w:b w:val="0"/>
                <w:sz w:val="21"/>
                <w:rFonts w:eastAsia="宋体"/>
              </w:rPr>
              <w:t>P50 时延</w:t>
            </w:r>
          </w:p>
        </w:tc>
        <w:tc>
          <w:tcPr>
            <w:tcW w:type="dxa" w:w="1928"/>
            <w:vAlign w:val="center"/>
          </w:tcPr>
          <w:p>
            <w:pPr>
              <w:spacing w:line="240" w:lineRule="auto" w:before="20" w:after="20"/>
              <w:jc w:val="center"/>
            </w:pPr>
            <w:r>
              <w:rPr>
                <w:b w:val="0"/>
                <w:sz w:val="21"/>
                <w:rFonts w:eastAsia="宋体"/>
              </w:rPr>
              <w:t>45.3 ms</w:t>
            </w:r>
          </w:p>
        </w:tc>
        <w:tc>
          <w:tcPr>
            <w:tcW w:type="dxa" w:w="4535"/>
            <w:vAlign w:val="center"/>
          </w:tcPr>
          <w:p>
            <w:pPr>
              <w:spacing w:line="240" w:lineRule="auto" w:before="20" w:after="20"/>
              <w:jc w:val="left"/>
            </w:pPr>
            <w:r>
              <w:rPr>
                <w:b w:val="0"/>
                <w:sz w:val="21"/>
                <w:rFonts w:eastAsia="宋体"/>
              </w:rPr>
              <w:t>完成样本，正常时段响应良好</w:t>
            </w:r>
          </w:p>
        </w:tc>
      </w:tr>
      <w:tr>
        <w:trPr>
          <w:cantSplit/>
        </w:trPr>
        <w:tc>
          <w:tcPr>
            <w:tcW w:type="dxa" w:w="2608"/>
            <w:vAlign w:val="center"/>
          </w:tcPr>
          <w:p>
            <w:pPr>
              <w:spacing w:line="240" w:lineRule="auto" w:before="20" w:after="20"/>
              <w:jc w:val="left"/>
            </w:pPr>
            <w:r>
              <w:rPr>
                <w:b w:val="0"/>
                <w:sz w:val="21"/>
                <w:rFonts w:eastAsia="宋体"/>
              </w:rPr>
              <w:t>P95 时延</w:t>
            </w:r>
          </w:p>
        </w:tc>
        <w:tc>
          <w:tcPr>
            <w:tcW w:type="dxa" w:w="1928"/>
            <w:vAlign w:val="center"/>
          </w:tcPr>
          <w:p>
            <w:pPr>
              <w:spacing w:line="240" w:lineRule="auto" w:before="20" w:after="20"/>
              <w:jc w:val="center"/>
            </w:pPr>
            <w:r>
              <w:rPr>
                <w:b w:val="0"/>
                <w:sz w:val="21"/>
                <w:rFonts w:eastAsia="宋体"/>
              </w:rPr>
              <w:t>129.1 ms</w:t>
            </w:r>
          </w:p>
        </w:tc>
        <w:tc>
          <w:tcPr>
            <w:tcW w:type="dxa" w:w="4535"/>
            <w:vAlign w:val="center"/>
          </w:tcPr>
          <w:p>
            <w:pPr>
              <w:spacing w:line="240" w:lineRule="auto" w:before="20" w:after="20"/>
              <w:jc w:val="left"/>
            </w:pPr>
            <w:r>
              <w:rPr>
                <w:b w:val="0"/>
                <w:sz w:val="21"/>
                <w:rFonts w:eastAsia="宋体"/>
              </w:rPr>
              <w:t>完成样本</w:t>
            </w:r>
          </w:p>
        </w:tc>
      </w:tr>
      <w:tr>
        <w:trPr>
          <w:cantSplit/>
        </w:trPr>
        <w:tc>
          <w:tcPr>
            <w:tcW w:type="dxa" w:w="2608"/>
            <w:vAlign w:val="center"/>
          </w:tcPr>
          <w:p>
            <w:pPr>
              <w:spacing w:line="240" w:lineRule="auto" w:before="20" w:after="20"/>
              <w:jc w:val="left"/>
            </w:pPr>
            <w:r>
              <w:rPr>
                <w:b w:val="0"/>
                <w:sz w:val="21"/>
                <w:rFonts w:eastAsia="宋体"/>
              </w:rPr>
              <w:t>P99 时延</w:t>
            </w:r>
          </w:p>
        </w:tc>
        <w:tc>
          <w:tcPr>
            <w:tcW w:type="dxa" w:w="1928"/>
            <w:vAlign w:val="center"/>
          </w:tcPr>
          <w:p>
            <w:pPr>
              <w:spacing w:line="240" w:lineRule="auto" w:before="20" w:after="20"/>
              <w:jc w:val="center"/>
            </w:pPr>
            <w:r>
              <w:rPr>
                <w:b w:val="0"/>
                <w:sz w:val="21"/>
                <w:rFonts w:eastAsia="宋体"/>
              </w:rPr>
              <w:t>231.7 ms</w:t>
            </w:r>
          </w:p>
        </w:tc>
        <w:tc>
          <w:tcPr>
            <w:tcW w:type="dxa" w:w="4535"/>
            <w:vAlign w:val="center"/>
          </w:tcPr>
          <w:p>
            <w:pPr>
              <w:spacing w:line="240" w:lineRule="auto" w:before="20" w:after="20"/>
              <w:jc w:val="left"/>
            </w:pPr>
            <w:r>
              <w:rPr>
                <w:b w:val="0"/>
                <w:sz w:val="21"/>
                <w:rFonts w:eastAsia="宋体"/>
              </w:rPr>
              <w:t>完成样本</w:t>
            </w:r>
          </w:p>
        </w:tc>
      </w:tr>
      <w:tr>
        <w:trPr>
          <w:cantSplit/>
        </w:trPr>
        <w:tc>
          <w:tcPr>
            <w:tcW w:type="dxa" w:w="2608"/>
            <w:vAlign w:val="center"/>
          </w:tcPr>
          <w:p>
            <w:pPr>
              <w:spacing w:line="240" w:lineRule="auto" w:before="20" w:after="20"/>
              <w:jc w:val="left"/>
            </w:pPr>
            <w:r>
              <w:rPr>
                <w:b w:val="0"/>
                <w:sz w:val="21"/>
                <w:rFonts w:eastAsia="宋体"/>
              </w:rPr>
              <w:t>最大时延</w:t>
            </w:r>
          </w:p>
        </w:tc>
        <w:tc>
          <w:tcPr>
            <w:tcW w:type="dxa" w:w="1928"/>
            <w:vAlign w:val="center"/>
          </w:tcPr>
          <w:p>
            <w:pPr>
              <w:spacing w:line="240" w:lineRule="auto" w:before="20" w:after="20"/>
              <w:jc w:val="center"/>
            </w:pPr>
            <w:r>
              <w:rPr>
                <w:b w:val="0"/>
                <w:sz w:val="21"/>
                <w:rFonts w:eastAsia="宋体"/>
              </w:rPr>
              <w:t>15092.3 ms</w:t>
            </w:r>
          </w:p>
        </w:tc>
        <w:tc>
          <w:tcPr>
            <w:tcW w:type="dxa" w:w="4535"/>
            <w:vAlign w:val="center"/>
          </w:tcPr>
          <w:p>
            <w:pPr>
              <w:spacing w:line="240" w:lineRule="auto" w:before="20" w:after="20"/>
              <w:jc w:val="left"/>
            </w:pPr>
            <w:r>
              <w:rPr>
                <w:b w:val="0"/>
                <w:sz w:val="21"/>
                <w:rFonts w:eastAsia="宋体"/>
              </w:rPr>
              <w:t>完成样本，单请求约 15 秒</w:t>
            </w:r>
          </w:p>
        </w:tc>
      </w:tr>
    </w:tbl>
    <w:p>
      <w:pPr>
        <w:pStyle w:val="Heading2"/>
      </w:pPr>
      <w:r>
        <w:t>5.3　结论与根因分析</w:t>
      </w:r>
    </w:p>
    <w:p>
      <w:pPr>
        <w:spacing w:line="360" w:lineRule="auto" w:before="0" w:after="0"/>
        <w:jc w:val="both"/>
        <w:ind w:firstLineChars="200"/>
      </w:pPr>
      <w:r>
        <w:t>两轮容量测试结论一致：带 Redis 限流计数与 JPA 分页查询的业务只读接口，在当前 2 核 2G 部署下稳定容量约为 20 QPS 以下，远低于健康检查接口的 332 QPS（后者仅代表免业务逻辑的请求链路上限），吞吐瓶颈不在限流层。两轮均复现约 21 秒的连接层无响应窗口（失败样本时延集中于 21 秒量级），且 20 用户轮在正常时段 P50 仅 45ms 的低延迟下依然出现，判断为服务器周期性的进程级停顿，疑似 2 核 2G 内存下 JVM 堆配置与 Full GC 长暂停（JVM、PostgreSQL、Redis 同机共享 2G 内存），或 Agent 恢复扫描等后台任务（30 秒周期）的资源竞争所致，并非测试机网络抖动。</w:t>
      </w:r>
    </w:p>
    <w:p>
      <w:pPr>
        <w:spacing w:line="360" w:lineRule="auto" w:before="0" w:after="0"/>
        <w:jc w:val="both"/>
        <w:ind w:firstLineChars="200"/>
      </w:pPr>
      <w:r>
        <w:t>该数据暴露的是部署配置瓶颈而非产品缺陷，故不写入简历；但可作为工程判断依据：Redis 限流在当前部署下同时承担容量保护作用。建议：显式配置 JVM 堆上限（-Xmx 预留系统余量）、调优 PostgreSQL shared_buffers 与 Redis maxmemory、结合 GC 日志排查长暂停与后台扫描任务后，重新执行本容量测试验证。</w:t>
      </w:r>
    </w:p>
    <w:p>
      <w:pPr>
        <w:pStyle w:val="Heading2"/>
      </w:pPr>
      <w:r>
        <w:t>5.4　测试数据清理</w:t>
      </w:r>
    </w:p>
    <w:p>
      <w:pPr>
        <w:spacing w:line="360" w:lineRule="auto" w:before="0" w:after="0"/>
        <w:jc w:val="both"/>
        <w:ind w:firstLineChars="200"/>
      </w:pPr>
      <w:r>
        <w:t>容量测试注册的 rl_ 前缀临时用户仅写入 app_user 表，未产生任何业务数据（不创建会话、不调用 AI 对话）。清理前可先用 SELECT 核对，再执行 DELETE 恢复数据库原状：</w:t>
      </w:r>
    </w:p>
    <w:p>
      <w:pPr>
        <w:spacing w:line="360" w:lineRule="auto" w:after="120"/>
      </w:pPr>
      <w:r>
        <w:rPr>
          <w:rFonts w:ascii="Consolas" w:hAnsi="Consolas" w:eastAsia="宋体"/>
          <w:sz w:val="21"/>
        </w:rPr>
        <w:t>SELECT count(*) FROM app_user WHERE username LIKE 'rl\_%' ESCAPE '\\';</w:t>
      </w:r>
    </w:p>
    <w:p>
      <w:pPr>
        <w:spacing w:line="360" w:lineRule="auto" w:after="120"/>
      </w:pPr>
      <w:r>
        <w:rPr>
          <w:rFonts w:ascii="Consolas" w:hAnsi="Consolas" w:eastAsia="宋体"/>
          <w:sz w:val="21"/>
        </w:rPr>
        <w:t>DELETE FROM app_user WHERE username LIKE 'rl\_%' ESCAPE '\\';</w:t>
      </w:r>
    </w:p>
    <w:p>
      <w:pPr>
        <w:pStyle w:val="Heading1"/>
      </w:pPr>
      <w:r>
        <w:t>6　分析与结论</w:t>
      </w:r>
    </w:p>
    <w:p>
      <w:pPr>
        <w:pStyle w:val="Heading2"/>
      </w:pPr>
      <w:r>
        <w:t>6.1　限流机制实测生效</w:t>
      </w:r>
    </w:p>
    <w:p>
      <w:pPr>
        <w:spacing w:line="360" w:lineRule="auto" w:before="0" w:after="0"/>
        <w:jc w:val="both"/>
        <w:ind w:firstLineChars="200"/>
      </w:pPr>
      <w:r>
        <w:t>单用户突发 150 次请求中，配额内的 101 次正常返回，超配额部分 46 次被稳定返回 429，验证了 Redis 分布式窗口限流在每用户 120 次/分钟设计约束下的实际拒接行为，说明接口在异常流量下具备第一道防护。</w:t>
      </w:r>
    </w:p>
    <w:p>
      <w:pPr>
        <w:pStyle w:val="Heading2"/>
      </w:pPr>
      <w:r>
        <w:t>6.2　时延水平与首字延迟</w:t>
      </w:r>
    </w:p>
    <w:p>
      <w:pPr>
        <w:spacing w:line="360" w:lineRule="auto" w:before="0" w:after="0"/>
        <w:jc w:val="both"/>
        <w:ind w:firstLineChars="200"/>
      </w:pPr>
      <w:r>
        <w:t>登录态读接口在 8 用户并发下 P50 47.9ms、P95 109.5ms、P99 191ms，具备良好的交互响应水平；SSE 流式对话首字延迟 P50 672ms、P95 1015ms，即用户在约 0.7 秒内开始收到流式回复，符合流式 AI 应用的可用体验区间。</w:t>
      </w:r>
    </w:p>
    <w:p>
      <w:pPr>
        <w:pStyle w:val="Heading2"/>
      </w:pPr>
      <w:r>
        <w:t>6.3　连接层超时与周期性停摆</w:t>
      </w:r>
    </w:p>
    <w:p>
      <w:pPr>
        <w:spacing w:line="360" w:lineRule="auto" w:before="0" w:after="0"/>
        <w:jc w:val="both"/>
        <w:ind w:firstLineChars="200"/>
      </w:pPr>
      <w:r>
        <w:t>常规三场景压测与第 5 章两轮容量测试均出现状态码 0 的连接层超时（常规轮 8 次与 3 次、容量轮 88 次与 27 次）。容量轮失败样本时延集中于约 21 秒量级，呈现周期性整体无响应窗口，且成功样本存在秒级长尾，判断为服务器周期性的进程级停顿（疑似 2 核 2G 部署下 Full GC 长暂停等），而非业务失败。此前将常规轮连接层超时归因为测试机到公网服务器的瞬时网络抖动，经容量测试复现后修正为服务器侧周期性停顿现象，详见 5.3 结论与根因分析。</w:t>
      </w:r>
    </w:p>
    <w:p>
      <w:pPr>
        <w:pStyle w:val="Heading2"/>
      </w:pPr>
      <w:r>
        <w:t>6.4　与简历数据映射建议</w:t>
      </w:r>
    </w:p>
    <w:p>
      <w:pPr>
        <w:spacing w:line="360" w:lineRule="auto" w:before="0" w:after="0"/>
        <w:jc w:val="both"/>
        <w:ind w:firstLineChars="200"/>
      </w:pPr>
      <w:r>
        <w:t>以下数据均已实测、口径可复现，建议写入简历 HeartPilot 项目段：引用校验后虚假引用率由基线 80% 降至 0%、高风险误报率由 46.2% 降至 0%、无结果降级成功率由 0% 提升至 100%（固定评测集回归）；SSE 流式对话首字延迟实测 P50 672ms、P95 1015ms；8 用户并发压测实测 QPS 7.31、P99 191ms，单用户超限由 Redis 限流返回 429 拒接。注意：引用覆盖率 20% 为评测集正样本 3/15 的固定口径，与基线持平，不宣称提升；第 5 章容量测试暴露的部署瓶颈数据不写入简历。</w:t>
      </w:r>
    </w:p>
    <w:p>
      <w:pPr>
        <w:pStyle w:val="Heading1"/>
      </w:pPr>
      <w:r>
        <w:t>7　复现方法</w:t>
      </w:r>
    </w:p>
    <w:p>
      <w:pPr>
        <w:spacing w:line="360" w:lineRule="auto" w:before="0" w:after="0"/>
        <w:jc w:val="both"/>
        <w:ind w:firstLineChars="200"/>
      </w:pPr>
      <w:r>
        <w:t>离线评测（项目根目录 heart-pilot-backend）：</w:t>
      </w:r>
    </w:p>
    <w:p>
      <w:pPr>
        <w:spacing w:line="360" w:lineRule="auto" w:after="120"/>
      </w:pPr>
      <w:r>
        <w:rPr>
          <w:rFonts w:ascii="Consolas" w:hAnsi="Consolas" w:eastAsia="宋体"/>
          <w:sz w:val="21"/>
        </w:rPr>
        <w:t>mvnw.cmd -q -Dtest=LegacyBaselineReplayTest,DecisionAssistantEvaluationTest -DfailIfNoTests=false test</w:t>
      </w:r>
    </w:p>
    <w:p>
      <w:pPr>
        <w:spacing w:line="360" w:lineRule="auto" w:before="0" w:after="0"/>
        <w:jc w:val="both"/>
        <w:ind w:firstLineChars="200"/>
      </w:pPr>
      <w:r>
        <w:t>在线压测（完整命令，含参数说明）：</w:t>
      </w:r>
    </w:p>
    <w:p>
      <w:pPr>
        <w:spacing w:line="360" w:lineRule="auto" w:after="120"/>
      </w:pPr>
      <w:r>
        <w:rPr>
          <w:rFonts w:ascii="Consolas" w:hAnsi="Consolas" w:eastAsia="宋体"/>
          <w:sz w:val="21"/>
        </w:rPr>
        <w:t>python heartpilot_stress_test.py --base-url http://82.157.205.6:8081 --users 8 --duration 60 --ramp 15 --ttft-samples 10 --burst-total 150</w:t>
      </w:r>
    </w:p>
    <w:p>
      <w:pPr>
        <w:spacing w:line="360" w:lineRule="auto" w:before="0" w:after="0"/>
        <w:jc w:val="both"/>
        <w:ind w:firstLineChars="200"/>
      </w:pPr>
      <w:r>
        <w:t>解除限流容量测试（只读接口、不修改线上配置）：</w:t>
      </w:r>
    </w:p>
    <w:p>
      <w:pPr>
        <w:spacing w:line="360" w:lineRule="auto" w:after="120"/>
      </w:pPr>
      <w:r>
        <w:rPr>
          <w:rFonts w:ascii="Consolas" w:hAnsi="Consolas" w:eastAsia="宋体"/>
          <w:sz w:val="21"/>
        </w:rPr>
        <w:t>python heartpilot_stress_test.py --capacity-only --capacity-users 40 --capacity-duration 60 --capacity-ramp 15</w:t>
      </w:r>
    </w:p>
    <w:p>
      <w:pPr>
        <w:spacing w:line="360" w:lineRule="auto" w:after="120"/>
      </w:pPr>
      <w:r>
        <w:rPr>
          <w:rFonts w:ascii="Consolas" w:hAnsi="Consolas" w:eastAsia="宋体"/>
          <w:sz w:val="21"/>
        </w:rPr>
        <w:t>python heartpilot_stress_test.py --capacity-only --capacity-users 20 --capacity-duration 60 --capacity-ramp 5</w:t>
      </w:r>
    </w:p>
    <w:p>
      <w:pPr>
        <w:spacing w:line="360" w:lineRule="auto" w:before="0" w:after="0"/>
        <w:jc w:val="both"/>
        <w:ind w:firstLineChars="200"/>
      </w:pPr>
      <w:r>
        <w:t>脚本将结果写入 results/ 目录（stress-summary-&lt;时间戳&gt;.json 与 stress-records-&lt;时间戳&gt;.csv），并打印控制台汇总。容量测试会注册 rl_ 前缀临时用户（仅写入 app_user 表），结束后按第 5.4 节清理 SQL 删除。</w:t>
      </w:r>
    </w:p>
    <w:p>
      <w:pPr>
        <w:pStyle w:val="Heading1"/>
      </w:pPr>
      <w:r>
        <w:t>附录 A　原始数据文件清单</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082"/>
            <w:shd w:val="clear" w:fill="D9D9D9"/>
            <w:vAlign w:val="center"/>
          </w:tcPr>
          <w:p>
            <w:pPr>
              <w:spacing w:line="240" w:lineRule="auto" w:before="20" w:after="20"/>
              <w:jc w:val="center"/>
            </w:pPr>
            <w:r>
              <w:rPr>
                <w:b/>
                <w:sz w:val="21"/>
                <w:rFonts w:eastAsia="宋体"/>
              </w:rPr>
              <w:t>文件</w:t>
            </w:r>
          </w:p>
        </w:tc>
        <w:tc>
          <w:tcPr>
            <w:tcW w:type="dxa" w:w="4989"/>
            <w:shd w:val="clear" w:fill="D9D9D9"/>
            <w:vAlign w:val="center"/>
          </w:tcPr>
          <w:p>
            <w:pPr>
              <w:spacing w:line="240" w:lineRule="auto" w:before="20" w:after="20"/>
              <w:jc w:val="center"/>
            </w:pPr>
            <w:r>
              <w:rPr>
                <w:b/>
                <w:sz w:val="21"/>
                <w:rFonts w:eastAsia="宋体"/>
              </w:rPr>
              <w:t>内容</w:t>
            </w:r>
          </w:p>
        </w:tc>
      </w:tr>
      <w:tr>
        <w:trPr>
          <w:cantSplit/>
        </w:trPr>
        <w:tc>
          <w:tcPr>
            <w:tcW w:type="dxa" w:w="4082"/>
            <w:vAlign w:val="center"/>
          </w:tcPr>
          <w:p>
            <w:pPr>
              <w:spacing w:line="240" w:lineRule="auto" w:before="20" w:after="20"/>
              <w:jc w:val="left"/>
            </w:pPr>
            <w:r>
              <w:rPr>
                <w:b w:val="0"/>
                <w:sz w:val="21"/>
                <w:rFonts w:eastAsia="宋体"/>
              </w:rPr>
              <w:t>results/stress-summary-20261009-220247.json</w:t>
            </w:r>
          </w:p>
        </w:tc>
        <w:tc>
          <w:tcPr>
            <w:tcW w:type="dxa" w:w="4989"/>
            <w:vAlign w:val="center"/>
          </w:tcPr>
          <w:p>
            <w:pPr>
              <w:spacing w:line="240" w:lineRule="auto" w:before="20" w:after="20"/>
              <w:jc w:val="left"/>
            </w:pPr>
            <w:r>
              <w:rPr>
                <w:b w:val="0"/>
                <w:sz w:val="21"/>
                <w:rFonts w:eastAsia="宋体"/>
              </w:rPr>
              <w:t>常规三场景汇总（持续负载 / 突发限流 / SSE TTFT）</w:t>
            </w:r>
          </w:p>
        </w:tc>
      </w:tr>
      <w:tr>
        <w:trPr>
          <w:cantSplit/>
        </w:trPr>
        <w:tc>
          <w:tcPr>
            <w:tcW w:type="dxa" w:w="4082"/>
            <w:vAlign w:val="center"/>
          </w:tcPr>
          <w:p>
            <w:pPr>
              <w:spacing w:line="240" w:lineRule="auto" w:before="20" w:after="20"/>
              <w:jc w:val="left"/>
            </w:pPr>
            <w:r>
              <w:rPr>
                <w:b w:val="0"/>
                <w:sz w:val="21"/>
                <w:rFonts w:eastAsia="宋体"/>
              </w:rPr>
              <w:t>results/stress-records-20261009-220247.csv</w:t>
            </w:r>
          </w:p>
        </w:tc>
        <w:tc>
          <w:tcPr>
            <w:tcW w:type="dxa" w:w="4989"/>
            <w:vAlign w:val="center"/>
          </w:tcPr>
          <w:p>
            <w:pPr>
              <w:spacing w:line="240" w:lineRule="auto" w:before="20" w:after="20"/>
              <w:jc w:val="left"/>
            </w:pPr>
            <w:r>
              <w:rPr>
                <w:b w:val="0"/>
                <w:sz w:val="21"/>
                <w:rFonts w:eastAsia="宋体"/>
              </w:rPr>
              <w:t>常规三场景逐请求原始记录（场景、状态码、时延、明细）</w:t>
            </w:r>
          </w:p>
        </w:tc>
      </w:tr>
      <w:tr>
        <w:trPr>
          <w:cantSplit/>
        </w:trPr>
        <w:tc>
          <w:tcPr>
            <w:tcW w:type="dxa" w:w="4082"/>
            <w:vAlign w:val="center"/>
          </w:tcPr>
          <w:p>
            <w:pPr>
              <w:spacing w:line="240" w:lineRule="auto" w:before="20" w:after="20"/>
              <w:jc w:val="left"/>
            </w:pPr>
            <w:r>
              <w:rPr>
                <w:b w:val="0"/>
                <w:sz w:val="21"/>
                <w:rFonts w:eastAsia="宋体"/>
              </w:rPr>
              <w:t>results/health-100conc.json</w:t>
            </w:r>
          </w:p>
        </w:tc>
        <w:tc>
          <w:tcPr>
            <w:tcW w:type="dxa" w:w="4989"/>
            <w:vAlign w:val="center"/>
          </w:tcPr>
          <w:p>
            <w:pPr>
              <w:spacing w:line="240" w:lineRule="auto" w:before="20" w:after="20"/>
              <w:jc w:val="left"/>
            </w:pPr>
            <w:r>
              <w:rPr>
                <w:b w:val="0"/>
                <w:sz w:val="21"/>
                <w:rFonts w:eastAsia="宋体"/>
              </w:rPr>
              <w:t>健康检查 100 并发参考测量</w:t>
            </w:r>
          </w:p>
        </w:tc>
      </w:tr>
      <w:tr>
        <w:trPr>
          <w:cantSplit/>
        </w:trPr>
        <w:tc>
          <w:tcPr>
            <w:tcW w:type="dxa" w:w="4082"/>
            <w:vAlign w:val="center"/>
          </w:tcPr>
          <w:p>
            <w:pPr>
              <w:spacing w:line="240" w:lineRule="auto" w:before="20" w:after="20"/>
              <w:jc w:val="left"/>
            </w:pPr>
            <w:r>
              <w:rPr>
                <w:b w:val="0"/>
                <w:sz w:val="21"/>
                <w:rFonts w:eastAsia="宋体"/>
              </w:rPr>
              <w:t>results/stress-summary-20261009-225843.json</w:t>
            </w:r>
          </w:p>
        </w:tc>
        <w:tc>
          <w:tcPr>
            <w:tcW w:type="dxa" w:w="4989"/>
            <w:vAlign w:val="center"/>
          </w:tcPr>
          <w:p>
            <w:pPr>
              <w:spacing w:line="240" w:lineRule="auto" w:before="20" w:after="20"/>
              <w:jc w:val="left"/>
            </w:pPr>
            <w:r>
              <w:rPr>
                <w:b w:val="0"/>
                <w:sz w:val="21"/>
                <w:rFonts w:eastAsia="宋体"/>
              </w:rPr>
              <w:t>容量测试（40 用户等效解除限流）汇总</w:t>
            </w:r>
          </w:p>
        </w:tc>
      </w:tr>
      <w:tr>
        <w:trPr>
          <w:cantSplit/>
        </w:trPr>
        <w:tc>
          <w:tcPr>
            <w:tcW w:type="dxa" w:w="4082"/>
            <w:vAlign w:val="center"/>
          </w:tcPr>
          <w:p>
            <w:pPr>
              <w:spacing w:line="240" w:lineRule="auto" w:before="20" w:after="20"/>
              <w:jc w:val="left"/>
            </w:pPr>
            <w:r>
              <w:rPr>
                <w:b w:val="0"/>
                <w:sz w:val="21"/>
                <w:rFonts w:eastAsia="宋体"/>
              </w:rPr>
              <w:t>results/stress-records-20261009-225843.csv</w:t>
            </w:r>
          </w:p>
        </w:tc>
        <w:tc>
          <w:tcPr>
            <w:tcW w:type="dxa" w:w="4989"/>
            <w:vAlign w:val="center"/>
          </w:tcPr>
          <w:p>
            <w:pPr>
              <w:spacing w:line="240" w:lineRule="auto" w:before="20" w:after="20"/>
              <w:jc w:val="left"/>
            </w:pPr>
            <w:r>
              <w:rPr>
                <w:b w:val="0"/>
                <w:sz w:val="21"/>
                <w:rFonts w:eastAsia="宋体"/>
              </w:rPr>
              <w:t>容量测试（40 用户）逐请求记录</w:t>
            </w:r>
          </w:p>
        </w:tc>
      </w:tr>
      <w:tr>
        <w:trPr>
          <w:cantSplit/>
        </w:trPr>
        <w:tc>
          <w:tcPr>
            <w:tcW w:type="dxa" w:w="4082"/>
            <w:vAlign w:val="center"/>
          </w:tcPr>
          <w:p>
            <w:pPr>
              <w:spacing w:line="240" w:lineRule="auto" w:before="20" w:after="20"/>
              <w:jc w:val="left"/>
            </w:pPr>
            <w:r>
              <w:rPr>
                <w:b w:val="0"/>
                <w:sz w:val="21"/>
                <w:rFonts w:eastAsia="宋体"/>
              </w:rPr>
              <w:t>results/stress-summary-20261009-230338.json</w:t>
            </w:r>
          </w:p>
        </w:tc>
        <w:tc>
          <w:tcPr>
            <w:tcW w:type="dxa" w:w="4989"/>
            <w:vAlign w:val="center"/>
          </w:tcPr>
          <w:p>
            <w:pPr>
              <w:spacing w:line="240" w:lineRule="auto" w:before="20" w:after="20"/>
              <w:jc w:val="left"/>
            </w:pPr>
            <w:r>
              <w:rPr>
                <w:b w:val="0"/>
                <w:sz w:val="21"/>
                <w:rFonts w:eastAsia="宋体"/>
              </w:rPr>
              <w:t>容量测试（20 用户等效解除限流）汇总</w:t>
            </w:r>
          </w:p>
        </w:tc>
      </w:tr>
      <w:tr>
        <w:trPr>
          <w:cantSplit/>
        </w:trPr>
        <w:tc>
          <w:tcPr>
            <w:tcW w:type="dxa" w:w="4082"/>
            <w:vAlign w:val="center"/>
          </w:tcPr>
          <w:p>
            <w:pPr>
              <w:spacing w:line="240" w:lineRule="auto" w:before="20" w:after="20"/>
              <w:jc w:val="left"/>
            </w:pPr>
            <w:r>
              <w:rPr>
                <w:b w:val="0"/>
                <w:sz w:val="21"/>
                <w:rFonts w:eastAsia="宋体"/>
              </w:rPr>
              <w:t>results/stress-records-20261009-230338.csv</w:t>
            </w:r>
          </w:p>
        </w:tc>
        <w:tc>
          <w:tcPr>
            <w:tcW w:type="dxa" w:w="4989"/>
            <w:vAlign w:val="center"/>
          </w:tcPr>
          <w:p>
            <w:pPr>
              <w:spacing w:line="240" w:lineRule="auto" w:before="20" w:after="20"/>
              <w:jc w:val="left"/>
            </w:pPr>
            <w:r>
              <w:rPr>
                <w:b w:val="0"/>
                <w:sz w:val="21"/>
                <w:rFonts w:eastAsia="宋体"/>
              </w:rPr>
              <w:t>容量测试（20 用户）逐请求记录</w:t>
            </w:r>
          </w:p>
        </w:tc>
      </w:tr>
      <w:tr>
        <w:trPr>
          <w:cantSplit/>
        </w:trPr>
        <w:tc>
          <w:tcPr>
            <w:tcW w:type="dxa" w:w="4082"/>
            <w:vAlign w:val="center"/>
          </w:tcPr>
          <w:p>
            <w:pPr>
              <w:spacing w:line="240" w:lineRule="auto" w:before="20" w:after="20"/>
              <w:jc w:val="left"/>
            </w:pPr>
            <w:r>
              <w:rPr>
                <w:b w:val="0"/>
                <w:sz w:val="21"/>
                <w:rFonts w:eastAsia="宋体"/>
              </w:rPr>
              <w:t>eval/baseline-v0.json</w:t>
            </w:r>
          </w:p>
        </w:tc>
        <w:tc>
          <w:tcPr>
            <w:tcW w:type="dxa" w:w="4989"/>
            <w:vAlign w:val="center"/>
          </w:tcPr>
          <w:p>
            <w:pPr>
              <w:spacing w:line="240" w:lineRule="auto" w:before="20" w:after="20"/>
              <w:jc w:val="left"/>
            </w:pPr>
            <w:r>
              <w:rPr>
                <w:b w:val="0"/>
                <w:sz w:val="21"/>
                <w:rFonts w:eastAsia="宋体"/>
              </w:rPr>
              <w:t>改造前基线指标（回放输出基准）</w:t>
            </w:r>
          </w:p>
        </w:tc>
      </w:tr>
      <w:tr>
        <w:trPr>
          <w:cantSplit/>
        </w:trPr>
        <w:tc>
          <w:tcPr>
            <w:tcW w:type="dxa" w:w="4082"/>
            <w:vAlign w:val="center"/>
          </w:tcPr>
          <w:p>
            <w:pPr>
              <w:spacing w:line="240" w:lineRule="auto" w:before="20" w:after="20"/>
              <w:jc w:val="left"/>
            </w:pPr>
            <w:r>
              <w:rPr>
                <w:b w:val="0"/>
                <w:sz w:val="21"/>
                <w:rFonts w:eastAsia="宋体"/>
              </w:rPr>
              <w:t>eval/citation-cases.jsonl / safety-cases.jsonl</w:t>
            </w:r>
          </w:p>
        </w:tc>
        <w:tc>
          <w:tcPr>
            <w:tcW w:type="dxa" w:w="4989"/>
            <w:vAlign w:val="center"/>
          </w:tcPr>
          <w:p>
            <w:pPr>
              <w:spacing w:line="240" w:lineRule="auto" w:before="20" w:after="20"/>
              <w:jc w:val="left"/>
            </w:pPr>
            <w:r>
              <w:rPr>
                <w:b w:val="0"/>
                <w:sz w:val="21"/>
                <w:rFonts w:eastAsia="宋体"/>
              </w:rPr>
              <w:t>固定评测集用例</w:t>
            </w:r>
          </w:p>
        </w:tc>
      </w:tr>
    </w:tbl>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360" w:lineRule="auto"/>
      <w:outlineLvl w:val="1"/>
    </w:pPr>
    <w:rPr>
      <w:rFonts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