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8A" w:rsidRPr="00C742C7" w:rsidRDefault="00336B8A" w:rsidP="00336B8A">
      <w:pPr>
        <w:rPr>
          <w:rFonts w:cstheme="minorHAnsi"/>
          <w:b/>
          <w:sz w:val="24"/>
          <w:szCs w:val="24"/>
        </w:rPr>
      </w:pPr>
      <w:r w:rsidRPr="00C742C7">
        <w:rPr>
          <w:rFonts w:cstheme="minorHAnsi"/>
          <w:b/>
          <w:sz w:val="24"/>
          <w:szCs w:val="24"/>
        </w:rPr>
        <w:t>Szczegółowy opis przedmiotu zamówienia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2D4D2D" w:rsidRPr="00FD7E41" w:rsidRDefault="002D4D2D" w:rsidP="002D4D2D">
      <w:pPr>
        <w:pStyle w:val="Akapitzlist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2D4D2D" w:rsidRDefault="002D4D2D" w:rsidP="002D4D2D">
      <w:pPr>
        <w:pStyle w:val="Akapitzlist"/>
        <w:numPr>
          <w:ilvl w:val="1"/>
          <w:numId w:val="23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336B8A" w:rsidRPr="00336B8A" w:rsidRDefault="00336B8A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Szczegółowa specyfikacja</w:t>
      </w:r>
    </w:p>
    <w:p w:rsidR="00824EA4" w:rsidRDefault="00B55707" w:rsidP="00B55707">
      <w:pPr>
        <w:rPr>
          <w:b/>
          <w:sz w:val="24"/>
        </w:rPr>
      </w:pPr>
      <w:r>
        <w:rPr>
          <w:b/>
          <w:sz w:val="24"/>
        </w:rPr>
        <w:t>Multimedialny projektor laserowy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Pr="00B55707">
        <w:rPr>
          <w:b/>
          <w:sz w:val="24"/>
        </w:rPr>
        <w:t>38652100-1</w:t>
      </w:r>
      <w:r w:rsidR="00761C02">
        <w:rPr>
          <w:b/>
          <w:sz w:val="24"/>
        </w:rPr>
        <w:t xml:space="preserve">) – </w:t>
      </w:r>
      <w:r w:rsidR="005B2899">
        <w:rPr>
          <w:b/>
          <w:sz w:val="24"/>
        </w:rPr>
        <w:t>3</w:t>
      </w:r>
      <w:r>
        <w:rPr>
          <w:b/>
          <w:sz w:val="24"/>
        </w:rPr>
        <w:t xml:space="preserve"> sztuka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5B2899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3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Ogólne</w:t>
            </w:r>
          </w:p>
        </w:tc>
        <w:tc>
          <w:tcPr>
            <w:tcW w:w="7909" w:type="dxa"/>
          </w:tcPr>
          <w:p w:rsidR="00AF122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Technologia wyświetlania 3LCD</w:t>
            </w:r>
            <w:r w:rsidR="00E86D6D">
              <w:rPr>
                <w:rFonts w:cstheme="minorHAnsi"/>
                <w:bCs/>
                <w:sz w:val="20"/>
                <w:szCs w:val="24"/>
              </w:rPr>
              <w:t xml:space="preserve"> lub DLP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B5570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Typ źródła światła: laserowe;</w:t>
            </w:r>
          </w:p>
          <w:p w:rsidR="00B55707" w:rsidRDefault="00B55707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Żywotność źródła światł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a powinna wynosić co najmniej </w:t>
            </w:r>
            <w:r w:rsidR="00E86D6D">
              <w:rPr>
                <w:rFonts w:cstheme="minorHAnsi"/>
                <w:bCs/>
                <w:sz w:val="20"/>
                <w:szCs w:val="24"/>
              </w:rPr>
              <w:t>30</w:t>
            </w:r>
            <w:r>
              <w:rPr>
                <w:rFonts w:cstheme="minorHAnsi"/>
                <w:bCs/>
                <w:sz w:val="20"/>
                <w:szCs w:val="24"/>
              </w:rPr>
              <w:t> 000 godzin w trybie ekonomicznym;</w:t>
            </w:r>
          </w:p>
          <w:p w:rsidR="00B55707" w:rsidRPr="00B55707" w:rsidRDefault="002C6D7E" w:rsidP="00237E24">
            <w:pPr>
              <w:pStyle w:val="Akapitzlist"/>
              <w:numPr>
                <w:ilvl w:val="0"/>
                <w:numId w:val="24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Kolor obudowy powinien być jasny (biały lub zbliżony).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761C02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Parametry obrazu</w:t>
            </w:r>
          </w:p>
        </w:tc>
        <w:tc>
          <w:tcPr>
            <w:tcW w:w="7909" w:type="dxa"/>
          </w:tcPr>
          <w:p w:rsidR="00AF1227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Rozdzielczość natywna co najmniej 1920 x </w:t>
            </w:r>
            <w:r w:rsidR="00E86D6D">
              <w:rPr>
                <w:rFonts w:cstheme="minorHAnsi"/>
                <w:bCs/>
                <w:sz w:val="20"/>
                <w:szCs w:val="24"/>
              </w:rPr>
              <w:t>1080</w:t>
            </w:r>
            <w:r>
              <w:rPr>
                <w:rFonts w:cstheme="minorHAnsi"/>
                <w:bCs/>
                <w:sz w:val="20"/>
                <w:szCs w:val="24"/>
              </w:rPr>
              <w:t xml:space="preserve"> pikseli (</w:t>
            </w:r>
            <w:proofErr w:type="spellStart"/>
            <w:r w:rsidR="00E86D6D">
              <w:rPr>
                <w:rFonts w:cstheme="minorHAnsi"/>
                <w:bCs/>
                <w:sz w:val="20"/>
                <w:szCs w:val="24"/>
              </w:rPr>
              <w:t>FullHD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Jasność powinna być na pozio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mie minimum </w:t>
            </w:r>
            <w:r w:rsidR="00E86D6D">
              <w:rPr>
                <w:rFonts w:cstheme="minorHAnsi"/>
                <w:bCs/>
                <w:sz w:val="20"/>
                <w:szCs w:val="24"/>
              </w:rPr>
              <w:t>4500</w:t>
            </w:r>
            <w:r>
              <w:rPr>
                <w:rFonts w:cstheme="minorHAnsi"/>
                <w:bCs/>
                <w:sz w:val="20"/>
                <w:szCs w:val="24"/>
              </w:rPr>
              <w:t xml:space="preserve"> ANSI lumenów;</w:t>
            </w:r>
          </w:p>
          <w:p w:rsidR="006F543B" w:rsidRDefault="006F543B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Dystans projekcyjny powinien wynosić co najmniej do 900 cm;</w:t>
            </w:r>
            <w:bookmarkStart w:id="0" w:name="_GoBack"/>
            <w:bookmarkEnd w:id="0"/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Kontras</w:t>
            </w:r>
            <w:r w:rsidR="00A609C9">
              <w:rPr>
                <w:rFonts w:cstheme="minorHAnsi"/>
                <w:bCs/>
                <w:sz w:val="20"/>
                <w:szCs w:val="24"/>
              </w:rPr>
              <w:t>t powinien wynosić co najmniej 2</w:t>
            </w:r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r w:rsidR="00E86D6D">
              <w:rPr>
                <w:rFonts w:cstheme="minorHAnsi"/>
                <w:bCs/>
                <w:sz w:val="20"/>
                <w:szCs w:val="24"/>
              </w:rPr>
              <w:t>5</w:t>
            </w:r>
            <w:r>
              <w:rPr>
                <w:rFonts w:cstheme="minorHAnsi"/>
                <w:bCs/>
                <w:sz w:val="20"/>
                <w:szCs w:val="24"/>
              </w:rPr>
              <w:t>00 000:1;</w:t>
            </w:r>
          </w:p>
          <w:p w:rsidR="002C6D7E" w:rsidRDefault="002C6D7E" w:rsidP="00237E24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Projektor powinien obsługiwać </w:t>
            </w:r>
            <w:r w:rsidR="00A609C9">
              <w:rPr>
                <w:rFonts w:cstheme="minorHAnsi"/>
                <w:bCs/>
                <w:sz w:val="20"/>
                <w:szCs w:val="24"/>
              </w:rPr>
              <w:t xml:space="preserve">proporcje obrazu </w:t>
            </w:r>
            <w:r>
              <w:rPr>
                <w:rFonts w:cstheme="minorHAnsi"/>
                <w:bCs/>
                <w:sz w:val="20"/>
                <w:szCs w:val="24"/>
              </w:rPr>
              <w:t>16:</w:t>
            </w:r>
            <w:r w:rsidR="00E86D6D">
              <w:rPr>
                <w:rFonts w:cstheme="minorHAnsi"/>
                <w:bCs/>
                <w:sz w:val="20"/>
                <w:szCs w:val="24"/>
              </w:rPr>
              <w:t>9 lub 16:10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C6D7E" w:rsidRPr="002C6D7E" w:rsidRDefault="002C6D7E" w:rsidP="00E86D6D">
            <w:pPr>
              <w:pStyle w:val="Akapitzlist"/>
              <w:numPr>
                <w:ilvl w:val="0"/>
                <w:numId w:val="20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Projektor powinien umożliwiać </w:t>
            </w:r>
            <w:r w:rsidR="00E86D6D">
              <w:rPr>
                <w:rFonts w:cstheme="minorHAnsi"/>
                <w:bCs/>
                <w:sz w:val="20"/>
                <w:szCs w:val="24"/>
              </w:rPr>
              <w:t>korekcję trapezową (pionowa i pozioma) geometrii obrazu.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B55707" w:rsidP="00AF1227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Obiektyw i instalacja</w:t>
            </w:r>
          </w:p>
        </w:tc>
        <w:tc>
          <w:tcPr>
            <w:tcW w:w="7909" w:type="dxa"/>
          </w:tcPr>
          <w:p w:rsidR="002C10A2" w:rsidRDefault="00236E43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Zoom optyczny co najmniej 1,6x;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umożliwiać projekcję z przesunięciem osi w pionie i poziomie (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lens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shift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</w:t>
            </w:r>
          </w:p>
          <w:p w:rsidR="00236E43" w:rsidRPr="002C10A2" w:rsidRDefault="00236E43" w:rsidP="00237E24">
            <w:pPr>
              <w:pStyle w:val="Akapitzlist"/>
              <w:numPr>
                <w:ilvl w:val="0"/>
                <w:numId w:val="21"/>
              </w:numPr>
              <w:ind w:left="313" w:hanging="31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Minimalna i maksymalna przekątna obrazu powinna znajdować się w zakresie co najmniej od 30 do 300 cali.</w:t>
            </w:r>
          </w:p>
        </w:tc>
      </w:tr>
      <w:tr w:rsidR="00AF1227" w:rsidTr="00966D21">
        <w:tc>
          <w:tcPr>
            <w:tcW w:w="562" w:type="dxa"/>
          </w:tcPr>
          <w:p w:rsidR="00AF1227" w:rsidRDefault="00336B8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AF122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</w:t>
            </w:r>
          </w:p>
        </w:tc>
        <w:tc>
          <w:tcPr>
            <w:tcW w:w="7909" w:type="dxa"/>
          </w:tcPr>
          <w:p w:rsidR="002C10A2" w:rsidRDefault="00236E43" w:rsidP="00237E24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być wyposażony w co najmniej: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2 x HDMI;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USB-A;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VGA;</w:t>
            </w:r>
          </w:p>
          <w:p w:rsid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LAN RJ-45</w:t>
            </w:r>
          </w:p>
          <w:p w:rsidR="00236E43" w:rsidRPr="00236E43" w:rsidRDefault="00236E43" w:rsidP="00237E24">
            <w:pPr>
              <w:pStyle w:val="Akapitzlist"/>
              <w:numPr>
                <w:ilvl w:val="0"/>
                <w:numId w:val="25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1 x gniazdo audio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jack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3,5 mm</w:t>
            </w:r>
          </w:p>
        </w:tc>
      </w:tr>
      <w:tr w:rsidR="00336B8A" w:rsidTr="00966D21">
        <w:tc>
          <w:tcPr>
            <w:tcW w:w="562" w:type="dxa"/>
          </w:tcPr>
          <w:p w:rsidR="00336B8A" w:rsidRDefault="00336B8A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336B8A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Inne funkcje</w:t>
            </w:r>
          </w:p>
        </w:tc>
        <w:tc>
          <w:tcPr>
            <w:tcW w:w="7909" w:type="dxa"/>
          </w:tcPr>
          <w:p w:rsidR="00236E43" w:rsidRPr="00236E43" w:rsidRDefault="00236E43" w:rsidP="00237E24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powinien być wyposażony w funkcje:</w:t>
            </w:r>
          </w:p>
          <w:p w:rsidR="00336B8A" w:rsidRDefault="00236E43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Pracy w trybie</w:t>
            </w:r>
            <w:r w:rsidRPr="00236E43">
              <w:rPr>
                <w:rFonts w:cstheme="minorHAnsi"/>
                <w:bCs/>
                <w:sz w:val="20"/>
                <w:szCs w:val="24"/>
              </w:rPr>
              <w:t xml:space="preserve"> cichym, maksymalnie do 2</w:t>
            </w:r>
            <w:r w:rsidR="00E86D6D">
              <w:rPr>
                <w:rFonts w:cstheme="minorHAnsi"/>
                <w:bCs/>
                <w:sz w:val="20"/>
                <w:szCs w:val="24"/>
              </w:rPr>
              <w:t>7</w:t>
            </w:r>
            <w:r w:rsidRPr="00236E43"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 w:rsidRPr="00236E43">
              <w:rPr>
                <w:rFonts w:cstheme="minorHAnsi"/>
                <w:bCs/>
                <w:sz w:val="20"/>
                <w:szCs w:val="24"/>
              </w:rPr>
              <w:t>dB</w:t>
            </w:r>
            <w:proofErr w:type="spellEnd"/>
            <w:r w:rsidRPr="00236E43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A609C9" w:rsidRDefault="00A609C9" w:rsidP="00237E24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Wbudowany głośnik;</w:t>
            </w:r>
          </w:p>
          <w:p w:rsidR="00236E43" w:rsidRPr="00236E43" w:rsidRDefault="00237E24" w:rsidP="00E86D6D">
            <w:pPr>
              <w:pStyle w:val="Akapitzlist"/>
              <w:numPr>
                <w:ilvl w:val="0"/>
                <w:numId w:val="26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Automatyczne</w:t>
            </w:r>
            <w:r w:rsidR="00E86D6D">
              <w:rPr>
                <w:rFonts w:cstheme="minorHAnsi"/>
                <w:bCs/>
                <w:sz w:val="20"/>
                <w:szCs w:val="24"/>
              </w:rPr>
              <w:t>go</w:t>
            </w:r>
            <w:r>
              <w:rPr>
                <w:rFonts w:cstheme="minorHAnsi"/>
                <w:bCs/>
                <w:sz w:val="20"/>
                <w:szCs w:val="24"/>
              </w:rPr>
              <w:t xml:space="preserve"> włączani</w:t>
            </w:r>
            <w:r w:rsidR="00E86D6D">
              <w:rPr>
                <w:rFonts w:cstheme="minorHAnsi"/>
                <w:bCs/>
                <w:sz w:val="20"/>
                <w:szCs w:val="24"/>
              </w:rPr>
              <w:t>a i wyłączania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B55707" w:rsidTr="00966D21">
        <w:tc>
          <w:tcPr>
            <w:tcW w:w="562" w:type="dxa"/>
          </w:tcPr>
          <w:p w:rsidR="00B5570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7.</w:t>
            </w:r>
          </w:p>
        </w:tc>
        <w:tc>
          <w:tcPr>
            <w:tcW w:w="1985" w:type="dxa"/>
          </w:tcPr>
          <w:p w:rsidR="00B55707" w:rsidRDefault="00B55707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B55707" w:rsidRDefault="00237E24" w:rsidP="002D4D2D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Projektor musi zostać dostarczony z kablem zasilającym, pilotem do zdalnego sterowania, instrukcją obsługi w języku polskim i kartą gwarancyjną.</w:t>
            </w:r>
          </w:p>
        </w:tc>
      </w:tr>
      <w:tr w:rsidR="002C10A2" w:rsidTr="00966D21">
        <w:tc>
          <w:tcPr>
            <w:tcW w:w="562" w:type="dxa"/>
          </w:tcPr>
          <w:p w:rsidR="002C10A2" w:rsidRDefault="00B55707" w:rsidP="002C10A2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8</w:t>
            </w:r>
            <w:r w:rsidR="002C10A2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2C10A2" w:rsidRDefault="002C10A2" w:rsidP="002C10A2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2C10A2" w:rsidRDefault="002C10A2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237E24">
              <w:rPr>
                <w:rFonts w:cstheme="minorHAnsi"/>
                <w:bCs/>
                <w:sz w:val="20"/>
                <w:szCs w:val="24"/>
              </w:rPr>
              <w:t>Minimalny okres bezpłatnej gwarancji</w:t>
            </w:r>
            <w:r w:rsidR="00237E24">
              <w:rPr>
                <w:rFonts w:cstheme="minorHAnsi"/>
                <w:bCs/>
                <w:sz w:val="20"/>
                <w:szCs w:val="24"/>
              </w:rPr>
              <w:t xml:space="preserve"> na urządzenie</w:t>
            </w:r>
            <w:r w:rsidRPr="00237E24">
              <w:rPr>
                <w:rFonts w:cstheme="minorHAnsi"/>
                <w:bCs/>
                <w:sz w:val="20"/>
                <w:szCs w:val="24"/>
              </w:rPr>
              <w:t xml:space="preserve"> powinien wynosić 36 miesięcy</w:t>
            </w:r>
            <w:r w:rsidR="00237E24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37E24" w:rsidRDefault="00237E24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bezpłatnej gwarancji na źródło światła powinien wynosić 36 miesięcy lub 20 000 godzin;</w:t>
            </w:r>
          </w:p>
          <w:p w:rsidR="00237E24" w:rsidRPr="00237E24" w:rsidRDefault="00237E24" w:rsidP="00237E24">
            <w:pPr>
              <w:pStyle w:val="Akapitzlist"/>
              <w:numPr>
                <w:ilvl w:val="0"/>
                <w:numId w:val="27"/>
              </w:numPr>
              <w:ind w:left="31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Serwis powinien być realizowany na terenie Polski.</w:t>
            </w:r>
          </w:p>
        </w:tc>
      </w:tr>
    </w:tbl>
    <w:p w:rsidR="00761C02" w:rsidRPr="00761C02" w:rsidRDefault="00761C02" w:rsidP="00966B9D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02C"/>
    <w:multiLevelType w:val="hybridMultilevel"/>
    <w:tmpl w:val="204450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155C"/>
    <w:multiLevelType w:val="hybridMultilevel"/>
    <w:tmpl w:val="9C981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DE4"/>
    <w:multiLevelType w:val="hybridMultilevel"/>
    <w:tmpl w:val="B1CA320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4AA96BC9"/>
    <w:multiLevelType w:val="hybridMultilevel"/>
    <w:tmpl w:val="8D2659D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9113E"/>
    <w:multiLevelType w:val="hybridMultilevel"/>
    <w:tmpl w:val="640215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C18D6"/>
    <w:multiLevelType w:val="hybridMultilevel"/>
    <w:tmpl w:val="2B42E7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87B6D"/>
    <w:multiLevelType w:val="hybridMultilevel"/>
    <w:tmpl w:val="CCC08D8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17029"/>
    <w:multiLevelType w:val="hybridMultilevel"/>
    <w:tmpl w:val="7D1043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5"/>
  </w:num>
  <w:num w:numId="4">
    <w:abstractNumId w:val="6"/>
  </w:num>
  <w:num w:numId="5">
    <w:abstractNumId w:val="21"/>
  </w:num>
  <w:num w:numId="6">
    <w:abstractNumId w:val="5"/>
  </w:num>
  <w:num w:numId="7">
    <w:abstractNumId w:val="10"/>
  </w:num>
  <w:num w:numId="8">
    <w:abstractNumId w:val="14"/>
  </w:num>
  <w:num w:numId="9">
    <w:abstractNumId w:val="8"/>
  </w:num>
  <w:num w:numId="10">
    <w:abstractNumId w:val="22"/>
  </w:num>
  <w:num w:numId="11">
    <w:abstractNumId w:val="13"/>
  </w:num>
  <w:num w:numId="12">
    <w:abstractNumId w:val="9"/>
  </w:num>
  <w:num w:numId="13">
    <w:abstractNumId w:val="19"/>
  </w:num>
  <w:num w:numId="14">
    <w:abstractNumId w:val="24"/>
  </w:num>
  <w:num w:numId="15">
    <w:abstractNumId w:val="11"/>
  </w:num>
  <w:num w:numId="16">
    <w:abstractNumId w:val="16"/>
  </w:num>
  <w:num w:numId="17">
    <w:abstractNumId w:val="4"/>
  </w:num>
  <w:num w:numId="18">
    <w:abstractNumId w:val="1"/>
  </w:num>
  <w:num w:numId="19">
    <w:abstractNumId w:val="7"/>
  </w:num>
  <w:num w:numId="20">
    <w:abstractNumId w:val="26"/>
  </w:num>
  <w:num w:numId="21">
    <w:abstractNumId w:val="17"/>
  </w:num>
  <w:num w:numId="22">
    <w:abstractNumId w:val="15"/>
  </w:num>
  <w:num w:numId="23">
    <w:abstractNumId w:val="20"/>
  </w:num>
  <w:num w:numId="24">
    <w:abstractNumId w:val="23"/>
  </w:num>
  <w:num w:numId="25">
    <w:abstractNumId w:val="12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6E43"/>
    <w:rsid w:val="00237E24"/>
    <w:rsid w:val="00237FEF"/>
    <w:rsid w:val="002C10A2"/>
    <w:rsid w:val="002C6D7E"/>
    <w:rsid w:val="002D4D2D"/>
    <w:rsid w:val="00336B8A"/>
    <w:rsid w:val="00352F8F"/>
    <w:rsid w:val="005B2899"/>
    <w:rsid w:val="006F543B"/>
    <w:rsid w:val="00761C02"/>
    <w:rsid w:val="007D56D0"/>
    <w:rsid w:val="007D6438"/>
    <w:rsid w:val="00824EA4"/>
    <w:rsid w:val="008F593F"/>
    <w:rsid w:val="00964188"/>
    <w:rsid w:val="00966B9D"/>
    <w:rsid w:val="00A609C9"/>
    <w:rsid w:val="00A93635"/>
    <w:rsid w:val="00AF1227"/>
    <w:rsid w:val="00B051A4"/>
    <w:rsid w:val="00B55707"/>
    <w:rsid w:val="00B86FC1"/>
    <w:rsid w:val="00D07C28"/>
    <w:rsid w:val="00D818C5"/>
    <w:rsid w:val="00DA3462"/>
    <w:rsid w:val="00E45B2C"/>
    <w:rsid w:val="00E86D6D"/>
    <w:rsid w:val="00EB0C9C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CB2F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473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16</cp:revision>
  <dcterms:created xsi:type="dcterms:W3CDTF">2025-04-03T12:27:00Z</dcterms:created>
  <dcterms:modified xsi:type="dcterms:W3CDTF">2025-05-14T10:47:00Z</dcterms:modified>
</cp:coreProperties>
</file>