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 w:line="276" w:lineRule="auto"/>
        <w:jc w:val="center"/>
      </w:pPr>
      <w:r>
        <w:rPr>
          <w:rFonts w:ascii="Aptos Display" w:hAnsi="Aptos Display"/>
          <w:b/>
          <w:color w:val="C96A00"/>
          <w:sz w:val="48"/>
        </w:rPr>
        <w:t>Bitcoin Regime Navigator v2</w:t>
      </w:r>
    </w:p>
    <w:p>
      <w:pPr>
        <w:spacing w:before="80" w:after="0" w:line="276" w:lineRule="auto"/>
        <w:jc w:val="center"/>
      </w:pPr>
      <w:r>
        <w:rPr>
          <w:color w:val="555555"/>
          <w:sz w:val="26"/>
        </w:rPr>
        <w:t>Full Concept Document for Product, UX and Development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F0C48A"/>
          <w:left w:val="single" w:sz="10" w:space="0" w:color="F0C48A"/>
          <w:bottom w:val="single" w:sz="10" w:space="0" w:color="F0C48A"/>
          <w:right w:val="single" w:sz="10" w:space="0" w:color="F0C48A"/>
          <w:insideH w:val="single" w:sz="10" w:space="0" w:color="F0C48A"/>
          <w:insideV w:val="single" w:sz="10" w:space="0" w:color="F0C48A"/>
        </w:tblBorders>
      </w:tblPr>
      <w:tblGrid>
        <w:gridCol w:w="8352"/>
      </w:tblGrid>
      <w:tr>
        <w:tc>
          <w:tcPr>
            <w:tcW w:type="dxa" w:w="9792"/>
            <w:shd w:fill="FFF4E5" w:val="clear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9A5200"/>
                <w:sz w:val="21"/>
              </w:rPr>
              <w:t>Purpose</w:t>
              <w:br/>
            </w:r>
            <w:r>
              <w:rPr>
                <w:color w:val="333333"/>
                <w:sz w:val="21"/>
              </w:rPr>
              <w:t>Define the v2 concept, MVP scope, UX model, data architecture, scoring framework, roadmap, and delivery guardrails for Bitcoin Regime Navigator.</w:t>
            </w:r>
          </w:p>
        </w:tc>
      </w:tr>
    </w:tbl>
    <w:p>
      <w:pPr>
        <w:spacing w:before="240" w:after="0" w:line="276" w:lineRule="auto"/>
        <w:jc w:val="center"/>
      </w:pPr>
      <w:r>
        <w:rPr>
          <w:color w:val="777777"/>
          <w:sz w:val="20"/>
        </w:rPr>
        <w:t>Prepared for internal review with product, design and engineering stakeholders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Bitcoin Regime Navigator v2 is a cross-platform Bitcoin analytics product with a premium Apple Vision Pro front end. Its purpose is to help investors detect Bitcoin regime change faster than with flat dashboards by combining a concise daily briefing, explicit scores, one hero spatial module, replay, and evidence-based narrative explanation.</w:t>
      </w:r>
    </w:p>
    <w:p>
      <w:r>
        <w:t>The core v2 promise is simple: detect Bitcoin regime change in under 60 seconds. The MVP achieves this through a window-first briefing experience and a single high-value spatial deep-dive module called the Mempool Arena.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v2 Position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Primary job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Explain current Bitcoin stress and demand conditions quickly and credibly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Primary launch surface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Seated mixed-reality Daily Briefing Window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Hero spatial feature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Mempool Arena with clustered fee bands, block clearances and replay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MVP context layers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Macro strip and Known Flows strip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Deferred from core MVP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Network Map and full cinematic Capital Flow Engine</w:t>
            </w:r>
          </w:p>
        </w:tc>
      </w:tr>
    </w:tbl>
    <w:p/>
    <w:p>
      <w:pPr>
        <w:pStyle w:val="Heading1"/>
      </w:pPr>
      <w:r>
        <w:t>2. Product Thesis and Design Principles</w:t>
      </w:r>
    </w:p>
    <w:p>
      <w:r>
        <w:t>The product should not be sold as 'Bitcoin in 3D'. That framing is too weak. The product should be sold as a faster decision environment for Bitcoin investors.</w:t>
      </w:r>
    </w:p>
    <w:p>
      <w:pPr>
        <w:pStyle w:val="ListBullet"/>
        <w:spacing w:after="40"/>
        <w:ind w:left="288"/>
      </w:pPr>
      <w:r>
        <w:t>Interpretation first. Every scene must answer a decision question, not merely display data.</w:t>
      </w:r>
    </w:p>
    <w:p>
      <w:pPr>
        <w:pStyle w:val="ListBullet"/>
        <w:spacing w:after="40"/>
        <w:ind w:left="288"/>
      </w:pPr>
      <w:r>
        <w:t>Window first. Default usage starts in a compact mixed-reality window; volumes and immersive scenes are used only where they create material analytical benefit.</w:t>
      </w:r>
    </w:p>
    <w:p>
      <w:pPr>
        <w:pStyle w:val="ListBullet"/>
        <w:spacing w:after="40"/>
        <w:ind w:left="288"/>
      </w:pPr>
      <w:r>
        <w:t>One hero module. The first build concentrates on the mempool and blockspace-demand thesis because it is the most spatially native and the most feasible.</w:t>
      </w:r>
    </w:p>
    <w:p>
      <w:pPr>
        <w:pStyle w:val="ListBullet"/>
        <w:spacing w:after="40"/>
        <w:ind w:left="288"/>
      </w:pPr>
      <w:r>
        <w:t>Evidence over metaphor. Every score and visual object must have source, timestamp, freshness and confidence metadata.</w:t>
      </w:r>
    </w:p>
    <w:p>
      <w:pPr>
        <w:pStyle w:val="ListBullet"/>
        <w:spacing w:after="40"/>
        <w:ind w:left="288"/>
      </w:pPr>
      <w:r>
        <w:t>Comfort over spectacle. The experience must be seated-friendly, low-motion and calm enough for repeated use.</w:t>
      </w:r>
    </w:p>
    <w:p>
      <w:pPr>
        <w:pStyle w:val="ListBullet"/>
        <w:spacing w:after="40"/>
        <w:ind w:left="288"/>
      </w:pPr>
      <w:r>
        <w:t>Cross-platform by design. Vision Pro is the premium deep-inspection and presentation surface, not the only surface.</w:t>
      </w:r>
    </w:p>
    <w:p>
      <w:pPr>
        <w:pStyle w:val="Heading1"/>
      </w:pPr>
      <w:r>
        <w:t>3. Target Users and Jobs to Be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304"/>
        <w:gridCol w:w="5472"/>
        <w:gridCol w:w="1872"/>
      </w:tblGrid>
      <w:tr>
        <w:trPr>
          <w:tblHeader w:val="true"/>
        </w:trPr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Persona</w:t>
            </w:r>
          </w:p>
        </w:tc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Primary Need</w:t>
            </w:r>
          </w:p>
        </w:tc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Success Metric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Bitcoin macro investor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Understand whether current Bitcoin conditions are calm, congested, speculative or structurally changing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Can explain current regime within 60 seconds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On-chain analyst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Inspect mempool behavior and compare current congestion with prior periods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Can replay and justify anomaly patterns quickly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Institutional strategist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Review Bitcoin state in thesis meetings or committee settings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Can communicate a defensible evidence summary to others</w:t>
            </w:r>
          </w:p>
        </w:tc>
      </w:tr>
    </w:tbl>
    <w:p/>
    <w:p>
      <w:pPr>
        <w:pStyle w:val="Heading1"/>
      </w:pPr>
      <w:r>
        <w:t>4. User Value Proposition</w:t>
      </w:r>
    </w:p>
    <w:p>
      <w:pPr>
        <w:pStyle w:val="ListBullet"/>
        <w:spacing w:after="40"/>
        <w:ind w:left="288"/>
      </w:pPr>
      <w:r>
        <w:t>Faster stress recognition: users can distinguish calm, stressed, speculative and structural conditions faster than with flat charts alone.</w:t>
      </w:r>
    </w:p>
    <w:p>
      <w:pPr>
        <w:pStyle w:val="ListBullet"/>
        <w:spacing w:after="40"/>
        <w:ind w:left="288"/>
      </w:pPr>
      <w:r>
        <w:t>Better separation of transient versus persistent demand: fee floors and block clearances are visible as behavior, not just numbers.</w:t>
      </w:r>
    </w:p>
    <w:p>
      <w:pPr>
        <w:pStyle w:val="ListBullet"/>
        <w:spacing w:after="40"/>
        <w:ind w:left="288"/>
      </w:pPr>
      <w:r>
        <w:t>Clearer market context: macro and known-flow signals are shown as supporting evidence instead of disconnected tabs.</w:t>
      </w:r>
    </w:p>
    <w:p>
      <w:pPr>
        <w:pStyle w:val="ListBullet"/>
        <w:spacing w:after="40"/>
        <w:ind w:left="288"/>
      </w:pPr>
      <w:r>
        <w:t>Better communication: the user can move from a one-line regime statement to a spatial explanation suitable for expert discussions.</w:t>
      </w:r>
    </w:p>
    <w:p>
      <w:r>
        <w:rPr>
          <w:b/>
          <w:color w:val="333333"/>
        </w:rPr>
        <w:t xml:space="preserve">Example - </w:t>
      </w:r>
      <w:r>
        <w:rPr>
          <w:color w:val="333333"/>
        </w:rPr>
        <w:t>Compact example:</w:t>
      </w:r>
    </w:p>
    <w:p>
      <w:r>
        <w:t>Regime: Elevated short-term network stress with mildly restrictive macro backdrop. Evidence: Fee bands remain elevated after recent block clearances, suggesting persistent demand rather than a one-off spike. Known flows are neutral. Confidence: 0.74.</w:t>
      </w:r>
    </w:p>
    <w:p>
      <w:pPr>
        <w:pStyle w:val="Heading1"/>
      </w:pPr>
      <w:r>
        <w:t>5. Product Scope</w:t>
      </w:r>
    </w:p>
    <w:p>
      <w:pPr>
        <w:pStyle w:val="Heading2"/>
      </w:pPr>
      <w:r>
        <w:t>5.1 In Scope for MVP</w:t>
      </w:r>
    </w:p>
    <w:p>
      <w:pPr>
        <w:pStyle w:val="ListBullet"/>
        <w:spacing w:after="40"/>
        <w:ind w:left="288"/>
      </w:pPr>
      <w:r>
        <w:t>Daily Briefing Window with explicit scores, confidence, alerts and evidence cards</w:t>
      </w:r>
    </w:p>
    <w:p>
      <w:pPr>
        <w:pStyle w:val="ListBullet"/>
        <w:spacing w:after="40"/>
        <w:ind w:left="288"/>
      </w:pPr>
      <w:r>
        <w:t>Mempool Arena volume with clustered fee bands, live block clearances and replay</w:t>
      </w:r>
    </w:p>
    <w:p>
      <w:pPr>
        <w:pStyle w:val="ListBullet"/>
        <w:spacing w:after="40"/>
        <w:ind w:left="288"/>
      </w:pPr>
      <w:r>
        <w:t>Macro strip with a small set of explicit indicators</w:t>
      </w:r>
    </w:p>
    <w:p>
      <w:pPr>
        <w:pStyle w:val="ListBullet"/>
        <w:spacing w:after="40"/>
        <w:ind w:left="288"/>
      </w:pPr>
      <w:r>
        <w:t>Known Flows strip with conservative, provenance-labeled public or licensed inputs</w:t>
      </w:r>
    </w:p>
    <w:p>
      <w:pPr>
        <w:pStyle w:val="ListBullet"/>
        <w:spacing w:after="40"/>
        <w:ind w:left="288"/>
      </w:pPr>
      <w:r>
        <w:t>Narrative summary with confidence and methodology link-outs</w:t>
      </w:r>
    </w:p>
    <w:p>
      <w:pPr>
        <w:pStyle w:val="ListBullet"/>
        <w:spacing w:after="40"/>
        <w:ind w:left="288"/>
      </w:pPr>
      <w:r>
        <w:t>Cross-platform companion surfaces for Mac, iPad and iPhone summaries and alerts</w:t>
      </w:r>
    </w:p>
    <w:p>
      <w:pPr>
        <w:pStyle w:val="Heading2"/>
      </w:pPr>
      <w:r>
        <w:t>5.2 Out of Scope for MVP</w:t>
      </w:r>
    </w:p>
    <w:p>
      <w:pPr>
        <w:pStyle w:val="ListBullet"/>
        <w:spacing w:after="40"/>
        <w:ind w:left="288"/>
      </w:pPr>
      <w:r>
        <w:t>Trading execution, wallet integration and custody features</w:t>
      </w:r>
    </w:p>
    <w:p>
      <w:pPr>
        <w:pStyle w:val="ListBullet"/>
        <w:spacing w:after="40"/>
        <w:ind w:left="288"/>
      </w:pPr>
      <w:r>
        <w:t>Private portfolio analytics</w:t>
      </w:r>
    </w:p>
    <w:p>
      <w:pPr>
        <w:pStyle w:val="ListBullet"/>
        <w:spacing w:after="40"/>
        <w:ind w:left="288"/>
      </w:pPr>
      <w:r>
        <w:t>Always-on immersive 'observatory room' as default mode</w:t>
      </w:r>
    </w:p>
    <w:p>
      <w:pPr>
        <w:pStyle w:val="ListBullet"/>
        <w:spacing w:after="40"/>
        <w:ind w:left="288"/>
      </w:pPr>
      <w:r>
        <w:t>Full real-time entity-level capital-flow simulation</w:t>
      </w:r>
    </w:p>
    <w:p>
      <w:pPr>
        <w:pStyle w:val="ListBullet"/>
        <w:spacing w:after="40"/>
        <w:ind w:left="288"/>
      </w:pPr>
      <w:r>
        <w:t>Lightning, Ordinals, mining geography and network globe as core workflows</w:t>
      </w:r>
    </w:p>
    <w:p>
      <w:pPr>
        <w:pStyle w:val="Heading1"/>
      </w:pPr>
      <w:r>
        <w:t>6. Core Product Outputs</w:t>
      </w:r>
    </w:p>
    <w:p>
      <w:r>
        <w:t>The app must produce explicit outputs before it produces spectacle. The following outputs form the minimum analytical contract with the 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48"/>
        <w:gridCol w:w="5472"/>
        <w:gridCol w:w="1728"/>
      </w:tblGrid>
      <w:tr>
        <w:trPr>
          <w:tblHeader w:val="true"/>
        </w:trPr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Output</w:t>
            </w:r>
          </w:p>
        </w:tc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Cadence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Mempool Stress Score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Measures blockspace pressure and persistence of fee demand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Near real-time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Known Flow Pressure Score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Summarizes available supply/liquidity pressure proxies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Hourly to daily depending on source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Macro Liquidity Score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Summarizes macro backdrop relevant to Bitcoin risk conditions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Intraday to daily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Composite Regime State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Single interpretable state for the current Bitcoin environment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Continuously refreshed as source cadence allows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Confidence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Signals how strong and current the evidence is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Recomputed with each refresh</w:t>
            </w:r>
          </w:p>
        </w:tc>
      </w:tr>
    </w:tbl>
    <w:p/>
    <w:p>
      <w:pPr>
        <w:pStyle w:val="Heading1"/>
      </w:pPr>
      <w:r>
        <w:t>7. MVP Experience Architecture</w:t>
      </w:r>
    </w:p>
    <w:p>
      <w:pPr>
        <w:pStyle w:val="Heading2"/>
      </w:pPr>
      <w:r>
        <w:t>7.1 Daily Briefing Window</w:t>
      </w:r>
    </w:p>
    <w:p>
      <w:r>
        <w:t>The Daily Briefing Window is the primary launch surface. It is designed for seated, forward-facing use in mixed reality.</w:t>
      </w:r>
    </w:p>
    <w:p>
      <w:pPr>
        <w:pStyle w:val="ListBullet"/>
        <w:spacing w:after="40"/>
        <w:ind w:left="288"/>
      </w:pPr>
      <w:r>
        <w:t>Top bar: Composite Regime State, Confidence, timestamp and alert badge</w:t>
      </w:r>
    </w:p>
    <w:p>
      <w:pPr>
        <w:pStyle w:val="ListBullet"/>
        <w:spacing w:after="40"/>
        <w:ind w:left="288"/>
      </w:pPr>
      <w:r>
        <w:t>Main panel: Mempool Stress, Macro Liquidity and Known Flow Pressure cards</w:t>
      </w:r>
    </w:p>
    <w:p>
      <w:pPr>
        <w:pStyle w:val="ListBullet"/>
        <w:spacing w:after="40"/>
        <w:ind w:left="288"/>
      </w:pPr>
      <w:r>
        <w:t>Evidence row: three evidence cards showing the strongest supporting drivers</w:t>
      </w:r>
    </w:p>
    <w:p>
      <w:pPr>
        <w:pStyle w:val="ListBullet"/>
        <w:spacing w:after="40"/>
        <w:ind w:left="288"/>
      </w:pPr>
      <w:r>
        <w:t>Action row: Replay, Open Mempool Arena, View Methodology, Save Snapshot</w:t>
      </w:r>
    </w:p>
    <w:p>
      <w:r>
        <w:t>The Daily Briefing should answer two questions within the first 10 seconds: what is the current regime, and why does the app believe that?</w:t>
      </w:r>
    </w:p>
    <w:p>
      <w:pPr>
        <w:pStyle w:val="Heading2"/>
      </w:pPr>
      <w:r>
        <w:t>7.2 Mempool Arena</w:t>
      </w:r>
    </w:p>
    <w:p>
      <w:r>
        <w:t>Mempool Arena is the hero spatial volume. It visualizes the fee market as clustered market structure rather than literal per-transaction particles.</w:t>
      </w:r>
    </w:p>
    <w:p>
      <w:pPr>
        <w:pStyle w:val="ListBullet"/>
        <w:spacing w:after="40"/>
        <w:ind w:left="288"/>
      </w:pPr>
      <w:r>
        <w:t>Fee-band clustering instead of raw particle swarms</w:t>
      </w:r>
    </w:p>
    <w:p>
      <w:pPr>
        <w:pStyle w:val="ListBullet"/>
        <w:spacing w:after="40"/>
        <w:ind w:left="288"/>
      </w:pPr>
      <w:r>
        <w:t>Vertical layering for fee pressure and queue depth</w:t>
      </w:r>
    </w:p>
    <w:p>
      <w:pPr>
        <w:pStyle w:val="ListBullet"/>
        <w:spacing w:after="40"/>
        <w:ind w:left="288"/>
      </w:pPr>
      <w:r>
        <w:t>Block-clearance events tied to actual block arrivals</w:t>
      </w:r>
    </w:p>
    <w:p>
      <w:pPr>
        <w:pStyle w:val="ListBullet"/>
        <w:spacing w:after="40"/>
        <w:ind w:left="288"/>
      </w:pPr>
      <w:r>
        <w:t>Replay and scrub controls for recent history</w:t>
      </w:r>
    </w:p>
    <w:p>
      <w:pPr>
        <w:pStyle w:val="ListBullet"/>
        <w:spacing w:after="40"/>
        <w:ind w:left="288"/>
      </w:pPr>
      <w:r>
        <w:t>State labels such as normal, stressed, speculative spike and structural congestion</w:t>
      </w:r>
    </w:p>
    <w:p>
      <w:pPr>
        <w:pStyle w:val="Heading2"/>
      </w:pPr>
      <w:r>
        <w:t>7.3 Macro Strip</w:t>
      </w:r>
    </w:p>
    <w:p>
      <w:r>
        <w:t>The macro layer should be compressed and explicit rather than atmospheric. It is a supporting strip, not a large animated object.</w:t>
      </w:r>
    </w:p>
    <w:p>
      <w:pPr>
        <w:pStyle w:val="ListBullet"/>
        <w:spacing w:after="40"/>
        <w:ind w:left="288"/>
      </w:pPr>
      <w:r>
        <w:t>Candidate indicators: DXY, real yields, liquidity proxy, equities risk-on/off, gold or BTC relative-strength context</w:t>
      </w:r>
    </w:p>
    <w:p>
      <w:pPr>
        <w:pStyle w:val="ListBullet"/>
        <w:spacing w:after="40"/>
        <w:ind w:left="288"/>
      </w:pPr>
      <w:r>
        <w:t>Each indicator shows level, recent delta, freshness and contribution weight to the composite regime</w:t>
      </w:r>
    </w:p>
    <w:p>
      <w:pPr>
        <w:pStyle w:val="ListBullet"/>
        <w:spacing w:after="40"/>
        <w:ind w:left="288"/>
      </w:pPr>
      <w:r>
        <w:t>Expansion mode reveals short historical context without taking over the whole scene</w:t>
      </w:r>
    </w:p>
    <w:p>
      <w:pPr>
        <w:pStyle w:val="Heading2"/>
      </w:pPr>
      <w:r>
        <w:t>7.4 Known Flows Strip</w:t>
      </w:r>
    </w:p>
    <w:p>
      <w:r>
        <w:t>The Known Flows strip offers conservative supply and liquidity context. It does not claim omniscient capital tracking.</w:t>
      </w:r>
    </w:p>
    <w:p>
      <w:pPr>
        <w:pStyle w:val="ListBullet"/>
        <w:spacing w:after="40"/>
        <w:ind w:left="288"/>
      </w:pPr>
      <w:r>
        <w:t>Examples: spot ETF net flows, exchange balance trend, miner outflow trend, long-term holder supply trend</w:t>
      </w:r>
    </w:p>
    <w:p>
      <w:pPr>
        <w:pStyle w:val="ListBullet"/>
        <w:spacing w:after="40"/>
        <w:ind w:left="288"/>
      </w:pPr>
      <w:r>
        <w:t>Every item shows source, timestamp, update cadence and methodology note</w:t>
      </w:r>
    </w:p>
    <w:p>
      <w:pPr>
        <w:pStyle w:val="ListBullet"/>
        <w:spacing w:after="40"/>
        <w:ind w:left="288"/>
      </w:pPr>
      <w:r>
        <w:t>Interpretation is separated from observation to reduce false certainty</w:t>
      </w:r>
    </w:p>
    <w:p>
      <w:pPr>
        <w:pStyle w:val="Heading1"/>
      </w:pPr>
      <w:r>
        <w:t>8. UX and Spatial Design Best Practices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584"/>
        <w:gridCol w:w="8064"/>
      </w:tblGrid>
      <w:tr>
        <w:trPr>
          <w:tblHeader w:val="true"/>
        </w:trPr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Guideline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Comfort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Assume seated use, keep primary content in a comfortable forward arc, and avoid mandatory full-room exploration.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Motion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Limit rapid, multi-axis motion; reserve strong animations for short, event-based transitions such as block arrival.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Interaction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Default to gaze for preview, pinch to select, hold to inspect and drag only where it adds clear value.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Clarity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Keep object counts controlled through clustering and summarization; no decorative motion without analytical purpose.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Accessibility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Preserve legibility, support voice-over-friendly labeling and ensure colors are not the sole carrier of meaning.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Onboarding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Teach through affordances and progressive disclosure rather than long tutorials.</w:t>
            </w:r>
          </w:p>
        </w:tc>
      </w:tr>
    </w:tbl>
    <w:p/>
    <w:p>
      <w:pPr>
        <w:pStyle w:val="Heading1"/>
      </w:pPr>
      <w:r>
        <w:t>9. Scoring Framework</w:t>
      </w:r>
    </w:p>
    <w:p>
      <w:r>
        <w:t>Scores should begin as transparent rules-based outputs rather than opaque AI predictions. The product should earn trust before it adds model complexity.</w:t>
      </w:r>
    </w:p>
    <w:p>
      <w:pPr>
        <w:pStyle w:val="Heading2"/>
      </w:pPr>
      <w:r>
        <w:t>9.1 Mempool Stress Score</w:t>
      </w:r>
    </w:p>
    <w:p>
      <w:pPr>
        <w:pStyle w:val="ListBullet"/>
        <w:spacing w:after="40"/>
        <w:ind w:left="288"/>
      </w:pPr>
      <w:r>
        <w:t>Inputs can include mempool size, fee-band distribution, estimated blocks to clear, persistence of elevated fee floor, and recent clearance behavior after blocks.</w:t>
      </w:r>
    </w:p>
    <w:p>
      <w:pPr>
        <w:pStyle w:val="ListBullet"/>
        <w:spacing w:after="40"/>
        <w:ind w:left="288"/>
      </w:pPr>
      <w:r>
        <w:t>Score should emphasize persistence over one-off spikes.</w:t>
      </w:r>
    </w:p>
    <w:p>
      <w:pPr>
        <w:pStyle w:val="ListBullet"/>
        <w:spacing w:after="40"/>
        <w:ind w:left="288"/>
      </w:pPr>
      <w:r>
        <w:t>Output range should be normalized to a clear 0-100 scale.</w:t>
      </w:r>
    </w:p>
    <w:p>
      <w:pPr>
        <w:pStyle w:val="Heading2"/>
      </w:pPr>
      <w:r>
        <w:t>9.2 Known Flow Pressure Score</w:t>
      </w:r>
    </w:p>
    <w:p>
      <w:pPr>
        <w:pStyle w:val="ListBullet"/>
        <w:spacing w:after="40"/>
        <w:ind w:left="288"/>
      </w:pPr>
      <w:r>
        <w:t>Inputs should be restricted to flow signals that can be sourced, timestamped and explained defensibly.</w:t>
      </w:r>
    </w:p>
    <w:p>
      <w:pPr>
        <w:pStyle w:val="ListBullet"/>
        <w:spacing w:after="40"/>
        <w:ind w:left="288"/>
      </w:pPr>
      <w:r>
        <w:t>Observation and implication must be separated in UI and copy.</w:t>
      </w:r>
    </w:p>
    <w:p>
      <w:pPr>
        <w:pStyle w:val="ListBullet"/>
        <w:spacing w:after="40"/>
        <w:ind w:left="288"/>
      </w:pPr>
      <w:r>
        <w:t>When coverage is partial or stale, confidence should fall.</w:t>
      </w:r>
    </w:p>
    <w:p>
      <w:pPr>
        <w:pStyle w:val="Heading2"/>
      </w:pPr>
      <w:r>
        <w:t>9.3 Macro Liquidity Score</w:t>
      </w:r>
    </w:p>
    <w:p>
      <w:pPr>
        <w:pStyle w:val="ListBullet"/>
        <w:spacing w:after="40"/>
        <w:ind w:left="288"/>
      </w:pPr>
      <w:r>
        <w:t>Inputs should be a compact set of macro indicators with explicit contribution weights.</w:t>
      </w:r>
    </w:p>
    <w:p>
      <w:pPr>
        <w:pStyle w:val="ListBullet"/>
        <w:spacing w:after="40"/>
        <w:ind w:left="288"/>
      </w:pPr>
      <w:r>
        <w:t>The score should describe backdrop, not predict price.</w:t>
      </w:r>
    </w:p>
    <w:p>
      <w:pPr>
        <w:pStyle w:val="ListBullet"/>
        <w:spacing w:after="40"/>
        <w:ind w:left="288"/>
      </w:pPr>
      <w:r>
        <w:t>Source cadence must be made visible to avoid false precision.</w:t>
      </w:r>
    </w:p>
    <w:p>
      <w:pPr>
        <w:pStyle w:val="Heading2"/>
      </w:pPr>
      <w:r>
        <w:t>9.4 Composite Regime State</w:t>
      </w:r>
    </w:p>
    <w:p>
      <w:r>
        <w:t>The composite regime should be a categorical state with short text labels, not just a number.</w:t>
      </w:r>
    </w:p>
    <w:p>
      <w:pPr>
        <w:pStyle w:val="ListBullet"/>
        <w:spacing w:after="40"/>
        <w:ind w:left="288"/>
      </w:pPr>
      <w:r>
        <w:t>Possible labels: calm accumulation, elevated network stress, speculative spike, distribution risk, structurally congested, mixed evidence.</w:t>
      </w:r>
    </w:p>
    <w:p>
      <w:pPr>
        <w:pStyle w:val="ListBullet"/>
        <w:spacing w:after="40"/>
        <w:ind w:left="288"/>
      </w:pPr>
      <w:r>
        <w:t>The UI should show primary drivers and confidence beside the label.</w:t>
      </w:r>
    </w:p>
    <w:p>
      <w:pPr>
        <w:pStyle w:val="Heading1"/>
      </w:pPr>
      <w:r>
        <w:t>10. Data Architecture and Source Classes</w:t>
      </w:r>
    </w:p>
    <w:p>
      <w:r>
        <w:t>The v2 concept requires a stricter classification of sources. 'Public APIs only' is too broad because public data can still be delayed, sampled or commercially constrained.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864"/>
        <w:gridCol w:w="3744"/>
        <w:gridCol w:w="2736"/>
        <w:gridCol w:w="2016"/>
      </w:tblGrid>
      <w:tr>
        <w:trPr>
          <w:tblHeader w:val="true"/>
        </w:trPr>
        <w:tc>
          <w:tcPr>
            <w:tcW w:type="dxa" w:w="2448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Class</w:t>
            </w:r>
          </w:p>
        </w:tc>
        <w:tc>
          <w:tcPr>
            <w:tcW w:type="dxa" w:w="2448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448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Examples</w:t>
            </w:r>
          </w:p>
        </w:tc>
        <w:tc>
          <w:tcPr>
            <w:tcW w:type="dxa" w:w="2448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MVP Usage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Real-time public or quasi-public operational data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mempool.space REST/WebSocket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Core for Mempool Arena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Delayed, slow or sampled public data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FRED, ETF daily summaries, selected public market feeds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Context and historical framing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Licensed institutional data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Glassnode, Coin Metrics, CryptoQuant or other paid datasets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Optional premium layer after cost validation</w:t>
            </w:r>
          </w:p>
        </w:tc>
      </w:tr>
    </w:tbl>
    <w:p/>
    <w:p>
      <w:r>
        <w:t>Engineering should build the data layer so each metric carries source, freshness, license class, and confidence flags through the pipeline to the UI.</w:t>
      </w:r>
    </w:p>
    <w:p>
      <w:pPr>
        <w:pStyle w:val="Heading1"/>
      </w:pPr>
      <w:r>
        <w:t>11. Technical Architecture</w:t>
      </w:r>
    </w:p>
    <w:p>
      <w:r>
        <w:t>The recommended implementation is a cloud-backed analytics platform with cross-platform clients and a premium Vision Pro front end.</w:t>
      </w:r>
    </w:p>
    <w:p>
      <w:pPr>
        <w:pStyle w:val="ListBullet"/>
        <w:spacing w:after="40"/>
        <w:ind w:left="288"/>
      </w:pPr>
      <w:r>
        <w:t>Ingestion layer: fetches, caches and normalizes source data according to cadence and license constraints</w:t>
      </w:r>
    </w:p>
    <w:p>
      <w:pPr>
        <w:pStyle w:val="ListBullet"/>
        <w:spacing w:after="40"/>
        <w:ind w:left="288"/>
      </w:pPr>
      <w:r>
        <w:t>Analytics layer: computes scores, confidence, evidence cards and replay snapshots</w:t>
      </w:r>
    </w:p>
    <w:p>
      <w:pPr>
        <w:pStyle w:val="ListBullet"/>
        <w:spacing w:after="40"/>
        <w:ind w:left="288"/>
      </w:pPr>
      <w:r>
        <w:t>API layer: serves compact, UI-ready payloads for clients</w:t>
      </w:r>
    </w:p>
    <w:p>
      <w:pPr>
        <w:pStyle w:val="ListBullet"/>
        <w:spacing w:after="40"/>
        <w:ind w:left="288"/>
      </w:pPr>
      <w:r>
        <w:t>Client layer: Mac, iPad, iPhone and visionOS surfaces sharing the same core semantics</w:t>
      </w:r>
    </w:p>
    <w:p>
      <w:pPr>
        <w:pStyle w:val="ListBullet"/>
        <w:spacing w:after="40"/>
        <w:ind w:left="288"/>
      </w:pPr>
      <w:r>
        <w:t>Rendering layer on visionOS: Daily Briefing Window plus Mempool Arena volume/immersive deep-dive</w:t>
      </w:r>
    </w:p>
    <w:p>
      <w:pPr>
        <w:pStyle w:val="Heading1"/>
      </w:pPr>
      <w:r>
        <w:t>12. Core Workflows</w:t>
      </w:r>
    </w:p>
    <w:p>
      <w:pPr>
        <w:pStyle w:val="Heading2"/>
      </w:pPr>
      <w:r>
        <w:t>12.1 60-Second Regime Check</w:t>
      </w:r>
    </w:p>
    <w:p>
      <w:pPr>
        <w:pStyle w:val="ListNumber"/>
        <w:spacing w:after="40"/>
        <w:ind w:left="288"/>
      </w:pPr>
      <w:r>
        <w:t>User opens the Daily Briefing Window.</w:t>
      </w:r>
    </w:p>
    <w:p>
      <w:pPr>
        <w:pStyle w:val="ListNumber"/>
        <w:spacing w:after="40"/>
        <w:ind w:left="288"/>
      </w:pPr>
      <w:r>
        <w:t>User reads Composite Regime State, confidence and top three evidence cards.</w:t>
      </w:r>
    </w:p>
    <w:p>
      <w:pPr>
        <w:pStyle w:val="ListNumber"/>
        <w:spacing w:after="40"/>
        <w:ind w:left="288"/>
      </w:pPr>
      <w:r>
        <w:t>User decides whether to stop, save a snapshot or open the Mempool Arena for deeper inspection.</w:t>
      </w:r>
    </w:p>
    <w:p>
      <w:pPr>
        <w:pStyle w:val="Heading2"/>
      </w:pPr>
      <w:r>
        <w:t>12.2 Stress Investigation</w:t>
      </w:r>
    </w:p>
    <w:p>
      <w:pPr>
        <w:pStyle w:val="ListNumber"/>
        <w:spacing w:after="40"/>
        <w:ind w:left="288"/>
      </w:pPr>
      <w:r>
        <w:t>User opens Mempool Arena from the Daily Briefing.</w:t>
      </w:r>
    </w:p>
    <w:p>
      <w:pPr>
        <w:pStyle w:val="ListNumber"/>
        <w:spacing w:after="40"/>
        <w:ind w:left="288"/>
      </w:pPr>
      <w:r>
        <w:t>User inspects clustered fee bands and watches recent block-clearance behavior.</w:t>
      </w:r>
    </w:p>
    <w:p>
      <w:pPr>
        <w:pStyle w:val="ListNumber"/>
        <w:spacing w:after="40"/>
        <w:ind w:left="288"/>
      </w:pPr>
      <w:r>
        <w:t>User scrubs recent history to compare whether current congestion is event-driven or persistent.</w:t>
      </w:r>
    </w:p>
    <w:p>
      <w:pPr>
        <w:pStyle w:val="Heading2"/>
      </w:pPr>
      <w:r>
        <w:t>12.3 Weekly Thesis Review</w:t>
      </w:r>
    </w:p>
    <w:p>
      <w:pPr>
        <w:pStyle w:val="ListNumber"/>
        <w:spacing w:after="40"/>
        <w:ind w:left="288"/>
      </w:pPr>
      <w:r>
        <w:t>User opens saved snapshots or replay windows across prior dates.</w:t>
      </w:r>
    </w:p>
    <w:p>
      <w:pPr>
        <w:pStyle w:val="ListNumber"/>
        <w:spacing w:after="40"/>
        <w:ind w:left="288"/>
      </w:pPr>
      <w:r>
        <w:t>User compares current state with selected historical episodes.</w:t>
      </w:r>
    </w:p>
    <w:p>
      <w:pPr>
        <w:pStyle w:val="ListNumber"/>
        <w:spacing w:after="40"/>
        <w:ind w:left="288"/>
      </w:pPr>
      <w:r>
        <w:t>User exports a summary or uses the visual in a team discussion.</w:t>
      </w:r>
    </w:p>
    <w:p>
      <w:pPr>
        <w:pStyle w:val="Heading1"/>
      </w:pPr>
      <w:r>
        <w:t>13. Product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152"/>
        <w:gridCol w:w="2736"/>
        <w:gridCol w:w="5760"/>
      </w:tblGrid>
      <w:tr>
        <w:trPr>
          <w:tblHeader w:val="true"/>
        </w:trPr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3264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MVP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Prove 60-second regime detection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Daily Briefing, Mempool Arena, Macro strip, Known Flows strip, narrative summary, replay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v1.5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Improve retention and collaboration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Saved views, richer alerts, snapshot compare, presentation mode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v2+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Broaden system view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Network Map, advanced known-flow analytics, collaboration features, AI-assisted explanation</w:t>
            </w:r>
          </w:p>
        </w:tc>
      </w:tr>
    </w:tbl>
    <w:p/>
    <w:p>
      <w:pPr>
        <w:pStyle w:val="Heading1"/>
      </w:pPr>
      <w:r>
        <w:t>14. Monetization and Packaging</w:t>
      </w:r>
    </w:p>
    <w:p>
      <w:r>
        <w:t>The concept is stronger as a cross-platform analytics subscription than as a Vision Pro-only product.</w:t>
      </w:r>
    </w:p>
    <w:p>
      <w:pPr>
        <w:pStyle w:val="ListBullet"/>
        <w:spacing w:after="40"/>
        <w:ind w:left="288"/>
      </w:pPr>
      <w:r>
        <w:t>Free: headline regime summary, basic historical context and limited alerts</w:t>
      </w:r>
    </w:p>
    <w:p>
      <w:pPr>
        <w:pStyle w:val="ListBullet"/>
        <w:spacing w:after="40"/>
        <w:ind w:left="288"/>
      </w:pPr>
      <w:r>
        <w:t>Pro: Mempool Arena, replay, advanced evidence panels, saved views and richer alerts</w:t>
      </w:r>
    </w:p>
    <w:p>
      <w:pPr>
        <w:pStyle w:val="ListBullet"/>
        <w:spacing w:after="40"/>
        <w:ind w:left="288"/>
      </w:pPr>
      <w:r>
        <w:t>Team/Institutional: shared sessions, presentation mode, admin controls and collaboration features</w:t>
      </w:r>
    </w:p>
    <w:p>
      <w:pPr>
        <w:pStyle w:val="Heading1"/>
      </w:pPr>
      <w:r>
        <w:t>15.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168"/>
        <w:gridCol w:w="6480"/>
      </w:tblGrid>
      <w:tr>
        <w:trPr>
          <w:tblHeader w:val="true"/>
        </w:trPr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Time to interpret regime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Tests whether the product actually improves analytical speed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Repeat usage after 7 days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Tests whether the product survives headset and workflow friction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Deep-dive conversion rate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Measures whether the Mempool Arena earns usage beyond novelty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Confidence rating after use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Checks whether users trust the evidence model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Cross-platform retention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Validates the premium-front-end strategy rather than Vision Pro-only dependence</w:t>
            </w:r>
          </w:p>
        </w:tc>
      </w:tr>
    </w:tbl>
    <w:p/>
    <w:p>
      <w:pPr>
        <w:pStyle w:val="Heading1"/>
      </w:pPr>
      <w:r>
        <w:t>16. Key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Risk</w:t>
            </w:r>
          </w:p>
        </w:tc>
        <w:tc>
          <w:tcPr>
            <w:tcW w:type="dxa" w:w="4896"/>
            <w:shd w:fill="F7F7F7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False precision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Show methodology, source freshness and explicit confidence alongside each score.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freshness mismatch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Carry cadence and freshness metadata into UI; do not visually imply equal timeliness.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API cost creep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Separate source classes and delay licensed-heavy features until commercial validation.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Visual overload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Cluster, simplify and enforce performance budgets on real hardware.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Vision Pro habit risk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cross-platform briefings and reserve Vision Pro for high-value deep inspection.</w:t>
            </w:r>
          </w:p>
        </w:tc>
      </w:tr>
    </w:tbl>
    <w:p/>
    <w:p>
      <w:pPr>
        <w:pStyle w:val="Heading1"/>
      </w:pPr>
      <w:r>
        <w:t>17. Delivery Recommendations for the Development Team</w:t>
      </w:r>
    </w:p>
    <w:p>
      <w:pPr>
        <w:pStyle w:val="ListNumber"/>
        <w:spacing w:after="40"/>
        <w:ind w:left="288"/>
      </w:pPr>
      <w:r>
        <w:t>Prototype the Daily Briefing Window before building any cinematic scene.</w:t>
      </w:r>
    </w:p>
    <w:p>
      <w:pPr>
        <w:pStyle w:val="ListNumber"/>
        <w:spacing w:after="40"/>
        <w:ind w:left="288"/>
      </w:pPr>
      <w:r>
        <w:t>Build the data contracts for scores, freshness and confidence first.</w:t>
      </w:r>
    </w:p>
    <w:p>
      <w:pPr>
        <w:pStyle w:val="ListNumber"/>
        <w:spacing w:after="40"/>
        <w:ind w:left="288"/>
      </w:pPr>
      <w:r>
        <w:t>Implement one high-quality Mempool Arena rather than multiple thin modules.</w:t>
      </w:r>
    </w:p>
    <w:p>
      <w:pPr>
        <w:pStyle w:val="ListNumber"/>
        <w:spacing w:after="40"/>
        <w:ind w:left="288"/>
      </w:pPr>
      <w:r>
        <w:t>Test on real hardware with seated sessions and strict comfort criteria.</w:t>
      </w:r>
    </w:p>
    <w:p>
      <w:pPr>
        <w:pStyle w:val="ListNumber"/>
        <w:spacing w:after="40"/>
        <w:ind w:left="288"/>
      </w:pPr>
      <w:r>
        <w:t>Validate with a small cohort of macro investors and on-chain analysts before broadening scope.</w:t>
      </w:r>
    </w:p>
    <w:p>
      <w:pPr>
        <w:pStyle w:val="Heading1"/>
      </w:pPr>
      <w:r>
        <w:t>18. Final Recommendation</w:t>
      </w:r>
    </w:p>
    <w:p>
      <w:r>
        <w:t>Proceed with Bitcoin Regime Navigator v2 as a focused, cross-platform analytics product with Apple Vision Pro as the premium spatial surface. The MVP should prove one thing exceptionally well: that an investor can detect and explain the current Bitcoin regime faster than with a conventional dashboard.</w:t>
      </w:r>
    </w:p>
    <w:p>
      <w:r>
        <w:t>The build should remain narrow until that claim is validated. The hero wedge is the mempool and blockspace-demand thesis. Everything else should support that wedge, not compete with it.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7"/>
      </w:rPr>
      <w:t xml:space="preserve">Bitcoin Regime Navigator v2  |  </w:t>
    </w:r>
    <w:r>
      <w:rPr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C96A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C96A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